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2199d8k.htm"/>
      <w:bookmarkStart w:id="1" w:name="ksd14219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INTEGRA LIFESCIENCES HOLDINGS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0-26224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51-0317849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1100 Campus Road</w:t>
      </w:r>
    </w:p>
    <w:p>
      <w:pPr>
        <w:pStyle w:val="TextBody"/>
        <w:bidi w:val="0"/>
        <w:spacing w:before="0" w:after="0"/>
        <w:jc w:val="center"/>
        <w:rPr>
          <w:rFonts w:ascii="Times New Roman" w:hAnsi="Times New Roman"/>
          <w:b/>
          <w:sz w:val="20"/>
        </w:rPr>
      </w:pPr>
      <w:r>
        <w:rPr>
          <w:rFonts w:ascii="Times New Roman" w:hAnsi="Times New Roman"/>
          <w:b/>
          <w:sz w:val="20"/>
        </w:rPr>
        <w:t>Princeton, NJ 08540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(609) 275-0500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25" w:type="dxa"/>
        <w:jc w:val="left"/>
        <w:tblInd w:w="0" w:type="dxa"/>
        <w:tblLayout w:type="fixed"/>
        <w:tblCellMar>
          <w:top w:w="0" w:type="dxa"/>
          <w:left w:w="0" w:type="dxa"/>
          <w:bottom w:w="0" w:type="dxa"/>
          <w:right w:w="0" w:type="dxa"/>
        </w:tblCellMar>
      </w:tblPr>
      <w:tblGrid>
        <w:gridCol w:w="4040"/>
        <w:gridCol w:w="60"/>
        <w:gridCol w:w="740"/>
        <w:gridCol w:w="60"/>
        <w:gridCol w:w="2825"/>
      </w:tblGrid>
      <w:tr>
        <w:trPr/>
        <w:tc>
          <w:tcPr>
            <w:tcW w:w="4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40" w:type="dxa"/>
            <w:tcBorders/>
            <w:vAlign w:val="center"/>
          </w:tcPr>
          <w:p>
            <w:pPr>
              <w:pStyle w:val="TableContents"/>
              <w:bidi w:val="0"/>
              <w:spacing w:before="0" w:after="283"/>
              <w:jc w:val="center"/>
              <w:rPr/>
            </w:pPr>
            <w:r>
              <w:rPr/>
              <w:t>Common Stock, Par Value $.01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IART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20" w:type="dxa"/>
        <w:jc w:val="left"/>
        <w:tblInd w:w="0" w:type="dxa"/>
        <w:tblLayout w:type="fixed"/>
        <w:tblCellMar>
          <w:top w:w="0" w:type="dxa"/>
          <w:left w:w="0" w:type="dxa"/>
          <w:bottom w:w="0" w:type="dxa"/>
          <w:right w:w="0" w:type="dxa"/>
        </w:tblCellMar>
      </w:tblPr>
      <w:tblGrid>
        <w:gridCol w:w="965"/>
        <w:gridCol w:w="3755"/>
      </w:tblGrid>
      <w:tr>
        <w:trPr/>
        <w:tc>
          <w:tcPr>
            <w:tcW w:w="965" w:type="dxa"/>
            <w:tcBorders/>
            <w:vAlign w:val="center"/>
          </w:tcPr>
          <w:p>
            <w:pPr>
              <w:pStyle w:val="TableContents"/>
              <w:bidi w:val="0"/>
              <w:spacing w:before="0" w:after="283"/>
              <w:jc w:val="left"/>
              <w:rPr>
                <w:b/>
              </w:rPr>
            </w:pPr>
            <w:r>
              <w:rPr>
                <w:b/>
              </w:rPr>
              <w:t>Item 1.01</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19, 2026, Integra LifeSciences Holdings Corporation (the “Company”) entered into an amended and restated credit agreement with a syndicate of lending banks, and Bank of America, N.A., as Administrative Agent, Swing Line Lender and a L/C Issuer (the “Credit Agreement”). In addition, on October 19, 2026 the Company completed a private unregistered offering of $450 million aggregate principal amount of its 9.500% Senior Secured Notes due 2033 (the “Notes”).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Credit Agreement makes an aggregate principal amount of up to $1.65 billion available to the Company through the following facilities: (i) a $600 million senior secured revolving credit facility with a five year maturity (the “Revolving Facility”), subject to certain sublimits for the issuance of letters of credit and swing line loans, (ii) a $600 million senior secured term loan A facility with a five year maturity (the “Term Loan A Facility”) and (iii) a $450 million senior secured term loan B facility with a seven year maturity (the “Term Loan B Facility”). The Company’s obligations under the Credit Agreement are guaranteed by substantially all of its existing and future wholly-owned domestic subsidiaries, subject to customary exceptions, and are secured on a first-priority basis by substantially all of the tangible and intangible assets of the Company and the guarantors, subject to customary exceptions (including real property and leasehold interests).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Credit Agreement bear interest, at the Company’s option, at a rate equal to (i) Term SOFR (as defined in the Credit Agreement) in effect from time to time plus the applicable rate or (ii) the highest of (w) the weighted average overnight Federal funds rate, as published by the Federal Reserve Bank of New York, plus one half of 1.00%, (x) the prime lending rate of Bank of America, N.A. or (y) the one-month Term SOFR plus 1.00% and (z) 1.00%. The applicable rate for Term SOFR borrowings under the Term Loan B Facility is 4.25%. The applicable rate for Term SOFR borrowings under the Revolving Facility and the Term Loan A Facility is initially 3.00% and, following delivery of the compliance certificate for the fiscal quarter ending December 31, 2026, will range from 2.00% to 3.25% based on the Company’s consolidated total leverage ratio (defined as the ratio of (a) consolidated funded indebtedness as of such date to (b) consolidated EBITDA for the period of four consecutive fiscal quarters ending on such date) at the time of the applicable borrowing.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also pay an annual commitment fee of 0.20% to 0.35% (fixed at 0.30% until delivery of the compliance certificate for the fiscal quarter ending December 31, 2026) on the daily amount by which the commitments under the Revolving Facility exceed the outstanding loans and letters of credit under the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Credit Agreement does not purport to be complete and is qualified in its entirety by reference to the complete text of the Credit Agreement, a copy of which is filed as Exhibit 10.1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October 19, 2026, the Company and the subsidiary guarantors of the Company entered into a ratification agreement to the Credit Agreement with Bank of America, N.A., as Administrative Agent (the “Ratification Agreement”). A copy of the Ratification Agreement is filed as Exhibit 10.2 hereto and is incorporated herein by reference.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Indenture </w:t>
      </w:r>
    </w:p>
    <w:p>
      <w:pPr>
        <w:pStyle w:val="TextBody"/>
        <w:bidi w:val="0"/>
        <w:spacing w:before="120" w:after="0"/>
        <w:jc w:val="left"/>
        <w:rPr>
          <w:rFonts w:ascii="Times New Roman" w:hAnsi="Times New Roman"/>
          <w:sz w:val="20"/>
        </w:rPr>
      </w:pPr>
      <w:r>
        <w:rPr>
          <w:rFonts w:ascii="Times New Roman" w:hAnsi="Times New Roman"/>
          <w:sz w:val="20"/>
        </w:rPr>
        <w:t xml:space="preserve">On October 19, 2026, the Company entered into an Indenture (the “Indenture”), dated as of October 19, 2026, with Truist Bank, as trustee and notes collateral agent (the “Trustee”) and the guarantor parties thereto (the “Guarantors”), relating to the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bear interest at a rate of 9.500% per year, payable semi-annually in arrears on May 1 and November 1 of each year, commencing May 1, 2027. The Notes will mature on November 1, 2033, unless earlier repurchased or redeemed.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will be guaranteed on a senior secured basis, jointly and severally, by each of the Company’s wholly-owned domestic subsidiaries that is a guarantor under our Credit Agreement and, subject to certain exceptions, each of the Company’s current and future wholly-owned domestic subsidiaries that guarantees indebtedness under any of the Company or any guarantor’s credit facilities or capital markets debt with an aggregate outstanding principal amount in excess of $200 million.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the Company’s senior secured obligations, will be senior in right of payment to any existing and future subordinated indebtedness of the Company, pari passu in right of payment with all existing and future senior indebtedness of the Company, including its indebtedness under the Credit Agreement, secured on a first-priority basis by the collateral owned by the Company (subject to permitted liens) on a pari passu basis as to the collateral owned by the Company with respect to borrowings under the Credit Agreement and any other future first lien obligations, structurally subordinated to all existing and future indebtedness, claims of holders of preferred stock and other liabilities of subsidiaries of the Company that do not guarantee the Notes, effectively senior to all existing and future unsecured indebtedness and other unsecured obligations of the Company to the extent of the value of the collateral owned by the Company, after giving effect to the intercreditor arrangements with the lenders under the Credit Agreement, effectively subordinated to any existing or future indebtedness of the Company that is secured by liens on assets that do not constitute a part of the collateral to the extent of the value of such assets, and unconditionally guaranteed by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some or all of the Notes prior to November 1, 2029, at a redemption price of 100% of the principal amount, plus accrued and unpaid interest thereon, to, but excluding, the redemption date, plus a “make-whole” premium. Thereafter, the Notes will be redeemable at specified redemption prices, plus accrued and unpaid interest thereon, to, but excluding, the redemption date. In addition, prior to November 1, 2029, the Company may redeem up to 40% of the aggregate principal amount of Notes with the proceeds of certain equity offerings at a redemption price equal to 109.500% of their principal amount, plus accrued and unpaid interest thereon to, but excluding, the redemption date. The Company may make such redemption only if, after any such redemption, at least 50% of the original aggregate principal amount of Notes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(as defined in the Indenture) occurs, the Company will be required to offer to purchase the Notes at a price equal to 101% of the principal amount of such Notes, together with any accrued and unpaid interest, to, but excluding, the date of purchase. In addition, if an asset sale (as defined in the Indenture) occurs, the Company may in certain circumstances be required to offer to purchase the Notes at a price equal to 100% of the principal amount of such Notes, together with any accrued and unpaid interest, to, but excluding,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covenants that limit the Company’s ability and the ability of certain of the Company’s restricted subsidiaries to: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w:t>
            </w:r>
          </w:p>
        </w:tc>
      </w:tr>
    </w:tbl>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75"/>
        <w:gridCol w:w="110"/>
        <w:gridCol w:w="60"/>
        <w:gridCol w:w="1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liens;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distributions in respect of capital stock;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 or redeem capital stock;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certain other restricted payments; </w:t>
            </w:r>
          </w:p>
        </w:tc>
      </w:tr>
    </w:tbl>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75"/>
        <w:gridCol w:w="110"/>
        <w:gridCol w:w="60"/>
        <w:gridCol w:w="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assets;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stockholders or affiliates;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 a consolidation or merger; or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designate its subsidiaries as unrestricted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covenants are subject to a number of other limitations and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for customary events of default, including, but not limited to, failure to pay principal and interest, failure to comply with covenants, agreements or conditions, and certain events of bankruptcy or insolvency involving the Company and its significant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Indenture does not purport to be complete and is qualified in its entirety by reference to the complete text of the Indenture, a copy of which is filed as Exhibit 4.1 hereto and is incorporated herein by reference. </w:t>
      </w:r>
      <w:r>
        <w:br w:type="page"/>
      </w:r>
    </w:p>
    <w:p>
      <w:pPr>
        <w:pStyle w:val="HorizontalLine"/>
        <w:bidi w:val="0"/>
        <w:jc w:val="left"/>
        <w:rPr/>
      </w:pPr>
      <w:r>
        <w:rPr/>
      </w:r>
    </w:p>
    <w:tbl>
      <w:tblPr>
        <w:tblW w:w="5125" w:type="dxa"/>
        <w:jc w:val="left"/>
        <w:tblInd w:w="0" w:type="dxa"/>
        <w:tblLayout w:type="fixed"/>
        <w:tblCellMar>
          <w:top w:w="0" w:type="dxa"/>
          <w:left w:w="0" w:type="dxa"/>
          <w:bottom w:w="0" w:type="dxa"/>
          <w:right w:w="0" w:type="dxa"/>
        </w:tblCellMar>
      </w:tblPr>
      <w:tblGrid>
        <w:gridCol w:w="965"/>
        <w:gridCol w:w="4160"/>
      </w:tblGrid>
      <w:tr>
        <w:trPr/>
        <w:tc>
          <w:tcPr>
            <w:tcW w:w="965" w:type="dxa"/>
            <w:tcBorders/>
            <w:vAlign w:val="center"/>
          </w:tcPr>
          <w:p>
            <w:pPr>
              <w:pStyle w:val="TableContents"/>
              <w:bidi w:val="0"/>
              <w:spacing w:before="0" w:after="283"/>
              <w:jc w:val="left"/>
              <w:rPr>
                <w:b/>
              </w:rPr>
            </w:pPr>
            <w:r>
              <w:rPr>
                <w:b/>
              </w:rPr>
              <w:t>Item 1.02</w:t>
            </w:r>
          </w:p>
        </w:tc>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19, 2026, in connection with the entry into the Credit Agreement, the Company used a portion of the proceeds of the borrowings under the Credit Agreement and the offering of the Notes to repay in full all outstanding term loans and revolving loans, together with accrued and unpaid interest and fees, under its Seventh Amended and Restated Credit Agreement, dated as of March 24, 2023 (as amended by Amendment No. 1, dated as of June 6, 2025, and as otherwise amended prior to the date hereof, the “Existing Credit Agreement”), among the Company, the lenders party thereto and Bank of America, N.A., as Administrative Agent, Swing Line Lender and L/C Issuer, and the revolving commitments thereunder were terminated. The Existing Credit Agreement provided for a $1.3 billion revolving credit facility and a $775 million term loan facility, each scheduled to mature on March 24, 2028, subject to certain springing maturity conditions. Letters of credit outstanding under the Existing Credit Agreement were deemed issued under the Credit Agreement. The Company did not incur any early termination penalties in connection with the repayment of the Existing Credit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5"/>
        <w:gridCol w:w="9270"/>
      </w:tblGrid>
      <w:tr>
        <w:trPr/>
        <w:tc>
          <w:tcPr>
            <w:tcW w:w="935" w:type="dxa"/>
            <w:tcBorders/>
            <w:vAlign w:val="center"/>
          </w:tcPr>
          <w:p>
            <w:pPr>
              <w:pStyle w:val="TableContents"/>
              <w:bidi w:val="0"/>
              <w:spacing w:before="0" w:after="283"/>
              <w:jc w:val="left"/>
              <w:rPr>
                <w:b/>
              </w:rPr>
            </w:pPr>
            <w:r>
              <w:rPr>
                <w:b/>
              </w:rPr>
              <w:t>Item 2.03</w:t>
            </w:r>
          </w:p>
        </w:tc>
        <w:tc>
          <w:tcPr>
            <w:tcW w:w="9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is incorporated herein by reference.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19, 2026, the Company issued a press release announcing the closing of the Credit Agreement and Notes offering. A copy of this press release is attached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shall not be deemed “filed” for purposes of Section 18 of the Securities Exchange Act of 1934, as amended (the “Exchange Act”) or otherwise subject to the liability of such section, nor shall it be deemed incorporated by reference in any filing of the Company under the Securities Act of 1933, as amended, or the Exchange Act, regardless of any general incorporation language in such filing, unless expressly incorporated by specific reference in such filing.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120"/>
        <w:gridCol w:w="9360"/>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center"/>
              <w:rPr/>
            </w:pPr>
            <w:r>
              <w:rPr/>
              <w:t>Description of Exhibit</w:t>
            </w:r>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142199dex41.htm">
              <w:r>
                <w:rPr>
                  <w:rStyle w:val="InternetLink"/>
                </w:rPr>
                <w:t>Indenture, dated as of October 19, 2026, by and between Integra LifeSciences Holdings Corporation, Truist Bank, as trustee and notes collateral agent, and the guarantor parties thereto.</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142199dex101.htm">
              <w:r>
                <w:rPr>
                  <w:rStyle w:val="InternetLink"/>
                </w:rPr>
                <w:t>Amended and Restated Credit Agreement, dated October 19, 2026, among Integra LifeSciences Holdings Corporation, the lenders party thereto and Bank of America, N.A., as Administrative Agent, Swing Line Lender and a L/C Issuer.</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142199dex102.htm">
              <w:r>
                <w:rPr>
                  <w:rStyle w:val="InternetLink"/>
                </w:rPr>
                <w:t>Ratification Agreement, dated as of October 19, 2026, between Integra LifeSciences Holdings Corporation, the Subsidiary Guarantors of Integra LifeSciences Holdings Corporation and Bank of America, N.A., as Administrative Agent.</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142199dex991.htm">
              <w:r>
                <w:rPr>
                  <w:rStyle w:val="InternetLink"/>
                </w:rPr>
                <w:t>Press Release, dated October 19, 2026, issued by Integra LifeSciences Holdings Corporation.</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Cover Page Interactive Data File (embedded within the inline XRBL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386" w:type="dxa"/>
        <w:jc w:val="left"/>
        <w:tblInd w:w="0" w:type="dxa"/>
        <w:tblLayout w:type="fixed"/>
        <w:tblCellMar>
          <w:top w:w="0" w:type="dxa"/>
          <w:left w:w="0" w:type="dxa"/>
          <w:bottom w:w="0" w:type="dxa"/>
          <w:right w:w="0" w:type="dxa"/>
        </w:tblCellMar>
      </w:tblPr>
      <w:tblGrid>
        <w:gridCol w:w="2270"/>
        <w:gridCol w:w="60"/>
        <w:gridCol w:w="23"/>
        <w:gridCol w:w="60"/>
        <w:gridCol w:w="544"/>
        <w:gridCol w:w="63"/>
        <w:gridCol w:w="5366"/>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366"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73" w:type="dxa"/>
            <w:gridSpan w:val="3"/>
            <w:tcBorders/>
            <w:vAlign w:val="center"/>
          </w:tcPr>
          <w:p>
            <w:pPr>
              <w:pStyle w:val="TableContents"/>
              <w:bidi w:val="0"/>
              <w:spacing w:before="0" w:after="283"/>
              <w:jc w:val="left"/>
              <w:rPr/>
            </w:pPr>
            <w:r>
              <w:rPr/>
              <w:t>INTEGRA LIFESCIENCES HOLDINGS CORPORATION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04" w:type="dxa"/>
            <w:gridSpan w:val="2"/>
            <w:tcBorders/>
            <w:vAlign w:val="center"/>
          </w:tcPr>
          <w:p>
            <w:pPr>
              <w:pStyle w:val="TableContents"/>
              <w:bidi w:val="0"/>
              <w:spacing w:before="0" w:after="283"/>
              <w:jc w:val="left"/>
              <w:rPr>
                <w:sz w:val="4"/>
                <w:szCs w:val="4"/>
              </w:rPr>
            </w:pPr>
            <w:r>
              <w:rPr>
                <w:sz w:val="4"/>
                <w:szCs w:val="4"/>
              </w:rPr>
            </w:r>
          </w:p>
        </w:tc>
        <w:tc>
          <w:tcPr>
            <w:tcW w:w="5429"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By:</w:t>
            </w:r>
          </w:p>
        </w:tc>
        <w:tc>
          <w:tcPr>
            <w:tcW w:w="63" w:type="dxa"/>
            <w:tcBorders/>
            <w:vAlign w:val="center"/>
          </w:tcPr>
          <w:p>
            <w:pPr>
              <w:pStyle w:val="TableContents"/>
              <w:bidi w:val="0"/>
              <w:spacing w:before="0" w:after="283"/>
              <w:jc w:val="left"/>
              <w:rPr/>
            </w:pPr>
            <w:r>
              <w:rPr/>
              <w:t> </w:t>
            </w:r>
          </w:p>
        </w:tc>
        <w:tc>
          <w:tcPr>
            <w:tcW w:w="536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Lea Knight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5366" w:type="dxa"/>
            <w:tcBorders/>
            <w:vAlign w:val="center"/>
          </w:tcPr>
          <w:p>
            <w:pPr>
              <w:pStyle w:val="TableContents"/>
              <w:bidi w:val="0"/>
              <w:spacing w:before="0" w:after="283"/>
              <w:jc w:val="left"/>
              <w:rPr/>
            </w:pPr>
            <w:r>
              <w:rPr/>
              <w:t>Lea Knight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Title:</w:t>
            </w:r>
          </w:p>
        </w:tc>
        <w:tc>
          <w:tcPr>
            <w:tcW w:w="63" w:type="dxa"/>
            <w:tcBorders/>
            <w:vAlign w:val="center"/>
          </w:tcPr>
          <w:p>
            <w:pPr>
              <w:pStyle w:val="TableContents"/>
              <w:bidi w:val="0"/>
              <w:spacing w:before="0" w:after="283"/>
              <w:jc w:val="left"/>
              <w:rPr/>
            </w:pPr>
            <w:r>
              <w:rPr/>
              <w:t> </w:t>
            </w:r>
          </w:p>
        </w:tc>
        <w:tc>
          <w:tcPr>
            <w:tcW w:w="5366"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sz w:val="20"/>
        </w:rPr>
      </w:pPr>
      <w:bookmarkStart w:id="2" w:name="d142199dex41.htm"/>
      <w:bookmarkStart w:id="3" w:name="ksd142199dex41"/>
      <w:bookmarkEnd w:id="2"/>
      <w:bookmarkEnd w:id="3"/>
      <w:r>
        <w:rPr>
          <w:rFonts w:ascii="Times New Roman" w:hAnsi="Times New Roman"/>
          <w:sz w:val="20"/>
        </w:rPr>
        <w:t xml:space="preserve">Exhibit 4.1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sz w:val="20"/>
        </w:rPr>
      </w:pPr>
      <w:r>
        <w:rPr>
          <w:rFonts w:ascii="Times New Roman" w:hAnsi="Times New Roman"/>
          <w:sz w:val="20"/>
        </w:rPr>
        <w:t xml:space="preserve">INTEGRA LIFESCIENCES HOLDINGS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EACH OF THE GUARANTORS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$450,000,000 </w:t>
      </w:r>
    </w:p>
    <w:p>
      <w:pPr>
        <w:pStyle w:val="TextBody"/>
        <w:bidi w:val="0"/>
        <w:spacing w:before="240" w:after="0"/>
        <w:jc w:val="center"/>
        <w:rPr>
          <w:rFonts w:ascii="Times New Roman" w:hAnsi="Times New Roman"/>
          <w:sz w:val="20"/>
        </w:rPr>
      </w:pPr>
      <w:r>
        <w:rPr>
          <w:rFonts w:ascii="Times New Roman" w:hAnsi="Times New Roman"/>
          <w:sz w:val="20"/>
        </w:rPr>
        <w:t xml:space="preserve">9.500% SENIOR SECURED NOTES DUE 2033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19,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TRUIST BANK, </w:t>
      </w:r>
    </w:p>
    <w:p>
      <w:pPr>
        <w:pStyle w:val="TextBody"/>
        <w:bidi w:val="0"/>
        <w:spacing w:before="0" w:after="0"/>
        <w:jc w:val="center"/>
        <w:rPr>
          <w:rFonts w:ascii="Times New Roman" w:hAnsi="Times New Roman"/>
          <w:sz w:val="20"/>
        </w:rPr>
      </w:pPr>
      <w:r>
        <w:rPr>
          <w:rFonts w:ascii="Times New Roman" w:hAnsi="Times New Roman"/>
          <w:sz w:val="20"/>
        </w:rPr>
        <w:t xml:space="preserve">as Trustee and Notes Collateral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75"/>
        <w:gridCol w:w="123"/>
        <w:gridCol w:w="8306"/>
        <w:gridCol w:w="123"/>
        <w:gridCol w:w="96"/>
        <w:gridCol w:w="419"/>
        <w:gridCol w:w="63"/>
      </w:tblGrid>
      <w:tr>
        <w:trPr/>
        <w:tc>
          <w:tcPr>
            <w:tcW w:w="10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3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u w:val="single"/>
              </w:rPr>
            </w:pPr>
            <w:r>
              <w:rPr>
                <w:b/>
                <w:u w:val="single"/>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504" w:type="dxa"/>
            <w:gridSpan w:val="3"/>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Pr>
          <w:p>
            <w:pPr>
              <w:pStyle w:val="TableContents"/>
              <w:bidi w:val="0"/>
              <w:spacing w:before="0" w:after="283"/>
              <w:jc w:val="center"/>
              <w:rPr/>
            </w:pPr>
            <w:r>
              <w:rPr/>
              <w:t>ARTICLE 1</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50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DEFINITIONS AND INCORPORATION BY REFERENCE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075" w:type="dxa"/>
            <w:tcBorders/>
            <w:vAlign w:val="center"/>
          </w:tcPr>
          <w:p>
            <w:pPr>
              <w:pStyle w:val="TableContents"/>
              <w:bidi w:val="0"/>
              <w:spacing w:before="0" w:after="283"/>
              <w:jc w:val="left"/>
              <w:rPr>
                <w:sz w:val="4"/>
                <w:szCs w:val="4"/>
              </w:rPr>
            </w:pPr>
            <w:r>
              <w:rPr>
                <w:sz w:val="4"/>
                <w:szCs w:val="4"/>
              </w:rPr>
            </w:r>
          </w:p>
        </w:tc>
        <w:tc>
          <w:tcPr>
            <w:tcW w:w="8429"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Definitions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Other Definitions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Inapplicability of Trust Indenture Act</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Rules of Construction</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Limited Condition Transactions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Certain Compliance Calculations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504" w:type="dxa"/>
            <w:gridSpan w:val="3"/>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Pr>
          <w:p>
            <w:pPr>
              <w:pStyle w:val="TableContents"/>
              <w:bidi w:val="0"/>
              <w:spacing w:before="0" w:after="283"/>
              <w:jc w:val="center"/>
              <w:rPr/>
            </w:pPr>
            <w:r>
              <w:rPr/>
              <w:t>ARTICLE 2</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50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NOTES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075" w:type="dxa"/>
            <w:tcBorders/>
            <w:vAlign w:val="center"/>
          </w:tcPr>
          <w:p>
            <w:pPr>
              <w:pStyle w:val="TableContents"/>
              <w:bidi w:val="0"/>
              <w:spacing w:before="0" w:after="283"/>
              <w:jc w:val="left"/>
              <w:rPr>
                <w:sz w:val="4"/>
                <w:szCs w:val="4"/>
              </w:rPr>
            </w:pPr>
            <w:r>
              <w:rPr>
                <w:sz w:val="4"/>
                <w:szCs w:val="4"/>
              </w:rPr>
            </w:r>
          </w:p>
        </w:tc>
        <w:tc>
          <w:tcPr>
            <w:tcW w:w="8429"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Form and Dating</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Execution and Authentication</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Registrar and Paying Agent</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Paying Agent to Hold Money in Trust</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Holder Lists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Transfer and Exchange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Replacement Notes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Outstanding Notes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Treasury Notes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Temporary Notes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Cancellation</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Defaulted Interest</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CUSIP Numbers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Additional Notes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Repurchases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504" w:type="dxa"/>
            <w:gridSpan w:val="3"/>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Pr>
          <w:p>
            <w:pPr>
              <w:pStyle w:val="TableContents"/>
              <w:bidi w:val="0"/>
              <w:spacing w:before="0" w:after="283"/>
              <w:jc w:val="center"/>
              <w:rPr/>
            </w:pPr>
            <w:r>
              <w:rPr/>
              <w:t>ARTICLE 3</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50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REDEMPTION AND PREPAYMENT</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1075" w:type="dxa"/>
            <w:tcBorders/>
            <w:vAlign w:val="center"/>
          </w:tcPr>
          <w:p>
            <w:pPr>
              <w:pStyle w:val="TableContents"/>
              <w:bidi w:val="0"/>
              <w:spacing w:before="0" w:after="283"/>
              <w:jc w:val="left"/>
              <w:rPr>
                <w:sz w:val="4"/>
                <w:szCs w:val="4"/>
              </w:rPr>
            </w:pPr>
            <w:r>
              <w:rPr>
                <w:sz w:val="4"/>
                <w:szCs w:val="4"/>
              </w:rPr>
            </w:r>
          </w:p>
        </w:tc>
        <w:tc>
          <w:tcPr>
            <w:tcW w:w="8429"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Notices to Trustee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Selection of Notes to Be Redeemed or Purchased</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Notice of Redemption</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Effect of Notice of Redemption</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Deposit of Redemption or Purchase Price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Notes Redeemed or Purchased in Part</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Optional Redemption</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Mandatory Redemption</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Offer to Purchase by Application of Collateral Excess Proceeds or Excess Proceeds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504" w:type="dxa"/>
            <w:gridSpan w:val="3"/>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Pr>
          <w:p>
            <w:pPr>
              <w:pStyle w:val="TableContents"/>
              <w:bidi w:val="0"/>
              <w:spacing w:before="0" w:after="283"/>
              <w:jc w:val="center"/>
              <w:rPr/>
            </w:pPr>
            <w:r>
              <w:rPr/>
              <w:t>ARTICLE 4</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50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COVENANTS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rHeight w:val="120" w:hRule="atLeast"/>
        </w:trPr>
        <w:tc>
          <w:tcPr>
            <w:tcW w:w="1075" w:type="dxa"/>
            <w:tcBorders/>
            <w:vAlign w:val="center"/>
          </w:tcPr>
          <w:p>
            <w:pPr>
              <w:pStyle w:val="TableContents"/>
              <w:bidi w:val="0"/>
              <w:spacing w:before="0" w:after="283"/>
              <w:jc w:val="left"/>
              <w:rPr>
                <w:sz w:val="4"/>
                <w:szCs w:val="4"/>
              </w:rPr>
            </w:pPr>
            <w:r>
              <w:rPr>
                <w:sz w:val="4"/>
                <w:szCs w:val="4"/>
              </w:rPr>
            </w:r>
          </w:p>
        </w:tc>
        <w:tc>
          <w:tcPr>
            <w:tcW w:w="8429" w:type="dxa"/>
            <w:gridSpan w:val="2"/>
            <w:tcBorders/>
            <w:vAlign w:val="center"/>
          </w:tcPr>
          <w:p>
            <w:pPr>
              <w:pStyle w:val="TableContents"/>
              <w:bidi w:val="0"/>
              <w:spacing w:before="0" w:after="283"/>
              <w:jc w:val="left"/>
              <w:rPr>
                <w:sz w:val="4"/>
                <w:szCs w:val="4"/>
              </w:rPr>
            </w:pPr>
            <w:r>
              <w:rPr>
                <w:sz w:val="4"/>
                <w:szCs w:val="4"/>
              </w:rPr>
            </w:r>
          </w:p>
        </w:tc>
        <w:tc>
          <w:tcPr>
            <w:tcW w:w="701" w:type="dxa"/>
            <w:gridSpan w:val="4"/>
            <w:tcBorders/>
            <w:vAlign w:val="center"/>
          </w:tcPr>
          <w:p>
            <w:pPr>
              <w:pStyle w:val="TableContents"/>
              <w:bidi w:val="0"/>
              <w:spacing w:before="0" w:after="283"/>
              <w:jc w:val="left"/>
              <w:rPr>
                <w:sz w:val="4"/>
                <w:szCs w:val="4"/>
              </w:rPr>
            </w:pPr>
            <w:r>
              <w:rPr>
                <w:sz w:val="4"/>
                <w:szCs w:val="4"/>
              </w:rPr>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Payment of Notes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Maintenance of Office or Agency</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Reports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Compliance Certificate</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Taxes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075"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123" w:type="dxa"/>
            <w:tcBorders/>
            <w:vAlign w:val="bottom"/>
          </w:tcPr>
          <w:p>
            <w:pPr>
              <w:pStyle w:val="TableContents"/>
              <w:bidi w:val="0"/>
              <w:spacing w:before="0" w:after="283"/>
              <w:jc w:val="left"/>
              <w:rPr/>
            </w:pPr>
            <w:r>
              <w:rPr/>
              <w:t>  </w:t>
            </w:r>
          </w:p>
        </w:tc>
        <w:tc>
          <w:tcPr>
            <w:tcW w:w="8306" w:type="dxa"/>
            <w:tcBorders/>
            <w:vAlign w:val="bottom"/>
          </w:tcPr>
          <w:p>
            <w:pPr>
              <w:pStyle w:val="TableContents"/>
              <w:bidi w:val="0"/>
              <w:spacing w:before="0" w:after="283"/>
              <w:jc w:val="left"/>
              <w:rPr>
                <w:i/>
              </w:rPr>
            </w:pPr>
            <w:r>
              <w:rPr>
                <w:i/>
              </w:rPr>
              <w:t>Stay, Extension and Usury Laws</w:t>
            </w:r>
          </w:p>
        </w:tc>
        <w:tc>
          <w:tcPr>
            <w:tcW w:w="1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70"/>
        <w:gridCol w:w="131"/>
        <w:gridCol w:w="8390"/>
        <w:gridCol w:w="131"/>
        <w:gridCol w:w="60"/>
        <w:gridCol w:w="260"/>
        <w:gridCol w:w="63"/>
      </w:tblGrid>
      <w:tr>
        <w:trPr/>
        <w:tc>
          <w:tcPr>
            <w:tcW w:w="117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39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Restricted Payments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Dividend and Other Payment Restrictions Affecting Restricted Subsidiaries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Incurrence of Indebtedness and Issuance of Preferred Stock</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Asset Sales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Transactions with Affiliates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Liens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Corporate Existence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Offer to Repurchase Upon Change of Control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Additional Note Guarantees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Designation of Restricted and Unrestricted Subsidiaries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Changes in Covenants When Notes Rated Investment Grade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After-Acquired Collateral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283"/>
              <w:jc w:val="center"/>
              <w:rPr/>
            </w:pPr>
            <w:r>
              <w:rPr/>
              <w:t>ARTICLE 5</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SUCCESSORS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1170"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Merger, Consolidation or Sale of Assets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Successor Corporation Substituted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283"/>
              <w:jc w:val="center"/>
              <w:rPr/>
            </w:pPr>
            <w:r>
              <w:rPr/>
              <w:t>ARTICLE 6</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DEFAULTS AND REMEDIES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120" w:hRule="atLeast"/>
        </w:trPr>
        <w:tc>
          <w:tcPr>
            <w:tcW w:w="1170"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Events of Default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Acceleration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Other Remedies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Waiver of Past Defaults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Control by Majority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Limitation on Suits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Rights of Holders of Notes to Receive Payment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Collection Suit by Trustee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Restoration of Rights and Remedies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Trustee May File Proofs of Claim</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Priorities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Undertaking for Costs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283"/>
              <w:jc w:val="center"/>
              <w:rPr/>
            </w:pPr>
            <w:r>
              <w:rPr/>
              <w:t>ARTICLE 7</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TRUSTEE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1170"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Duties of Trustee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Rights of Trustee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Individual Rights of Trustee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Trustee’s Disclaimer</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Notice of Defaults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Compensation and Indemnity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Replacement of Trustee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Successor Trustee by Merger, etc.</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Eligibility; Disqualification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Security Documents; Intercreditor Agreements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Limitation on Duty of Trustee in Respect of Collateral; Indemnification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283"/>
              <w:jc w:val="center"/>
              <w:rPr/>
            </w:pPr>
            <w:r>
              <w:rPr/>
              <w:t>ARTICLE 8</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LEGAL DEFEASANCE AND COVENANT DEFEASANCE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120" w:hRule="atLeast"/>
        </w:trPr>
        <w:tc>
          <w:tcPr>
            <w:tcW w:w="1170" w:type="dxa"/>
            <w:tcBorders/>
            <w:vAlign w:val="center"/>
          </w:tcPr>
          <w:p>
            <w:pPr>
              <w:pStyle w:val="TableContents"/>
              <w:bidi w:val="0"/>
              <w:spacing w:before="0" w:after="283"/>
              <w:jc w:val="left"/>
              <w:rPr>
                <w:sz w:val="4"/>
                <w:szCs w:val="4"/>
              </w:rPr>
            </w:pPr>
            <w:r>
              <w:rPr>
                <w:sz w:val="4"/>
                <w:szCs w:val="4"/>
              </w:rPr>
            </w:r>
          </w:p>
        </w:tc>
        <w:tc>
          <w:tcPr>
            <w:tcW w:w="8521"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170"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31" w:type="dxa"/>
            <w:tcBorders/>
            <w:vAlign w:val="bottom"/>
          </w:tcPr>
          <w:p>
            <w:pPr>
              <w:pStyle w:val="TableContents"/>
              <w:bidi w:val="0"/>
              <w:spacing w:before="0" w:after="283"/>
              <w:jc w:val="left"/>
              <w:rPr/>
            </w:pPr>
            <w:r>
              <w:rPr/>
              <w:t>  </w:t>
            </w:r>
          </w:p>
        </w:tc>
        <w:tc>
          <w:tcPr>
            <w:tcW w:w="8390" w:type="dxa"/>
            <w:tcBorders/>
            <w:vAlign w:val="bottom"/>
          </w:tcPr>
          <w:p>
            <w:pPr>
              <w:pStyle w:val="TableContents"/>
              <w:bidi w:val="0"/>
              <w:spacing w:before="0" w:after="283"/>
              <w:jc w:val="left"/>
              <w:rPr>
                <w:i/>
              </w:rPr>
            </w:pPr>
            <w:r>
              <w:rPr>
                <w:i/>
              </w:rPr>
              <w:t>Option to Effect Legal Defeasance or Covenant Defeasance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1220" w:type="dxa"/>
        <w:jc w:val="center"/>
        <w:tblInd w:w="0" w:type="dxa"/>
        <w:tblLayout w:type="fixed"/>
        <w:tblCellMar>
          <w:top w:w="0" w:type="dxa"/>
          <w:left w:w="0" w:type="dxa"/>
          <w:bottom w:w="0" w:type="dxa"/>
          <w:right w:w="0" w:type="dxa"/>
        </w:tblCellMar>
      </w:tblPr>
      <w:tblGrid>
        <w:gridCol w:w="1145"/>
        <w:gridCol w:w="120"/>
        <w:gridCol w:w="9335"/>
        <w:gridCol w:w="120"/>
        <w:gridCol w:w="60"/>
        <w:gridCol w:w="38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Legal Defeasance and Discharge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Conditions to Legal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Deposited Money and Government Securities to be Held in Trust; Other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Repayment to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Reinstatement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r>
      <w:tr>
        <w:trPr>
          <w:trHeight w:val="120" w:hRule="atLeast"/>
        </w:trPr>
        <w:tc>
          <w:tcPr>
            <w:tcW w:w="1060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283"/>
              <w:jc w:val="center"/>
              <w:rPr/>
            </w:pPr>
            <w:r>
              <w:rPr/>
              <w:t>ARTICLE 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AMENDMENT, SUPPLEMENT AND 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Without Consent of Holders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With Consent of Holders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Revocation and Effect of Consents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Notation on or Exchange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Trustee to Sign Amendments,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rHeight w:val="120" w:hRule="atLeast"/>
        </w:trPr>
        <w:tc>
          <w:tcPr>
            <w:tcW w:w="1060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283"/>
              <w:jc w:val="center"/>
              <w:rPr/>
            </w:pPr>
            <w:r>
              <w:rPr/>
              <w:t>ARTICLE 10</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NOTE GUARANTEES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Guarantee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Limitation on Guarantor Liability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Execution and Delivery of Note Guarantee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Guarantors May Consolidate, etc., on Certain Terms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Releases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rHeight w:val="120" w:hRule="atLeast"/>
        </w:trPr>
        <w:tc>
          <w:tcPr>
            <w:tcW w:w="1060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283"/>
              <w:jc w:val="center"/>
              <w:rPr/>
            </w:pPr>
            <w:r>
              <w:rPr/>
              <w:t>ARTICLE 11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Satisfaction and Discharge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Application of Trust Money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rHeight w:val="120" w:hRule="atLeast"/>
        </w:trPr>
        <w:tc>
          <w:tcPr>
            <w:tcW w:w="1060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283"/>
              <w:jc w:val="center"/>
              <w:rPr/>
            </w:pPr>
            <w:r>
              <w:rPr/>
              <w:t>ARTICLE 12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Security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Release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Suits to Protect the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Authorization of Receipt of Funds by the Trustee Under the Security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Purchaser Protected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Powers Exercisable by Receiver or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Notes Collateral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r>
      <w:tr>
        <w:trPr>
          <w:trHeight w:val="120" w:hRule="atLeast"/>
        </w:trPr>
        <w:tc>
          <w:tcPr>
            <w:tcW w:w="10600" w:type="dxa"/>
            <w:gridSpan w:val="3"/>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283"/>
              <w:jc w:val="center"/>
              <w:rPr/>
            </w:pPr>
            <w:r>
              <w:rPr/>
              <w:t>ARTICLE 13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60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U.S.A. Patriot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Certificate and Opinion as to Conditions Precedent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Statements Required in Certificate or Opinion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Rules by Trustee and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No Personal Liability of Directors, Officers, Employees and Stockholders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20"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i/>
              </w:rPr>
            </w:pPr>
            <w:r>
              <w:rPr>
                <w:i/>
              </w:rPr>
              <w:t>No Adverse Interpretation of Other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01"/>
        <w:gridCol w:w="146"/>
        <w:gridCol w:w="7905"/>
        <w:gridCol w:w="146"/>
        <w:gridCol w:w="60"/>
        <w:gridCol w:w="383"/>
        <w:gridCol w:w="64"/>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90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46" w:type="dxa"/>
            <w:tcBorders/>
            <w:vAlign w:val="bottom"/>
          </w:tcPr>
          <w:p>
            <w:pPr>
              <w:pStyle w:val="TableContents"/>
              <w:bidi w:val="0"/>
              <w:spacing w:before="0" w:after="283"/>
              <w:jc w:val="left"/>
              <w:rPr/>
            </w:pPr>
            <w:r>
              <w:rPr/>
              <w:t>  </w:t>
            </w:r>
          </w:p>
        </w:tc>
        <w:tc>
          <w:tcPr>
            <w:tcW w:w="7905" w:type="dxa"/>
            <w:tcBorders/>
            <w:vAlign w:val="bottom"/>
          </w:tcPr>
          <w:p>
            <w:pPr>
              <w:pStyle w:val="TableContents"/>
              <w:bidi w:val="0"/>
              <w:spacing w:before="0" w:after="283"/>
              <w:jc w:val="left"/>
              <w:rPr>
                <w:i/>
              </w:rPr>
            </w:pPr>
            <w:r>
              <w:rPr>
                <w:i/>
              </w:rPr>
              <w:t>Successors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46" w:type="dxa"/>
            <w:tcBorders/>
            <w:vAlign w:val="bottom"/>
          </w:tcPr>
          <w:p>
            <w:pPr>
              <w:pStyle w:val="TableContents"/>
              <w:bidi w:val="0"/>
              <w:spacing w:before="0" w:after="283"/>
              <w:jc w:val="left"/>
              <w:rPr/>
            </w:pPr>
            <w:r>
              <w:rPr/>
              <w:t>  </w:t>
            </w:r>
          </w:p>
        </w:tc>
        <w:tc>
          <w:tcPr>
            <w:tcW w:w="7905" w:type="dxa"/>
            <w:tcBorders/>
            <w:vAlign w:val="bottom"/>
          </w:tcPr>
          <w:p>
            <w:pPr>
              <w:pStyle w:val="TableContents"/>
              <w:bidi w:val="0"/>
              <w:spacing w:before="0" w:after="283"/>
              <w:jc w:val="left"/>
              <w:rPr>
                <w:i/>
              </w:rPr>
            </w:pPr>
            <w:r>
              <w:rPr>
                <w:i/>
              </w:rPr>
              <w:t>Severability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46" w:type="dxa"/>
            <w:tcBorders/>
            <w:vAlign w:val="bottom"/>
          </w:tcPr>
          <w:p>
            <w:pPr>
              <w:pStyle w:val="TableContents"/>
              <w:bidi w:val="0"/>
              <w:spacing w:before="0" w:after="283"/>
              <w:jc w:val="left"/>
              <w:rPr/>
            </w:pPr>
            <w:r>
              <w:rPr/>
              <w:t>  </w:t>
            </w:r>
          </w:p>
        </w:tc>
        <w:tc>
          <w:tcPr>
            <w:tcW w:w="7905" w:type="dxa"/>
            <w:tcBorders/>
            <w:vAlign w:val="bottom"/>
          </w:tcPr>
          <w:p>
            <w:pPr>
              <w:pStyle w:val="TableContents"/>
              <w:bidi w:val="0"/>
              <w:spacing w:before="0" w:after="283"/>
              <w:jc w:val="left"/>
              <w:rPr>
                <w:i/>
              </w:rPr>
            </w:pPr>
            <w:r>
              <w:rPr>
                <w:i/>
              </w:rPr>
              <w:t>Counterpart Originals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46" w:type="dxa"/>
            <w:tcBorders/>
            <w:vAlign w:val="bottom"/>
          </w:tcPr>
          <w:p>
            <w:pPr>
              <w:pStyle w:val="TableContents"/>
              <w:bidi w:val="0"/>
              <w:spacing w:before="0" w:after="283"/>
              <w:jc w:val="left"/>
              <w:rPr/>
            </w:pPr>
            <w:r>
              <w:rPr/>
              <w:t>  </w:t>
            </w:r>
          </w:p>
        </w:tc>
        <w:tc>
          <w:tcPr>
            <w:tcW w:w="7905" w:type="dxa"/>
            <w:tcBorders/>
            <w:vAlign w:val="bottom"/>
          </w:tcPr>
          <w:p>
            <w:pPr>
              <w:pStyle w:val="TableContents"/>
              <w:bidi w:val="0"/>
              <w:spacing w:before="0" w:after="283"/>
              <w:jc w:val="left"/>
              <w:rPr>
                <w:i/>
              </w:rPr>
            </w:pPr>
            <w:r>
              <w:rPr>
                <w:i/>
              </w:rPr>
              <w:t>Table of Contents, Headings, etc.</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46" w:type="dxa"/>
            <w:tcBorders/>
            <w:vAlign w:val="bottom"/>
          </w:tcPr>
          <w:p>
            <w:pPr>
              <w:pStyle w:val="TableContents"/>
              <w:bidi w:val="0"/>
              <w:spacing w:before="0" w:after="283"/>
              <w:jc w:val="left"/>
              <w:rPr/>
            </w:pPr>
            <w:r>
              <w:rPr/>
              <w:t>  </w:t>
            </w:r>
          </w:p>
        </w:tc>
        <w:tc>
          <w:tcPr>
            <w:tcW w:w="7905" w:type="dxa"/>
            <w:tcBorders/>
            <w:vAlign w:val="bottom"/>
          </w:tcPr>
          <w:p>
            <w:pPr>
              <w:pStyle w:val="TableContents"/>
              <w:bidi w:val="0"/>
              <w:spacing w:before="0" w:after="283"/>
              <w:jc w:val="left"/>
              <w:rPr>
                <w:i/>
              </w:rPr>
            </w:pPr>
            <w:r>
              <w:rPr>
                <w:i/>
              </w:rPr>
              <w:t>Force Majeure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146" w:type="dxa"/>
            <w:tcBorders/>
            <w:vAlign w:val="bottom"/>
          </w:tcPr>
          <w:p>
            <w:pPr>
              <w:pStyle w:val="TableContents"/>
              <w:bidi w:val="0"/>
              <w:spacing w:before="0" w:after="283"/>
              <w:jc w:val="left"/>
              <w:rPr/>
            </w:pPr>
            <w:r>
              <w:rPr/>
              <w:t>  </w:t>
            </w:r>
          </w:p>
        </w:tc>
        <w:tc>
          <w:tcPr>
            <w:tcW w:w="7905" w:type="dxa"/>
            <w:tcBorders/>
            <w:vAlign w:val="bottom"/>
          </w:tcPr>
          <w:p>
            <w:pPr>
              <w:pStyle w:val="TableContents"/>
              <w:bidi w:val="0"/>
              <w:spacing w:before="0" w:after="283"/>
              <w:jc w:val="left"/>
              <w:rPr>
                <w:i/>
              </w:rPr>
            </w:pPr>
            <w:r>
              <w:rPr>
                <w:i/>
              </w:rPr>
              <w:t>Waiver of Jury Trial</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0"/>
        <w:gridCol w:w="315"/>
        <w:gridCol w:w="8940"/>
      </w:tblGrid>
      <w:tr>
        <w:trPr/>
        <w:tc>
          <w:tcPr>
            <w:tcW w:w="95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pPr>
            <w:r>
              <w:rPr/>
              <w:t>Exhibit A</w:t>
            </w:r>
          </w:p>
        </w:tc>
        <w:tc>
          <w:tcPr>
            <w:tcW w:w="315" w:type="dxa"/>
            <w:tcBorders/>
            <w:vAlign w:val="bottom"/>
          </w:tcPr>
          <w:p>
            <w:pPr>
              <w:pStyle w:val="TableContents"/>
              <w:bidi w:val="0"/>
              <w:spacing w:before="0" w:after="283"/>
              <w:jc w:val="left"/>
              <w:rPr/>
            </w:pPr>
            <w:r>
              <w:rPr/>
              <w:t>  </w:t>
            </w:r>
          </w:p>
        </w:tc>
        <w:tc>
          <w:tcPr>
            <w:tcW w:w="8940" w:type="dxa"/>
            <w:tcBorders/>
          </w:tcPr>
          <w:p>
            <w:pPr>
              <w:pStyle w:val="TableContents"/>
              <w:bidi w:val="0"/>
              <w:spacing w:before="0" w:after="283"/>
              <w:jc w:val="left"/>
              <w:rPr/>
            </w:pPr>
            <w:r>
              <w:rPr/>
              <w:t>FORM OF NOTE</w:t>
            </w:r>
          </w:p>
        </w:tc>
      </w:tr>
      <w:tr>
        <w:trPr>
          <w:trHeight w:val="120" w:hRule="atLeast"/>
        </w:trPr>
        <w:tc>
          <w:tcPr>
            <w:tcW w:w="950" w:type="dxa"/>
            <w:tcBorders/>
            <w:vAlign w:val="center"/>
          </w:tcPr>
          <w:p>
            <w:pPr>
              <w:pStyle w:val="TableContents"/>
              <w:bidi w:val="0"/>
              <w:spacing w:before="0" w:after="283"/>
              <w:jc w:val="left"/>
              <w:rPr>
                <w:sz w:val="4"/>
                <w:szCs w:val="4"/>
              </w:rPr>
            </w:pPr>
            <w:r>
              <w:rPr>
                <w:sz w:val="4"/>
                <w:szCs w:val="4"/>
              </w:rPr>
            </w:r>
          </w:p>
        </w:tc>
        <w:tc>
          <w:tcPr>
            <w:tcW w:w="925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pPr>
            <w:r>
              <w:rPr/>
              <w:t>Exhibit B</w:t>
            </w:r>
          </w:p>
        </w:tc>
        <w:tc>
          <w:tcPr>
            <w:tcW w:w="315" w:type="dxa"/>
            <w:tcBorders/>
            <w:vAlign w:val="bottom"/>
          </w:tcPr>
          <w:p>
            <w:pPr>
              <w:pStyle w:val="TableContents"/>
              <w:bidi w:val="0"/>
              <w:spacing w:before="0" w:after="283"/>
              <w:jc w:val="left"/>
              <w:rPr/>
            </w:pPr>
            <w:r>
              <w:rPr/>
              <w:t>  </w:t>
            </w:r>
          </w:p>
        </w:tc>
        <w:tc>
          <w:tcPr>
            <w:tcW w:w="8940" w:type="dxa"/>
            <w:tcBorders/>
          </w:tcPr>
          <w:p>
            <w:pPr>
              <w:pStyle w:val="TableContents"/>
              <w:bidi w:val="0"/>
              <w:spacing w:before="0" w:after="283"/>
              <w:jc w:val="left"/>
              <w:rPr/>
            </w:pPr>
            <w:r>
              <w:rPr/>
              <w:t>FORM OF CERTIFICATE OF TRANSFER</w:t>
            </w:r>
          </w:p>
        </w:tc>
      </w:tr>
      <w:tr>
        <w:trPr>
          <w:trHeight w:val="120" w:hRule="atLeast"/>
        </w:trPr>
        <w:tc>
          <w:tcPr>
            <w:tcW w:w="950" w:type="dxa"/>
            <w:tcBorders/>
            <w:vAlign w:val="center"/>
          </w:tcPr>
          <w:p>
            <w:pPr>
              <w:pStyle w:val="TableContents"/>
              <w:bidi w:val="0"/>
              <w:spacing w:before="0" w:after="283"/>
              <w:jc w:val="left"/>
              <w:rPr>
                <w:sz w:val="4"/>
                <w:szCs w:val="4"/>
              </w:rPr>
            </w:pPr>
            <w:r>
              <w:rPr>
                <w:sz w:val="4"/>
                <w:szCs w:val="4"/>
              </w:rPr>
            </w:r>
          </w:p>
        </w:tc>
        <w:tc>
          <w:tcPr>
            <w:tcW w:w="925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pPr>
            <w:r>
              <w:rPr/>
              <w:t>Exhibit C</w:t>
            </w:r>
          </w:p>
        </w:tc>
        <w:tc>
          <w:tcPr>
            <w:tcW w:w="315" w:type="dxa"/>
            <w:tcBorders/>
            <w:vAlign w:val="bottom"/>
          </w:tcPr>
          <w:p>
            <w:pPr>
              <w:pStyle w:val="TableContents"/>
              <w:bidi w:val="0"/>
              <w:spacing w:before="0" w:after="283"/>
              <w:jc w:val="left"/>
              <w:rPr/>
            </w:pPr>
            <w:r>
              <w:rPr/>
              <w:t>  </w:t>
            </w:r>
          </w:p>
        </w:tc>
        <w:tc>
          <w:tcPr>
            <w:tcW w:w="8940" w:type="dxa"/>
            <w:tcBorders/>
          </w:tcPr>
          <w:p>
            <w:pPr>
              <w:pStyle w:val="TableContents"/>
              <w:bidi w:val="0"/>
              <w:spacing w:before="0" w:after="283"/>
              <w:jc w:val="left"/>
              <w:rPr/>
            </w:pPr>
            <w:r>
              <w:rPr/>
              <w:t>FORM OF CERTIFICATE OF EXCHANGE</w:t>
            </w:r>
          </w:p>
        </w:tc>
      </w:tr>
      <w:tr>
        <w:trPr>
          <w:trHeight w:val="120" w:hRule="atLeast"/>
        </w:trPr>
        <w:tc>
          <w:tcPr>
            <w:tcW w:w="950" w:type="dxa"/>
            <w:tcBorders/>
            <w:vAlign w:val="center"/>
          </w:tcPr>
          <w:p>
            <w:pPr>
              <w:pStyle w:val="TableContents"/>
              <w:bidi w:val="0"/>
              <w:spacing w:before="0" w:after="283"/>
              <w:jc w:val="left"/>
              <w:rPr>
                <w:sz w:val="4"/>
                <w:szCs w:val="4"/>
              </w:rPr>
            </w:pPr>
            <w:r>
              <w:rPr>
                <w:sz w:val="4"/>
                <w:szCs w:val="4"/>
              </w:rPr>
            </w:r>
          </w:p>
        </w:tc>
        <w:tc>
          <w:tcPr>
            <w:tcW w:w="925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pPr>
            <w:r>
              <w:rPr/>
              <w:t>Exhibit D</w:t>
            </w:r>
          </w:p>
        </w:tc>
        <w:tc>
          <w:tcPr>
            <w:tcW w:w="315" w:type="dxa"/>
            <w:tcBorders/>
            <w:vAlign w:val="bottom"/>
          </w:tcPr>
          <w:p>
            <w:pPr>
              <w:pStyle w:val="TableContents"/>
              <w:bidi w:val="0"/>
              <w:spacing w:before="0" w:after="283"/>
              <w:jc w:val="left"/>
              <w:rPr/>
            </w:pPr>
            <w:r>
              <w:rPr/>
              <w:t>  </w:t>
            </w:r>
          </w:p>
        </w:tc>
        <w:tc>
          <w:tcPr>
            <w:tcW w:w="8940" w:type="dxa"/>
            <w:tcBorders/>
          </w:tcPr>
          <w:p>
            <w:pPr>
              <w:pStyle w:val="TableContents"/>
              <w:bidi w:val="0"/>
              <w:spacing w:before="0" w:after="283"/>
              <w:jc w:val="left"/>
              <w:rPr/>
            </w:pPr>
            <w:r>
              <w:rPr/>
              <w:t>FORM OF CERTIFICATE FROM ACQUIRING INSTITUTIONAL ACCREDITED INVESTOR</w:t>
            </w:r>
          </w:p>
        </w:tc>
      </w:tr>
      <w:tr>
        <w:trPr>
          <w:trHeight w:val="120" w:hRule="atLeast"/>
        </w:trPr>
        <w:tc>
          <w:tcPr>
            <w:tcW w:w="950" w:type="dxa"/>
            <w:tcBorders/>
            <w:vAlign w:val="center"/>
          </w:tcPr>
          <w:p>
            <w:pPr>
              <w:pStyle w:val="TableContents"/>
              <w:bidi w:val="0"/>
              <w:spacing w:before="0" w:after="283"/>
              <w:jc w:val="left"/>
              <w:rPr>
                <w:sz w:val="4"/>
                <w:szCs w:val="4"/>
              </w:rPr>
            </w:pPr>
            <w:r>
              <w:rPr>
                <w:sz w:val="4"/>
                <w:szCs w:val="4"/>
              </w:rPr>
            </w:r>
          </w:p>
        </w:tc>
        <w:tc>
          <w:tcPr>
            <w:tcW w:w="9255"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pPr>
            <w:r>
              <w:rPr/>
              <w:t>Exhibit E</w:t>
            </w:r>
          </w:p>
        </w:tc>
        <w:tc>
          <w:tcPr>
            <w:tcW w:w="315" w:type="dxa"/>
            <w:tcBorders/>
            <w:vAlign w:val="bottom"/>
          </w:tcPr>
          <w:p>
            <w:pPr>
              <w:pStyle w:val="TableContents"/>
              <w:bidi w:val="0"/>
              <w:spacing w:before="0" w:after="283"/>
              <w:jc w:val="left"/>
              <w:rPr/>
            </w:pPr>
            <w:r>
              <w:rPr/>
              <w:t>  </w:t>
            </w:r>
          </w:p>
        </w:tc>
        <w:tc>
          <w:tcPr>
            <w:tcW w:w="8940" w:type="dxa"/>
            <w:tcBorders/>
          </w:tcPr>
          <w:p>
            <w:pPr>
              <w:pStyle w:val="TableContents"/>
              <w:bidi w:val="0"/>
              <w:spacing w:before="0" w:after="283"/>
              <w:jc w:val="left"/>
              <w:rPr/>
            </w:pPr>
            <w:r>
              <w:rPr/>
              <w:t>FORM OF SUPPLEMENTAL INDENTURE TO BE DELIVERED BY SUBSEQUENT GUARANTORS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October 19, 2026 among Integra LifeSciences Holdings Corporation, a Delaware corporation (the “</w:t>
      </w:r>
      <w:r>
        <w:rPr>
          <w:rFonts w:ascii="Times New Roman" w:hAnsi="Times New Roman"/>
          <w:i/>
          <w:sz w:val="20"/>
        </w:rPr>
        <w:t>Company</w:t>
      </w:r>
      <w:r>
        <w:rPr>
          <w:rFonts w:ascii="Times New Roman" w:hAnsi="Times New Roman"/>
          <w:sz w:val="20"/>
        </w:rPr>
        <w:t>”), the Guarantors (as defined herein) and Truist Bank, a North Carolina banking corporation, as trustee (the “</w:t>
      </w:r>
      <w:r>
        <w:rPr>
          <w:rFonts w:ascii="Times New Roman" w:hAnsi="Times New Roman"/>
          <w:i/>
          <w:sz w:val="20"/>
        </w:rPr>
        <w:t>Trustee</w:t>
      </w:r>
      <w:r>
        <w:rPr>
          <w:rFonts w:ascii="Times New Roman" w:hAnsi="Times New Roman"/>
          <w:sz w:val="20"/>
        </w:rPr>
        <w:t>”) and collateral agent (the “</w:t>
      </w:r>
      <w:r>
        <w:rPr>
          <w:rFonts w:ascii="Times New Roman" w:hAnsi="Times New Roman"/>
          <w:i/>
          <w:sz w:val="20"/>
        </w:rPr>
        <w:t>Notes 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the Guarantors, the Trustee and the Notes Collateral Agent agree as follows for the benefit of each other and for the equal and ratable benefit of the Holders (as defined herein) of the 9.500% Senior Secured Notes due 2033 issued pursuant hereto (including any Additional Notes, the “</w:t>
      </w:r>
      <w:r>
        <w:rPr>
          <w:rFonts w:ascii="Times New Roman" w:hAnsi="Times New Roman"/>
          <w:i/>
          <w:sz w:val="20"/>
        </w:rPr>
        <w:t>Notes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144A Global Note</w:t>
      </w:r>
      <w:r>
        <w:rPr>
          <w:rFonts w:ascii="Times New Roman" w:hAnsi="Times New Roman"/>
          <w:sz w:val="20"/>
        </w:rPr>
        <w:t xml:space="preserve">”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 </w:t>
      </w:r>
    </w:p>
    <w:p>
      <w:pPr>
        <w:pStyle w:val="TextBody"/>
        <w:bidi w:val="0"/>
        <w:spacing w:before="240" w:after="0"/>
        <w:jc w:val="left"/>
        <w:rPr/>
      </w:pPr>
      <w:r>
        <w:rPr/>
        <w:t>“</w:t>
      </w:r>
      <w:r>
        <w:rPr>
          <w:rFonts w:ascii="Times New Roman" w:hAnsi="Times New Roman"/>
          <w:i/>
          <w:sz w:val="20"/>
        </w:rPr>
        <w:t>Acquired Debt</w:t>
      </w:r>
      <w:r>
        <w:rPr>
          <w:rFonts w:ascii="Times New Roman" w:hAnsi="Times New Roman"/>
          <w:sz w:val="20"/>
        </w:rPr>
        <w:t xml:space="preserve">” means, with respect to any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Indebtedness of such acquired Person that is redeemed, defeased, retired or otherwise repaid at the time of or immediately upon consummation of the transactions by which such Person merges with or into or becomes a Subsidiary of such Person shall not be considered to be Acquired Debt; and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secured by a Lien encumbering any asset acquired by such specified Person. </w:t>
      </w:r>
    </w:p>
    <w:p>
      <w:pPr>
        <w:pStyle w:val="TextBody"/>
        <w:bidi w:val="0"/>
        <w:spacing w:before="240" w:after="0"/>
        <w:jc w:val="left"/>
        <w:rPr>
          <w:rFonts w:ascii="Times New Roman" w:hAnsi="Times New Roman"/>
          <w:sz w:val="20"/>
        </w:rPr>
      </w:pPr>
      <w:r>
        <w:rPr>
          <w:rFonts w:ascii="Times New Roman" w:hAnsi="Times New Roman"/>
          <w:sz w:val="20"/>
        </w:rPr>
        <w:t xml:space="preserve">Acquired Debt shall be deemed to have been incurred, with respect to clause (1) of the preceding sentence, on the date such Person becomes a Subsidiary or on the date of the relevant merger, amalgamation, consolidation, acquisition or other combination. </w:t>
      </w:r>
    </w:p>
    <w:p>
      <w:pPr>
        <w:pStyle w:val="TextBody"/>
        <w:bidi w:val="0"/>
        <w:spacing w:before="240" w:after="0"/>
        <w:jc w:val="left"/>
        <w:rPr/>
      </w:pPr>
      <w:r>
        <w:rPr/>
        <w:t>“</w:t>
      </w:r>
      <w:r>
        <w:rPr>
          <w:rFonts w:ascii="Times New Roman" w:hAnsi="Times New Roman"/>
          <w:i/>
          <w:sz w:val="20"/>
        </w:rPr>
        <w:t>Additional First Lien Obligations</w:t>
      </w:r>
      <w:r>
        <w:rPr>
          <w:rFonts w:ascii="Times New Roman" w:hAnsi="Times New Roman"/>
          <w:sz w:val="20"/>
        </w:rPr>
        <w:t xml:space="preserve">” means any Indebtedness permitted to be incurred and secured pursuant to the terms of this Indenture and having Pari Passu Lien Priority relative to the Notes with respect to the Collateral; </w:t>
      </w:r>
      <w:r>
        <w:rPr>
          <w:rFonts w:ascii="Times New Roman" w:hAnsi="Times New Roman"/>
          <w:i/>
          <w:sz w:val="20"/>
        </w:rPr>
        <w:t xml:space="preserve">provided </w:t>
      </w:r>
      <w:r>
        <w:rPr>
          <w:rFonts w:ascii="Times New Roman" w:hAnsi="Times New Roman"/>
          <w:sz w:val="20"/>
        </w:rPr>
        <w:t xml:space="preserve">that an authorized representative of the holders of such Indebtedness shall have executed a joinder to the First Lien Intercreditor Agreement. </w:t>
      </w:r>
    </w:p>
    <w:p>
      <w:pPr>
        <w:pStyle w:val="TextBody"/>
        <w:bidi w:val="0"/>
        <w:spacing w:before="240" w:after="0"/>
        <w:jc w:val="left"/>
        <w:rPr/>
      </w:pPr>
      <w:r>
        <w:rPr/>
        <w:t>“</w:t>
      </w:r>
      <w:r>
        <w:rPr>
          <w:rFonts w:ascii="Times New Roman" w:hAnsi="Times New Roman"/>
          <w:i/>
          <w:sz w:val="20"/>
        </w:rPr>
        <w:t>Additional First Lien Secured Parties</w:t>
      </w:r>
      <w:r>
        <w:rPr>
          <w:rFonts w:ascii="Times New Roman" w:hAnsi="Times New Roman"/>
          <w:sz w:val="20"/>
        </w:rPr>
        <w:t xml:space="preserve">” means the holders of any Additional First Lien Obligations and any trustee, authorized representative or agent of such Additional First Lien Obligations. </w:t>
      </w:r>
    </w:p>
    <w:p>
      <w:pPr>
        <w:pStyle w:val="TextBody"/>
        <w:bidi w:val="0"/>
        <w:spacing w:before="240" w:after="0"/>
        <w:jc w:val="left"/>
        <w:rPr/>
      </w:pPr>
      <w:r>
        <w:rPr/>
        <w:t>“</w:t>
      </w:r>
      <w:r>
        <w:rPr>
          <w:rFonts w:ascii="Times New Roman" w:hAnsi="Times New Roman"/>
          <w:i/>
          <w:sz w:val="20"/>
        </w:rPr>
        <w:t>Additional Notes</w:t>
      </w:r>
      <w:r>
        <w:rPr>
          <w:rFonts w:ascii="Times New Roman" w:hAnsi="Times New Roman"/>
          <w:sz w:val="20"/>
        </w:rPr>
        <w:t xml:space="preserve">” means additional Notes (other than the Initial Notes) issued under this Indenture in accordance with Sections 2.02, 4.09 and 4.12 hereof, as part of the same series as the Initial Notes.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Times New Roman" w:hAnsi="Times New Roman"/>
          <w:i/>
          <w:sz w:val="20"/>
        </w:rPr>
        <w:t>controlling</w:t>
      </w:r>
      <w:r>
        <w:rPr>
          <w:rFonts w:ascii="Times New Roman" w:hAnsi="Times New Roman"/>
          <w:sz w:val="20"/>
        </w:rPr>
        <w:t>,” “</w:t>
      </w:r>
      <w:r>
        <w:rPr>
          <w:rFonts w:ascii="Times New Roman" w:hAnsi="Times New Roman"/>
          <w:i/>
          <w:sz w:val="20"/>
        </w:rPr>
        <w:t>controlled by</w:t>
      </w:r>
      <w:r>
        <w:rPr>
          <w:rFonts w:ascii="Times New Roman" w:hAnsi="Times New Roman"/>
          <w:sz w:val="20"/>
        </w:rPr>
        <w:t>” and “</w:t>
      </w:r>
      <w:r>
        <w:rPr>
          <w:rFonts w:ascii="Times New Roman" w:hAnsi="Times New Roman"/>
          <w:i/>
          <w:sz w:val="20"/>
        </w:rPr>
        <w:t>under common control with</w:t>
      </w:r>
      <w:r>
        <w:rPr>
          <w:rFonts w:ascii="Times New Roman" w:hAnsi="Times New Roman"/>
          <w:sz w:val="20"/>
        </w:rPr>
        <w:t xml:space="preserve">” have correlative meanings.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co-registrar, Paying Agent or additional paying agent.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Applicable Premium</w:t>
      </w:r>
      <w:r>
        <w:rPr>
          <w:rFonts w:ascii="Times New Roman" w:hAnsi="Times New Roman"/>
          <w:sz w:val="20"/>
        </w:rPr>
        <w:t xml:space="preserve">” means, with respect to any Note on any redemption date,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1.0% of the principal amount of the Note; or </w:t>
      </w:r>
    </w:p>
    <w:p>
      <w:pPr>
        <w:pStyle w:val="TextBody"/>
        <w:bidi w:val="0"/>
        <w:spacing w:before="120" w:after="0"/>
        <w:jc w:val="left"/>
        <w:rPr>
          <w:rFonts w:ascii="Times New Roman" w:hAnsi="Times New Roman"/>
          <w:sz w:val="20"/>
        </w:rPr>
      </w:pPr>
      <w:r>
        <w:rPr>
          <w:rFonts w:ascii="Times New Roman" w:hAnsi="Times New Roman"/>
          <w:sz w:val="20"/>
        </w:rPr>
        <w:t xml:space="preserve">(2) the excess of: (a) the present value at such redemption date of (i) the redemption price of the Note at November 1, 2029 (such redemption price being set forth in the table appearing in Section 3.07 hereof) plus (ii) all required interest payments due on the Note through November 1, 2029 (excluding accrued but unpaid interest to the redemption date), computed using a discount rate equal to the Treasury Rate as of such redemption date plus 50 basis points; over (b) the outstanding principal amount of the Note. </w:t>
      </w:r>
    </w:p>
    <w:p>
      <w:pPr>
        <w:pStyle w:val="TextBody"/>
        <w:bidi w:val="0"/>
        <w:spacing w:before="240" w:after="0"/>
        <w:jc w:val="left"/>
        <w:rPr/>
      </w:pPr>
      <w:r>
        <w:rPr/>
        <w:t>“</w:t>
      </w:r>
      <w:r>
        <w:rPr>
          <w:rFonts w:ascii="Times New Roman" w:hAnsi="Times New Roman"/>
          <w:i/>
          <w:sz w:val="20"/>
        </w:rPr>
        <w:t>Applicable Procedures</w:t>
      </w:r>
      <w:r>
        <w:rPr>
          <w:rFonts w:ascii="Times New Roman" w:hAnsi="Times New Roman"/>
          <w:sz w:val="20"/>
        </w:rPr>
        <w:t xml:space="preserve">” means, with respect to any transfer or exchange of or for beneficial interests in any Global Note, the rules and procedures of the Depositary, Euroclear and Clearstream that apply to such transfer or exchange. </w:t>
      </w:r>
    </w:p>
    <w:p>
      <w:pPr>
        <w:pStyle w:val="TextBody"/>
        <w:bidi w:val="0"/>
        <w:spacing w:before="240" w:after="0"/>
        <w:jc w:val="left"/>
        <w:rPr/>
      </w:pPr>
      <w:r>
        <w:rPr/>
        <w:t>“</w:t>
      </w:r>
      <w:r>
        <w:rPr>
          <w:rFonts w:ascii="Times New Roman" w:hAnsi="Times New Roman"/>
          <w:i/>
          <w:sz w:val="20"/>
        </w:rPr>
        <w:t>Asset Sale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the voluntary sale, lease, conveyance or other disposition of any assets or property by the Company or any of its Restricted Subsidiaries (in each case other than Equity Interests of the Company); </w:t>
      </w:r>
      <w:r>
        <w:rPr>
          <w:rFonts w:ascii="Times New Roman" w:hAnsi="Times New Roman"/>
          <w:i/>
          <w:sz w:val="20"/>
        </w:rPr>
        <w:t>provided</w:t>
      </w:r>
      <w:r>
        <w:rPr>
          <w:rFonts w:ascii="Times New Roman" w:hAnsi="Times New Roman"/>
          <w:sz w:val="20"/>
        </w:rPr>
        <w:t xml:space="preserve"> that the sale, lease, conveyance or other disposition of all or substantially all of the assets of the Company and its Restricted Subsidiaries taken as a whole will be governed by Sections 4.14 and 5.01 hereof (and not by Section 4.10 hereof); and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of Equity Interests (other than directors’ qualifying shares or shares or interests required to be held by foreign nationals or third parties to the extent required by applicable law or any Preferred Stock or Disqualified Stock of a Restricted Subsidiary of the Company issued in compliance with Section 4.09 hereof) by any of the Company’s Restricted Subsidiaries or the sale by the Company or any of its Restricted Subsidiaries of Equity Interests in any of the Company’s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none of the following items will be deemed to be an Asset Sale: </w:t>
      </w:r>
    </w:p>
    <w:p>
      <w:pPr>
        <w:pStyle w:val="TextBody"/>
        <w:bidi w:val="0"/>
        <w:spacing w:before="120" w:after="0"/>
        <w:jc w:val="left"/>
        <w:rPr>
          <w:rFonts w:ascii="Times New Roman" w:hAnsi="Times New Roman"/>
          <w:sz w:val="20"/>
        </w:rPr>
      </w:pPr>
      <w:r>
        <w:rPr>
          <w:rFonts w:ascii="Times New Roman" w:hAnsi="Times New Roman"/>
          <w:sz w:val="20"/>
        </w:rPr>
        <w:t xml:space="preserve">(1) any single transaction that involves assets or Equity Interests having a Fair Market Value of less than the greater of (x) $30.0 million and (y) 7.5% of LTM Consolidated EBITDA; </w:t>
      </w:r>
    </w:p>
    <w:p>
      <w:pPr>
        <w:pStyle w:val="TextBody"/>
        <w:bidi w:val="0"/>
        <w:spacing w:before="120" w:after="0"/>
        <w:jc w:val="left"/>
        <w:rPr>
          <w:rFonts w:ascii="Times New Roman" w:hAnsi="Times New Roman"/>
          <w:sz w:val="20"/>
        </w:rPr>
      </w:pPr>
      <w:r>
        <w:rPr>
          <w:rFonts w:ascii="Times New Roman" w:hAnsi="Times New Roman"/>
          <w:sz w:val="20"/>
        </w:rPr>
        <w:t xml:space="preserve">(2) a transfer of assets between or among the Company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(3) an issuance or sale of Equity Interests by a Restricted Subsidiary of the Company to the Company or to another Restricted Subsidiary of the Company or as part of or pursuant to an equity incentive or compensation plan approved by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(4) the sale, lease or other transfer of products, inventory, services, goods, accounts receivable or other assets in the ordinary course of business or consistent with past practice, the discount or forgiveness of accounts receivable in the ordinary course of business or consistent with past practice in connection with the collection or compromise thereof, the disposition of business not comprising the disposition of an entire line of business and any sale or other disposition of surplus, damaged, worn-out, uneconomic, non-core or obsolete assets in the ordinary course of business (including the abandonment or other disposition of intellectual property that is, in the reasonable judgment of the Company, no longer economically practicable or commercially reasonable to maintain or useful in any material respect, taken as a whole, in the conduct of the business of the Company and its Subsidiaries taken as whole)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(5) conveyances, sales, transfers, licenses, sublicenses, cross-licenses or other dispositions by the Company or any of its Restricted Subsidiaries of software or intellectual property or other general intangibles;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any surrender, termination or waiver of contract rights or settlement, release, recovery on or surrender of contract, tort or other claims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(7) the granting of Liens not prohibited by Section 4.12 hereof and dispositions pursuant to Permitted Intercompany Activities or a Permitted Tax Restructuring; </w:t>
      </w:r>
    </w:p>
    <w:p>
      <w:pPr>
        <w:pStyle w:val="TextBody"/>
        <w:bidi w:val="0"/>
        <w:spacing w:before="120" w:after="0"/>
        <w:jc w:val="left"/>
        <w:rPr>
          <w:rFonts w:ascii="Times New Roman" w:hAnsi="Times New Roman"/>
          <w:sz w:val="20"/>
        </w:rPr>
      </w:pPr>
      <w:r>
        <w:rPr>
          <w:rFonts w:ascii="Times New Roman" w:hAnsi="Times New Roman"/>
          <w:sz w:val="20"/>
        </w:rPr>
        <w:t xml:space="preserve">(8) the sale or other disposition of cash or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(9) a Restricted Payment that does not violate Section 4.07 hereof or a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(10) leases and subleases and licenses and sublicenses by the Company or any of its Restricted Subsidiaries of real or personal property in the ordinary course of business or consistent with industry practice; </w:t>
      </w:r>
    </w:p>
    <w:p>
      <w:pPr>
        <w:pStyle w:val="TextBody"/>
        <w:bidi w:val="0"/>
        <w:spacing w:before="120" w:after="0"/>
        <w:jc w:val="left"/>
        <w:rPr>
          <w:rFonts w:ascii="Times New Roman" w:hAnsi="Times New Roman"/>
          <w:sz w:val="20"/>
        </w:rPr>
      </w:pPr>
      <w:r>
        <w:rPr>
          <w:rFonts w:ascii="Times New Roman" w:hAnsi="Times New Roman"/>
          <w:sz w:val="20"/>
        </w:rPr>
        <w:t xml:space="preserve">(11) any liquidation or dissolution of a Restricted Subsidiary; </w:t>
      </w:r>
      <w:r>
        <w:rPr>
          <w:rFonts w:ascii="Times New Roman" w:hAnsi="Times New Roman"/>
          <w:i/>
          <w:sz w:val="20"/>
        </w:rPr>
        <w:t>provided</w:t>
      </w:r>
      <w:r>
        <w:rPr>
          <w:rFonts w:ascii="Times New Roman" w:hAnsi="Times New Roman"/>
          <w:sz w:val="20"/>
        </w:rPr>
        <w:t xml:space="preserve"> that such Restricted Subsidiary’s direct parent is also either the Company or a Restricted Subsidiary of the Company and immediately becomes the owner of such Restricted Subsidiary’s assets; </w:t>
      </w:r>
    </w:p>
    <w:p>
      <w:pPr>
        <w:pStyle w:val="TextBody"/>
        <w:bidi w:val="0"/>
        <w:spacing w:before="120" w:after="0"/>
        <w:jc w:val="left"/>
        <w:rPr>
          <w:rFonts w:ascii="Times New Roman" w:hAnsi="Times New Roman"/>
          <w:sz w:val="20"/>
        </w:rPr>
      </w:pPr>
      <w:r>
        <w:rPr>
          <w:rFonts w:ascii="Times New Roman" w:hAnsi="Times New Roman"/>
          <w:sz w:val="20"/>
        </w:rPr>
        <w:t xml:space="preserve">(12) the granting of any option or other right to purchase, lease or otherwise acquire inventory and delinquent accounts receivable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(13) any issuance or sale of or any other disposition of Equity Interests in, or Indebtedness or other securities of, an Excluded Subsidiary or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(14) any exchange of assets for assets (including a combination of assets and Cash Equivalents) related to a Permitted Business of comparable or greater market value or usefulness to the business of the Company and its Subsidiaries as a whole, as determined in good faith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(15) the sale, transfer, termination or other disposition of Swap Obligations or under any Treasury Management Arrangement incurred in compliance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(16) sales of assets received by the Company or any of its Restricted Subsidiaries upon the foreclosure on a Lien; </w:t>
      </w:r>
    </w:p>
    <w:p>
      <w:pPr>
        <w:pStyle w:val="TextBody"/>
        <w:bidi w:val="0"/>
        <w:spacing w:before="120" w:after="0"/>
        <w:jc w:val="left"/>
        <w:rPr>
          <w:rFonts w:ascii="Times New Roman" w:hAnsi="Times New Roman"/>
          <w:sz w:val="20"/>
        </w:rPr>
      </w:pPr>
      <w:r>
        <w:rPr>
          <w:rFonts w:ascii="Times New Roman" w:hAnsi="Times New Roman"/>
          <w:sz w:val="20"/>
        </w:rPr>
        <w:t xml:space="preserve">(17) any trade-in of equipment by the Company or any Restricted Subsidiary of the Company in exchange for other equipment; </w:t>
      </w:r>
      <w:r>
        <w:rPr>
          <w:rFonts w:ascii="Times New Roman" w:hAnsi="Times New Roman"/>
          <w:i/>
          <w:sz w:val="20"/>
        </w:rPr>
        <w:t>provided</w:t>
      </w:r>
      <w:r>
        <w:rPr>
          <w:rFonts w:ascii="Times New Roman" w:hAnsi="Times New Roman"/>
          <w:sz w:val="20"/>
        </w:rPr>
        <w:t xml:space="preserve"> that in the good faith judgment of the Company, the Company or such Restricted Subsidiary receives equipment having a Fair Market Value equal or greater than the equipment being traded in; </w:t>
      </w:r>
    </w:p>
    <w:p>
      <w:pPr>
        <w:pStyle w:val="TextBody"/>
        <w:bidi w:val="0"/>
        <w:spacing w:before="120" w:after="0"/>
        <w:jc w:val="left"/>
        <w:rPr>
          <w:rFonts w:ascii="Times New Roman" w:hAnsi="Times New Roman"/>
          <w:sz w:val="20"/>
        </w:rPr>
      </w:pPr>
      <w:r>
        <w:rPr>
          <w:rFonts w:ascii="Times New Roman" w:hAnsi="Times New Roman"/>
          <w:sz w:val="20"/>
        </w:rPr>
        <w:t xml:space="preserve">(18) the transfer, sale or other disposition resulting from any involuntary loss of title, involuntary loss or damage to or destruction of, or any condemnation or other taking of, any property or assets of the Company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(19) transactions permitted under Section 5.01 hereof or a transaction that constitutes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(20) any financing transaction with respect to property constructed, acquired, leased, renewed, relocated, expanded, replaced, repaired, maintained, upgraded or improved (including any reconstruction, refurbishment, renovation and/or development of real property) by the Company or any Restricted Subsidiary after the Issue Date, including Sale and Leaseback Transactions and asset securitizations,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(21) sales, transfers or other dispositions of Investments in joint ventures or similar entities to the extent required by, or made pursuant to customary buy/sell arrangements between, the parties set forth in joint venture arrangements and similar binding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the disposition of any assets (including Capital Stock) made in connection with the approval of any applicable antitrust authority or otherwise necessary or advisable in the reasonable determination of the Company to consummate any acquisition; </w:t>
      </w:r>
    </w:p>
    <w:p>
      <w:pPr>
        <w:pStyle w:val="TextBody"/>
        <w:bidi w:val="0"/>
        <w:spacing w:before="120" w:after="0"/>
        <w:jc w:val="left"/>
        <w:rPr>
          <w:rFonts w:ascii="Times New Roman" w:hAnsi="Times New Roman"/>
          <w:sz w:val="20"/>
        </w:rPr>
      </w:pPr>
      <w:r>
        <w:rPr>
          <w:rFonts w:ascii="Times New Roman" w:hAnsi="Times New Roman"/>
          <w:sz w:val="20"/>
        </w:rPr>
        <w:t xml:space="preserve">(23) any disposition of Receivables Assets in connection with a Permitted Receivables Financing; </w:t>
      </w:r>
    </w:p>
    <w:p>
      <w:pPr>
        <w:pStyle w:val="TextBody"/>
        <w:bidi w:val="0"/>
        <w:spacing w:before="120" w:after="0"/>
        <w:jc w:val="left"/>
        <w:rPr>
          <w:rFonts w:ascii="Times New Roman" w:hAnsi="Times New Roman"/>
          <w:sz w:val="20"/>
        </w:rPr>
      </w:pPr>
      <w:r>
        <w:rPr>
          <w:rFonts w:ascii="Times New Roman" w:hAnsi="Times New Roman"/>
          <w:sz w:val="20"/>
        </w:rPr>
        <w:t xml:space="preserve">(24) the settlement in accordance with its terms or early termination of any Permitted Bond Hedge Transaction or the entry into any Permitted Warrant Transaction; </w:t>
      </w:r>
    </w:p>
    <w:p>
      <w:pPr>
        <w:pStyle w:val="TextBody"/>
        <w:bidi w:val="0"/>
        <w:spacing w:before="120" w:after="0"/>
        <w:jc w:val="left"/>
        <w:rPr>
          <w:rFonts w:ascii="Times New Roman" w:hAnsi="Times New Roman"/>
          <w:sz w:val="20"/>
        </w:rPr>
      </w:pPr>
      <w:r>
        <w:rPr>
          <w:rFonts w:ascii="Times New Roman" w:hAnsi="Times New Roman"/>
          <w:sz w:val="20"/>
        </w:rPr>
        <w:t xml:space="preserve">(25) any disposition of real property in the ordinary course of business to the extent that (i) such property is exchanged for credit against the purchase price of similar replacement property or (ii) the proceeds of such disposition are reasonably applied to the purchase price of similar replacement property within 180 days of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(26) any assignment of contract rights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(27) any write-off, discount, sale or disposition of defaulted or past due receivables and similar obligations in the ordinary course of business and not as part of an accounts receivable financing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(28) any abandonment, lapse, or failure to maintain intellectual property that is not material to the business; </w:t>
      </w:r>
    </w:p>
    <w:p>
      <w:pPr>
        <w:pStyle w:val="TextBody"/>
        <w:bidi w:val="0"/>
        <w:spacing w:before="120" w:after="0"/>
        <w:jc w:val="left"/>
        <w:rPr>
          <w:rFonts w:ascii="Times New Roman" w:hAnsi="Times New Roman"/>
          <w:sz w:val="20"/>
        </w:rPr>
      </w:pPr>
      <w:r>
        <w:rPr>
          <w:rFonts w:ascii="Times New Roman" w:hAnsi="Times New Roman"/>
          <w:sz w:val="20"/>
        </w:rPr>
        <w:t xml:space="preserve">(29) the granting of Liens not prohibited by Section 4.12 hereof; and </w:t>
      </w:r>
    </w:p>
    <w:p>
      <w:pPr>
        <w:pStyle w:val="TextBody"/>
        <w:bidi w:val="0"/>
        <w:spacing w:before="120" w:after="0"/>
        <w:jc w:val="left"/>
        <w:rPr>
          <w:rFonts w:ascii="Times New Roman" w:hAnsi="Times New Roman"/>
          <w:sz w:val="20"/>
        </w:rPr>
      </w:pPr>
      <w:r>
        <w:rPr>
          <w:rFonts w:ascii="Times New Roman" w:hAnsi="Times New Roman"/>
          <w:sz w:val="20"/>
        </w:rPr>
        <w:t xml:space="preserve">(30) any disposition pursuant to an accelerated share repurchase program and any stock buybacks using the proceeds of Convertible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transaction (or any portion thereof) meets the criteria of a permitted Asset Sale and would also be a Permitted Investment or an Investment permitted under Section 4.07 hereof, the Company, in its sole discretion, will be entitled to divide and classify such transaction (or a portion thereof) as an Asset Sale and/or one or more of the types of Permitted Investments or Investments permitted under Section 4.07 hereof. </w:t>
      </w:r>
    </w:p>
    <w:p>
      <w:pPr>
        <w:pStyle w:val="TextBody"/>
        <w:bidi w:val="0"/>
        <w:spacing w:before="240" w:after="0"/>
        <w:jc w:val="left"/>
        <w:rPr/>
      </w:pPr>
      <w:r>
        <w:rPr/>
        <w:t>“</w:t>
      </w:r>
      <w:r>
        <w:rPr>
          <w:rFonts w:ascii="Times New Roman" w:hAnsi="Times New Roman"/>
          <w:i/>
          <w:sz w:val="20"/>
        </w:rPr>
        <w:t>Bank Collateral Agent</w:t>
      </w:r>
      <w:r>
        <w:rPr>
          <w:rFonts w:ascii="Times New Roman" w:hAnsi="Times New Roman"/>
          <w:sz w:val="20"/>
        </w:rPr>
        <w:t xml:space="preserve">” means Bank of America, N.A., in its capacity as collateral agent for the lenders and other secured parties under the Credit Agreement, together with its successors and permitted assigns under the Credit Agreement. </w:t>
      </w:r>
    </w:p>
    <w:p>
      <w:pPr>
        <w:pStyle w:val="TextBody"/>
        <w:bidi w:val="0"/>
        <w:spacing w:before="240" w:after="0"/>
        <w:jc w:val="left"/>
        <w:rPr/>
      </w:pPr>
      <w:r>
        <w:rPr/>
        <w:t>“</w:t>
      </w:r>
      <w:r>
        <w:rPr>
          <w:rFonts w:ascii="Times New Roman" w:hAnsi="Times New Roman"/>
          <w:i/>
          <w:sz w:val="20"/>
        </w:rPr>
        <w:t>Bankruptcy Code</w:t>
      </w:r>
      <w:r>
        <w:rPr>
          <w:rFonts w:ascii="Times New Roman" w:hAnsi="Times New Roman"/>
          <w:sz w:val="20"/>
        </w:rPr>
        <w:t xml:space="preserve">” means Title 11, United States Bankruptcy Code of 1978, as amended.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the Bankruptcy Code or any similar United States federal, state or foreign law relating to bankruptcy, insolvency, receivership, winding up, liquidation, reorganization or relief of debtors, or any amendment to, succession to or change in any such law. </w:t>
      </w:r>
    </w:p>
    <w:p>
      <w:pPr>
        <w:pStyle w:val="TextBody"/>
        <w:bidi w:val="0"/>
        <w:spacing w:before="240" w:after="0"/>
        <w:jc w:val="left"/>
        <w:rPr/>
      </w:pPr>
      <w:r>
        <w:rPr/>
        <w:t>“</w:t>
      </w:r>
      <w:r>
        <w:rPr>
          <w:rFonts w:ascii="Times New Roman" w:hAnsi="Times New Roman"/>
          <w:i/>
          <w:sz w:val="20"/>
        </w:rPr>
        <w:t>Beneficial Owner</w:t>
      </w:r>
      <w:r>
        <w:rPr>
          <w:rFonts w:ascii="Times New Roman" w:hAnsi="Times New Roman"/>
          <w:sz w:val="20"/>
        </w:rPr>
        <w:t xml:space="preserve">” has the meaning assigned to such term in Rule 13d-3 and Rule 13d-5 under the Exchange Act as in effect on the Issue Date; </w:t>
      </w:r>
      <w:r>
        <w:rPr>
          <w:rFonts w:ascii="Times New Roman" w:hAnsi="Times New Roman"/>
          <w:i/>
          <w:sz w:val="20"/>
        </w:rPr>
        <w:t>provided</w:t>
      </w:r>
      <w:r>
        <w:rPr>
          <w:rFonts w:ascii="Times New Roman" w:hAnsi="Times New Roman"/>
          <w:sz w:val="20"/>
        </w:rPr>
        <w:t xml:space="preserve"> that the right to acquire Voting Stock (so long as such Person does not have the right to direct the voting of the Voting Stock subject to such right) or any veto power in connection with the acquisition or disposition of Voting Stock will not cause a party to be a beneficial owner. The terms “</w:t>
      </w:r>
      <w:r>
        <w:rPr>
          <w:rFonts w:ascii="Times New Roman" w:hAnsi="Times New Roman"/>
          <w:i/>
          <w:sz w:val="20"/>
        </w:rPr>
        <w:t>Beneficially Owns</w:t>
      </w:r>
      <w:r>
        <w:rPr>
          <w:rFonts w:ascii="Times New Roman" w:hAnsi="Times New Roman"/>
          <w:sz w:val="20"/>
        </w:rPr>
        <w:t>” and “</w:t>
      </w:r>
      <w:r>
        <w:rPr>
          <w:rFonts w:ascii="Times New Roman" w:hAnsi="Times New Roman"/>
          <w:i/>
          <w:sz w:val="20"/>
        </w:rPr>
        <w:t>Beneficially Owned</w:t>
      </w:r>
      <w:r>
        <w:rPr>
          <w:rFonts w:ascii="Times New Roman" w:hAnsi="Times New Roman"/>
          <w:sz w:val="20"/>
        </w:rPr>
        <w:t xml:space="preserve">” have a corresponding meaning.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a corporation, the board of directors of the corporation or any committee thereof duly authorized to act on behalf of such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with respect to a partnership, the board of directors of the general partner of the partnership or any committee thereof duly authorized to act on behalf of such board;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 limited liability company, the managing member or members or any controlling committee of managing members thereof; and </w:t>
      </w:r>
    </w:p>
    <w:p>
      <w:pPr>
        <w:pStyle w:val="TextBody"/>
        <w:bidi w:val="0"/>
        <w:spacing w:before="120" w:after="0"/>
        <w:jc w:val="left"/>
        <w:rPr>
          <w:rFonts w:ascii="Times New Roman" w:hAnsi="Times New Roman"/>
          <w:sz w:val="20"/>
        </w:rPr>
      </w:pPr>
      <w:r>
        <w:rPr>
          <w:rFonts w:ascii="Times New Roman" w:hAnsi="Times New Roman"/>
          <w:sz w:val="20"/>
        </w:rPr>
        <w:t xml:space="preserve">(4) with respect to any other Person, the board or committee of such Person serving a similar function. </w:t>
      </w:r>
    </w:p>
    <w:p>
      <w:pPr>
        <w:pStyle w:val="TextBody"/>
        <w:bidi w:val="0"/>
        <w:spacing w:before="240" w:after="0"/>
        <w:jc w:val="left"/>
        <w:rPr>
          <w:rFonts w:ascii="Times New Roman" w:hAnsi="Times New Roman"/>
          <w:sz w:val="20"/>
        </w:rPr>
      </w:pPr>
      <w:r>
        <w:rPr>
          <w:rFonts w:ascii="Times New Roman" w:hAnsi="Times New Roman"/>
          <w:sz w:val="20"/>
        </w:rPr>
        <w:t xml:space="preserve">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Company.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other than a Legal Holiday. </w:t>
      </w:r>
    </w:p>
    <w:p>
      <w:pPr>
        <w:pStyle w:val="TextBody"/>
        <w:bidi w:val="0"/>
        <w:spacing w:before="240" w:after="0"/>
        <w:jc w:val="left"/>
        <w:rPr/>
      </w:pPr>
      <w:r>
        <w:rPr/>
        <w:t>“</w:t>
      </w:r>
      <w:r>
        <w:rPr>
          <w:rFonts w:ascii="Times New Roman" w:hAnsi="Times New Roman"/>
          <w:i/>
          <w:sz w:val="20"/>
        </w:rPr>
        <w:t>Capital Lease Obligation</w:t>
      </w:r>
      <w:r>
        <w:rPr>
          <w:rFonts w:ascii="Times New Roman" w:hAnsi="Times New Roman"/>
          <w:sz w:val="20"/>
        </w:rPr>
        <w:t xml:space="preserve">”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 </w:t>
      </w:r>
    </w:p>
    <w:p>
      <w:pPr>
        <w:pStyle w:val="TextBody"/>
        <w:bidi w:val="0"/>
        <w:spacing w:before="240" w:after="0"/>
        <w:jc w:val="left"/>
        <w:rPr/>
      </w:pPr>
      <w:r>
        <w:rPr/>
        <w:t>“</w:t>
      </w:r>
      <w:r>
        <w:rPr>
          <w:rFonts w:ascii="Times New Roman" w:hAnsi="Times New Roman"/>
          <w:i/>
          <w:sz w:val="20"/>
        </w:rPr>
        <w:t>Capital Markets Debt</w:t>
      </w:r>
      <w:r>
        <w:rPr>
          <w:rFonts w:ascii="Times New Roman" w:hAnsi="Times New Roman"/>
          <w:sz w:val="20"/>
        </w:rPr>
        <w:t xml:space="preserve">” means any Indebtedness (other than a guarantee) that is a security initially issued in a transaction made in reliance on Rule 144A under the Securities Act or outside the United States pursuant to Regulation S of the Securities Act or a security that is sold or subject to resale pursuant to a registration statement under the Securities Act.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corporation,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corporate stock;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partnership or limited liability company, partnership interests (whether general or limited) or membership interests; and </w:t>
      </w:r>
    </w:p>
    <w:p>
      <w:pPr>
        <w:pStyle w:val="TextBody"/>
        <w:bidi w:val="0"/>
        <w:spacing w:before="120" w:after="0"/>
        <w:jc w:val="left"/>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United States dollars, pounds sterling, euros, the national currency of any participating member state of the European Union or, in the case of any Foreign Subsidiary, such local currencies held by it from time to time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 readily marketable direct obligations of any member of the European Economic Area, Switzerland, or Japan, or any agency or instrumentality thereof or obligations unconditionally guaranteed by the full faith and credit of such country, and, at the time of acquisition thereof, having a credit rating of at least Aa3 (or the equivalent grade) by Moody’s or AA- by S&amp;P;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marketable general obligations issued by any state of the United States or any political subdivision thereof or any instrumentality thereof that are guaranteed by the full faith and credit of such state, at the time of acquisition thereof, having a credit rating of at least Aa3 (or the equivalent grade) by Moody’s or AA- by S&amp;P; </w:t>
      </w:r>
    </w:p>
    <w:p>
      <w:pPr>
        <w:pStyle w:val="TextBody"/>
        <w:bidi w:val="0"/>
        <w:spacing w:before="120" w:after="0"/>
        <w:jc w:val="left"/>
        <w:rPr>
          <w:rFonts w:ascii="Times New Roman" w:hAnsi="Times New Roman"/>
          <w:sz w:val="20"/>
        </w:rPr>
      </w:pPr>
      <w:r>
        <w:rPr>
          <w:rFonts w:ascii="Times New Roman" w:hAnsi="Times New Roman"/>
          <w:sz w:val="20"/>
        </w:rPr>
        <w:t>(4) securities or any other evidence of Indebtedness or readily marketable direct obligations issued or directly and fully guaranteed or insured by the United States government or any agency or instrumentality of the United States government (</w:t>
      </w:r>
      <w:r>
        <w:rPr>
          <w:rFonts w:ascii="Times New Roman" w:hAnsi="Times New Roman"/>
          <w:i/>
          <w:sz w:val="20"/>
        </w:rPr>
        <w:t>provided</w:t>
      </w:r>
      <w:r>
        <w:rPr>
          <w:rFonts w:ascii="Times New Roman" w:hAnsi="Times New Roman"/>
          <w:sz w:val="20"/>
        </w:rPr>
        <w:t xml:space="preserve"> that the full faith and credit of the United States is pledged in support of those securities), having maturities of not more than 12 months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(5) certificates of deposit and eurodollar time deposits with maturities of 12 months or less from the date of acquisition, bankers’ acceptances with maturities not exceeding 12 months and overnight bank deposits, in each case, with any lender party to the Credit Agreement or with any domestic commercial bank having capital and surplus in excess of $500.0 million; </w:t>
      </w:r>
    </w:p>
    <w:p>
      <w:pPr>
        <w:pStyle w:val="TextBody"/>
        <w:bidi w:val="0"/>
        <w:spacing w:before="120" w:after="0"/>
        <w:jc w:val="left"/>
        <w:rPr>
          <w:rFonts w:ascii="Times New Roman" w:hAnsi="Times New Roman"/>
          <w:sz w:val="20"/>
        </w:rPr>
      </w:pPr>
      <w:r>
        <w:rPr>
          <w:rFonts w:ascii="Times New Roman" w:hAnsi="Times New Roman"/>
          <w:sz w:val="20"/>
        </w:rPr>
        <w:t xml:space="preserve">(6) repurchase obligations for underlying securities of the types described in clauses (4) and (5) above entered into with any financial institution meeting the qualifications specified in clause (5) above; </w:t>
      </w:r>
    </w:p>
    <w:p>
      <w:pPr>
        <w:pStyle w:val="TextBody"/>
        <w:bidi w:val="0"/>
        <w:spacing w:before="120" w:after="0"/>
        <w:jc w:val="left"/>
        <w:rPr>
          <w:rFonts w:ascii="Times New Roman" w:hAnsi="Times New Roman"/>
          <w:sz w:val="20"/>
        </w:rPr>
      </w:pPr>
      <w:r>
        <w:rPr>
          <w:rFonts w:ascii="Times New Roman" w:hAnsi="Times New Roman"/>
          <w:sz w:val="20"/>
        </w:rPr>
        <w:t xml:space="preserve">(7) commercial paper having one of the two highest ratings obtainable from Moody’s or S&amp;P and, in each case, maturing within 12 months after the date of acquisition; and </w:t>
      </w:r>
    </w:p>
    <w:p>
      <w:pPr>
        <w:pStyle w:val="TextBody"/>
        <w:bidi w:val="0"/>
        <w:spacing w:before="120" w:after="0"/>
        <w:jc w:val="left"/>
        <w:rPr>
          <w:rFonts w:ascii="Times New Roman" w:hAnsi="Times New Roman"/>
          <w:sz w:val="20"/>
        </w:rPr>
      </w:pPr>
      <w:r>
        <w:rPr>
          <w:rFonts w:ascii="Times New Roman" w:hAnsi="Times New Roman"/>
          <w:sz w:val="20"/>
        </w:rPr>
        <w:t xml:space="preserve">(8) money market funds at least 95% of the assets of which constitute Cash Equivalents of the kinds described in clauses (1) through (7) of this definition.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(including any “person” (as that term is used in Section 13(d)(3) of the Exchange Act)) other than the Permitted Holders; or </w:t>
      </w:r>
    </w:p>
    <w:p>
      <w:pPr>
        <w:pStyle w:val="TextBody"/>
        <w:bidi w:val="0"/>
        <w:spacing w:before="120" w:after="0"/>
        <w:jc w:val="left"/>
        <w:rPr>
          <w:rFonts w:ascii="Times New Roman" w:hAnsi="Times New Roman"/>
          <w:sz w:val="20"/>
        </w:rPr>
      </w:pPr>
      <w:r>
        <w:rPr>
          <w:rFonts w:ascii="Times New Roman" w:hAnsi="Times New Roman"/>
          <w:sz w:val="20"/>
        </w:rPr>
        <w:t xml:space="preserve">(2) the Company becomes aware of (by way of a report or any other filing pursuant to Section 13(d) of the Exchange Act, proxy, vote, written notice or otherwise) the consummation of any transaction (including, without limitation, any merger or consolidation), the result of which is that any “person” (as defined above) other than the Permitted Holders or a parent entity becomes the Beneficial Owner, directly or indirectly, of more than 50% of the total voting power of the Voting Stock of the Company, measured by voting power rather than number of shares; </w:t>
      </w:r>
      <w:r>
        <w:rPr>
          <w:rFonts w:ascii="Times New Roman" w:hAnsi="Times New Roman"/>
          <w:i/>
          <w:sz w:val="20"/>
        </w:rPr>
        <w:t>provided</w:t>
      </w:r>
      <w:r>
        <w:rPr>
          <w:rFonts w:ascii="Times New Roman" w:hAnsi="Times New Roman"/>
          <w:sz w:val="20"/>
        </w:rPr>
        <w:t xml:space="preserve"> that any Voting Stock of which any Permitted Holder is the Beneficial Owner shall not in any case be included in any Voting Stock of which any such Person is the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of such parent entity and (iii) the right to acquire Voting Stock (so long as such Person does not have the right to direct the voting of the Voting Stock subject to such right) or any veto power in connection with the acquisition or disposition of Voting Stock will not cause a party to be a Beneficial Owner. </w:t>
      </w:r>
    </w:p>
    <w:p>
      <w:pPr>
        <w:pStyle w:val="TextBody"/>
        <w:bidi w:val="0"/>
        <w:spacing w:before="240" w:after="0"/>
        <w:jc w:val="left"/>
        <w:rPr/>
      </w:pPr>
      <w:r>
        <w:rPr/>
        <w:t>“</w:t>
      </w:r>
      <w:r>
        <w:rPr>
          <w:rFonts w:ascii="Times New Roman" w:hAnsi="Times New Roman"/>
          <w:i/>
          <w:sz w:val="20"/>
        </w:rPr>
        <w:t>CFC</w:t>
      </w:r>
      <w:r>
        <w:rPr>
          <w:rFonts w:ascii="Times New Roman" w:hAnsi="Times New Roman"/>
          <w:sz w:val="20"/>
        </w:rPr>
        <w:t xml:space="preserve">” means any “controlled foreign corporation” within the meaning of Section 957(a)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Code</w:t>
      </w:r>
      <w:r>
        <w:rPr>
          <w:rFonts w:ascii="Times New Roman" w:hAnsi="Times New Roman"/>
          <w:sz w:val="20"/>
        </w:rPr>
        <w:t xml:space="preserve">” means the United States Internal Revenue Code of 1986, as amended. </w:t>
      </w:r>
    </w:p>
    <w:p>
      <w:pPr>
        <w:pStyle w:val="TextBody"/>
        <w:bidi w:val="0"/>
        <w:spacing w:before="240" w:after="0"/>
        <w:jc w:val="left"/>
        <w:rPr/>
      </w:pPr>
      <w:r>
        <w:rPr/>
        <w:t>“</w:t>
      </w:r>
      <w:r>
        <w:rPr>
          <w:rFonts w:ascii="Times New Roman" w:hAnsi="Times New Roman"/>
          <w:i/>
          <w:sz w:val="20"/>
        </w:rPr>
        <w:t>Collateral</w:t>
      </w:r>
      <w:r>
        <w:rPr>
          <w:rFonts w:ascii="Times New Roman" w:hAnsi="Times New Roman"/>
          <w:sz w:val="20"/>
        </w:rPr>
        <w:t xml:space="preserve">” means all the “Collateral” referred to in the Security Documents and any other assets and property that are or are intended under the terms of the Security Documents to be subject to Liens in favor of the Notes Collateral Agent for the benefit of the Notes Secured Parties. </w:t>
      </w:r>
    </w:p>
    <w:p>
      <w:pPr>
        <w:pStyle w:val="TextBody"/>
        <w:bidi w:val="0"/>
        <w:spacing w:before="240" w:after="0"/>
        <w:jc w:val="left"/>
        <w:rPr/>
      </w:pPr>
      <w:r>
        <w:rPr/>
        <w:t>“</w:t>
      </w:r>
      <w:r>
        <w:rPr>
          <w:rFonts w:ascii="Times New Roman" w:hAnsi="Times New Roman"/>
          <w:i/>
          <w:sz w:val="20"/>
        </w:rPr>
        <w:t>Clearstream</w:t>
      </w:r>
      <w:r>
        <w:rPr>
          <w:rFonts w:ascii="Times New Roman" w:hAnsi="Times New Roman"/>
          <w:sz w:val="20"/>
        </w:rPr>
        <w:t xml:space="preserve">” means Clearstream Banking, S.A. </w:t>
      </w:r>
    </w:p>
    <w:p>
      <w:pPr>
        <w:pStyle w:val="TextBody"/>
        <w:bidi w:val="0"/>
        <w:spacing w:before="240" w:after="0"/>
        <w:jc w:val="left"/>
        <w:rPr/>
      </w:pPr>
      <w:r>
        <w:rPr/>
        <w:t>“</w:t>
      </w:r>
      <w:r>
        <w:rPr>
          <w:rFonts w:ascii="Times New Roman" w:hAnsi="Times New Roman"/>
          <w:i/>
          <w:sz w:val="20"/>
        </w:rPr>
        <w:t>Consolidated EBITDA</w:t>
      </w:r>
      <w:r>
        <w:rPr>
          <w:rFonts w:ascii="Times New Roman" w:hAnsi="Times New Roman"/>
          <w:sz w:val="20"/>
        </w:rPr>
        <w:t xml:space="preserve">” means, for any period, for any Person and its Restricted Subsidiaries determined on a consolidated basis, an amount equal to Consolidated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the following (without duplication) to the extent deducted in calculating such Consolidated Net Income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(a) Consolidated Interest Charges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 for federal, state, local and foreign income taxes payable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(c) depreciation and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(d) all charges and other expenses reducing Consolidated Net Income in each case which do not represent a cash item in such period or any future period; </w:t>
      </w:r>
    </w:p>
    <w:p>
      <w:pPr>
        <w:pStyle w:val="TextBody"/>
        <w:bidi w:val="0"/>
        <w:spacing w:before="120" w:after="0"/>
        <w:jc w:val="left"/>
        <w:rPr>
          <w:rFonts w:ascii="Times New Roman" w:hAnsi="Times New Roman"/>
          <w:sz w:val="20"/>
        </w:rPr>
      </w:pPr>
      <w:r>
        <w:rPr>
          <w:rFonts w:ascii="Times New Roman" w:hAnsi="Times New Roman"/>
          <w:sz w:val="20"/>
        </w:rPr>
        <w:t xml:space="preserve">(e) cash expenses and other charges directly related to global enterprise resource planning implementation costs for such period, not to exceed $5.0 million per annum; </w:t>
      </w:r>
    </w:p>
    <w:p>
      <w:pPr>
        <w:pStyle w:val="TextBody"/>
        <w:bidi w:val="0"/>
        <w:spacing w:before="120" w:after="0"/>
        <w:jc w:val="left"/>
        <w:rPr>
          <w:rFonts w:ascii="Times New Roman" w:hAnsi="Times New Roman"/>
          <w:sz w:val="20"/>
        </w:rPr>
      </w:pPr>
      <w:r>
        <w:rPr>
          <w:rFonts w:ascii="Times New Roman" w:hAnsi="Times New Roman"/>
          <w:sz w:val="20"/>
        </w:rPr>
        <w:t xml:space="preserve">(f) cash expenses directly related to the remediation, unplanned idle time and underutilization of Subsidiary manufacturing facilities not to exceed an aggregate amount of $10.0 million per annum; </w:t>
      </w:r>
    </w:p>
    <w:p>
      <w:pPr>
        <w:pStyle w:val="TextBody"/>
        <w:bidi w:val="0"/>
        <w:spacing w:before="120" w:after="0"/>
        <w:jc w:val="left"/>
        <w:rPr>
          <w:rFonts w:ascii="Times New Roman" w:hAnsi="Times New Roman"/>
          <w:sz w:val="20"/>
        </w:rPr>
      </w:pPr>
      <w:r>
        <w:rPr>
          <w:rFonts w:ascii="Times New Roman" w:hAnsi="Times New Roman"/>
          <w:sz w:val="20"/>
        </w:rPr>
        <w:t xml:space="preserve">(g) cash expenses actually incurred in connection with restructuring activities (which, for the avoidance of doubt, shall include, without duplication, discontinued operations, retention, severance, systems establishment costs, excess pension charges, contract termination costs and costs to consolidate facilities and relocate employees); </w:t>
      </w:r>
      <w:r>
        <w:rPr>
          <w:rFonts w:ascii="Times New Roman" w:hAnsi="Times New Roman"/>
          <w:i/>
          <w:sz w:val="20"/>
        </w:rPr>
        <w:t>provided</w:t>
      </w:r>
      <w:r>
        <w:rPr>
          <w:rFonts w:ascii="Times New Roman" w:hAnsi="Times New Roman"/>
          <w:sz w:val="20"/>
        </w:rPr>
        <w:t xml:space="preserve"> that the aggregate amount that may be added back pursuant to this clause (g) (together with any amounts added back pursuant to clause (n) below and any Permitted Cost Savings added back pursuant to the definition thereof) shall not exceed the greater of (x) $100.0 million and (y) 25% of Consolidated EBITDA (as calculated after giving effect to such adjustments) for any four fiscal quarter period; </w:t>
      </w:r>
    </w:p>
    <w:p>
      <w:pPr>
        <w:pStyle w:val="TextBody"/>
        <w:bidi w:val="0"/>
        <w:spacing w:before="120" w:after="0"/>
        <w:jc w:val="left"/>
        <w:rPr>
          <w:rFonts w:ascii="Times New Roman" w:hAnsi="Times New Roman"/>
          <w:sz w:val="20"/>
        </w:rPr>
      </w:pPr>
      <w:r>
        <w:rPr>
          <w:rFonts w:ascii="Times New Roman" w:hAnsi="Times New Roman"/>
          <w:sz w:val="20"/>
        </w:rPr>
        <w:t xml:space="preserve">(h) cash expenses attributable to the early extinguishment or conversion of Indebtedness (including deferred financing expenses written off and premiums paid); </w:t>
      </w:r>
    </w:p>
    <w:p>
      <w:pPr>
        <w:pStyle w:val="TextBody"/>
        <w:bidi w:val="0"/>
        <w:spacing w:before="120" w:after="0"/>
        <w:jc w:val="left"/>
        <w:rPr>
          <w:rFonts w:ascii="Times New Roman" w:hAnsi="Times New Roman"/>
          <w:sz w:val="20"/>
        </w:rPr>
      </w:pPr>
      <w:r>
        <w:rPr>
          <w:rFonts w:ascii="Times New Roman" w:hAnsi="Times New Roman"/>
          <w:sz w:val="20"/>
        </w:rPr>
        <w:t xml:space="preserve">(i) fees, costs (other than integration costs), expenses and other charges associated with acquisitions, Investments and dispositions, issuances or incurrences of Indebtedness, issuances of Equity Interests or, modifications of instruments of Indebtedness, solely with respect to transactions permitted hereunder (whether or not actually consummated); </w:t>
      </w:r>
    </w:p>
    <w:p>
      <w:pPr>
        <w:pStyle w:val="TextBody"/>
        <w:bidi w:val="0"/>
        <w:spacing w:before="120" w:after="0"/>
        <w:jc w:val="left"/>
        <w:rPr>
          <w:rFonts w:ascii="Times New Roman" w:hAnsi="Times New Roman"/>
          <w:sz w:val="20"/>
        </w:rPr>
      </w:pPr>
      <w:r>
        <w:rPr>
          <w:rFonts w:ascii="Times New Roman" w:hAnsi="Times New Roman"/>
          <w:sz w:val="20"/>
        </w:rPr>
        <w:t xml:space="preserve">(j) cash proceeds of business interruption insurance, in an amount not to exceed the earnings for the applicable period that such proceeds are intended to replace; </w:t>
      </w:r>
    </w:p>
    <w:p>
      <w:pPr>
        <w:pStyle w:val="TextBody"/>
        <w:bidi w:val="0"/>
        <w:spacing w:before="120" w:after="0"/>
        <w:jc w:val="left"/>
        <w:rPr>
          <w:rFonts w:ascii="Times New Roman" w:hAnsi="Times New Roman"/>
          <w:sz w:val="20"/>
        </w:rPr>
      </w:pPr>
      <w:r>
        <w:rPr>
          <w:rFonts w:ascii="Times New Roman" w:hAnsi="Times New Roman"/>
          <w:sz w:val="20"/>
        </w:rPr>
        <w:t xml:space="preserve">(k) non-recurring milestone payments, royalty payments or upfront payments by the Company and its Restricted Subsidiaries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without duplication, any extraordinary, unusual or non-recurring cash losses, expenses or other charges; </w:t>
      </w:r>
    </w:p>
    <w:p>
      <w:pPr>
        <w:pStyle w:val="TextBody"/>
        <w:bidi w:val="0"/>
        <w:spacing w:before="120" w:after="0"/>
        <w:jc w:val="left"/>
        <w:rPr>
          <w:rFonts w:ascii="Times New Roman" w:hAnsi="Times New Roman"/>
          <w:sz w:val="20"/>
        </w:rPr>
      </w:pPr>
      <w:r>
        <w:rPr>
          <w:rFonts w:ascii="Times New Roman" w:hAnsi="Times New Roman"/>
          <w:sz w:val="20"/>
        </w:rPr>
        <w:t xml:space="preserve">(m) losses paid in cash in connection with any interest rate or foreign exchange rate Swap Contract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(n) integration costs relating to acquisitions, Investments and dispositions; </w:t>
      </w:r>
      <w:r>
        <w:rPr>
          <w:rFonts w:ascii="Times New Roman" w:hAnsi="Times New Roman"/>
          <w:i/>
          <w:sz w:val="20"/>
        </w:rPr>
        <w:t>provided</w:t>
      </w:r>
      <w:r>
        <w:rPr>
          <w:rFonts w:ascii="Times New Roman" w:hAnsi="Times New Roman"/>
          <w:sz w:val="20"/>
        </w:rPr>
        <w:t xml:space="preserve"> that the aggregate amount that may be added back pursuant to this clause (n) (together with any amounts added back pursuant to clause (g) above and any Permitted Cost Savings added back pursuant to the definition thereof) shall not exceed the greater of (x) $100.0 million and (y) 25% of Consolidated EBITDA (as calculated after giving effect to such adjustments) for any four fiscal quarter period; </w:t>
      </w:r>
    </w:p>
    <w:p>
      <w:pPr>
        <w:pStyle w:val="TextBody"/>
        <w:bidi w:val="0"/>
        <w:spacing w:before="120" w:after="0"/>
        <w:jc w:val="left"/>
        <w:rPr>
          <w:rFonts w:ascii="Times New Roman" w:hAnsi="Times New Roman"/>
          <w:sz w:val="20"/>
        </w:rPr>
      </w:pPr>
      <w:r>
        <w:rPr>
          <w:rFonts w:ascii="Times New Roman" w:hAnsi="Times New Roman"/>
          <w:sz w:val="20"/>
        </w:rPr>
        <w:t xml:space="preserve">(o) [reserved]; </w:t>
      </w:r>
    </w:p>
    <w:p>
      <w:pPr>
        <w:pStyle w:val="TextBody"/>
        <w:bidi w:val="0"/>
        <w:spacing w:before="120" w:after="0"/>
        <w:jc w:val="left"/>
        <w:rPr>
          <w:rFonts w:ascii="Times New Roman" w:hAnsi="Times New Roman"/>
          <w:sz w:val="20"/>
        </w:rPr>
      </w:pPr>
      <w:r>
        <w:rPr>
          <w:rFonts w:ascii="Times New Roman" w:hAnsi="Times New Roman"/>
          <w:sz w:val="20"/>
        </w:rPr>
        <w:t xml:space="preserve">(p) expenses and other charges incurred in connection with the rationalization of SKUs in an amount not to exceed $25.0 million per annum during any fiscal year; </w:t>
      </w:r>
    </w:p>
    <w:p>
      <w:pPr>
        <w:pStyle w:val="TextBody"/>
        <w:bidi w:val="0"/>
        <w:spacing w:before="120" w:after="0"/>
        <w:jc w:val="left"/>
        <w:rPr>
          <w:rFonts w:ascii="Times New Roman" w:hAnsi="Times New Roman"/>
          <w:sz w:val="20"/>
        </w:rPr>
      </w:pPr>
      <w:r>
        <w:rPr>
          <w:rFonts w:ascii="Times New Roman" w:hAnsi="Times New Roman"/>
          <w:sz w:val="20"/>
        </w:rPr>
        <w:t xml:space="preserve">(q) without duplication, cash expenses, charges and losses if and to the extent such expenses, charges and losses are (A) fully indemnified by a contractual obligation of the seller under an acquisition or (B) covered by insurance (excluding self-insurance), but, in each case, only to the extent, (x) such indemnification obligation or insurance policy remains in full force and effect, (y) such seller is at the time such add-back is taken, and remains, solvent, and such seller or insurance provider has not refused or challenged a claim for such indemnification or insurance payment and (z) with respect to insurance, such insurance proceeds will be reimbursed within twelve months of the time such expenses were incurred; </w:t>
      </w:r>
    </w:p>
    <w:p>
      <w:pPr>
        <w:pStyle w:val="TextBody"/>
        <w:bidi w:val="0"/>
        <w:spacing w:before="120" w:after="0"/>
        <w:jc w:val="left"/>
        <w:rPr>
          <w:rFonts w:ascii="Times New Roman" w:hAnsi="Times New Roman"/>
          <w:sz w:val="20"/>
        </w:rPr>
      </w:pPr>
      <w:r>
        <w:rPr>
          <w:rFonts w:ascii="Times New Roman" w:hAnsi="Times New Roman"/>
          <w:sz w:val="20"/>
        </w:rPr>
        <w:t xml:space="preserve">(r) losses, expenses, and other charges in connection with compliance with the EU Medical Device Regulation;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Permitted Cost Savings;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the following to the extent included in calculating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(a) Federal, state, local and foreign income tax credits of the Company and its Subsidiaries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(b) all non-cash items increasing Consolidated Net Income for such period unless representing a cash item in any future period; </w:t>
      </w:r>
    </w:p>
    <w:p>
      <w:pPr>
        <w:pStyle w:val="TextBody"/>
        <w:bidi w:val="0"/>
        <w:spacing w:before="120" w:after="0"/>
        <w:jc w:val="left"/>
        <w:rPr>
          <w:rFonts w:ascii="Times New Roman" w:hAnsi="Times New Roman"/>
          <w:sz w:val="20"/>
        </w:rPr>
      </w:pPr>
      <w:r>
        <w:rPr>
          <w:rFonts w:ascii="Times New Roman" w:hAnsi="Times New Roman"/>
          <w:sz w:val="20"/>
        </w:rPr>
        <w:t xml:space="preserve">(c) without duplication, any extraordinary, unusual or non-recurring cash gains; </w:t>
      </w:r>
    </w:p>
    <w:p>
      <w:pPr>
        <w:pStyle w:val="TextBody"/>
        <w:bidi w:val="0"/>
        <w:spacing w:before="120" w:after="0"/>
        <w:jc w:val="left"/>
        <w:rPr>
          <w:rFonts w:ascii="Times New Roman" w:hAnsi="Times New Roman"/>
          <w:sz w:val="20"/>
        </w:rPr>
      </w:pPr>
      <w:r>
        <w:rPr>
          <w:rFonts w:ascii="Times New Roman" w:hAnsi="Times New Roman"/>
          <w:sz w:val="20"/>
        </w:rPr>
        <w:t xml:space="preserve">(d) all indemnification and insurance proceeds received with respect to which an add-back was previously taken in accordance with </w:t>
      </w:r>
      <w:r>
        <w:rPr>
          <w:rFonts w:ascii="Times New Roman" w:hAnsi="Times New Roman"/>
          <w:sz w:val="20"/>
          <w:u w:val="single"/>
        </w:rPr>
        <w:t>clause (1)(q)</w:t>
      </w:r>
      <w:r>
        <w:rPr>
          <w:rFonts w:ascii="Times New Roman" w:hAnsi="Times New Roman"/>
          <w:sz w:val="20"/>
        </w:rPr>
        <w:t xml:space="preserve"> of this definition; and </w:t>
      </w:r>
    </w:p>
    <w:p>
      <w:pPr>
        <w:pStyle w:val="TextBody"/>
        <w:bidi w:val="0"/>
        <w:spacing w:before="120" w:after="0"/>
        <w:jc w:val="left"/>
        <w:rPr>
          <w:rFonts w:ascii="Times New Roman" w:hAnsi="Times New Roman"/>
          <w:sz w:val="20"/>
        </w:rPr>
      </w:pPr>
      <w:r>
        <w:rPr>
          <w:rFonts w:ascii="Times New Roman" w:hAnsi="Times New Roman"/>
          <w:sz w:val="20"/>
        </w:rPr>
        <w:t xml:space="preserve">(e) all increases to Consolidated Net Income arising from any interest rate or foreign exchange Swap Contract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Consolidated EBITDA is subject to calculation on a pro forma basis as provided for in the definition of “Fixed Charge Coverage Ratio”; </w:t>
      </w:r>
      <w:r>
        <w:rPr>
          <w:rFonts w:ascii="Times New Roman" w:hAnsi="Times New Roman"/>
          <w:i/>
          <w:sz w:val="20"/>
        </w:rPr>
        <w:t>provided</w:t>
      </w:r>
      <w:r>
        <w:rPr>
          <w:rFonts w:ascii="Times New Roman" w:hAnsi="Times New Roman"/>
          <w:sz w:val="20"/>
        </w:rPr>
        <w:t xml:space="preserve"> that there shall be excluded in determining Consolidated EBITDA for any period the EBITDA attributable to any Person, property, business or asset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Company or any Restricted Subsidiary during such period (each such Person, property, business or asset so sold or disposed of, a “</w:t>
      </w:r>
      <w:r>
        <w:rPr>
          <w:rFonts w:ascii="Times New Roman" w:hAnsi="Times New Roman"/>
          <w:i/>
          <w:sz w:val="20"/>
        </w:rPr>
        <w:t>Sold Entity or Business</w:t>
      </w:r>
      <w:r>
        <w:rPr>
          <w:rFonts w:ascii="Times New Roman" w:hAnsi="Times New Roman"/>
          <w:sz w:val="20"/>
        </w:rPr>
        <w:t xml:space="preserve">”), based on the actual EBITDA of such Sold Entity or Business for such period (including the portion thereof occurring prior to such sale, transfer or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Consolidated Interest Charges</w:t>
      </w:r>
      <w:r>
        <w:rPr>
          <w:rFonts w:ascii="Times New Roman" w:hAnsi="Times New Roman"/>
          <w:sz w:val="20"/>
        </w:rPr>
        <w:t xml:space="preserve">” means, for any period, for any Person and its Restricted Subsidiaries determined on a consolidated basis, the sum of (a) all interest, premium payments, debt discount, loan fees, charges and related expenses (including capitalized interest) in connection with Indebtedness for borrowed money or purchase money Indebtedness, in each case to the extent treated as interest in accordance with GAAP, and (b) the portion of rent expense with respect to such period under Capital Lease Obligations that is treated as interest in accordance with GAAP. </w:t>
      </w:r>
    </w:p>
    <w:p>
      <w:pPr>
        <w:pStyle w:val="TextBody"/>
        <w:bidi w:val="0"/>
        <w:spacing w:before="240" w:after="0"/>
        <w:jc w:val="left"/>
        <w:rPr/>
      </w:pPr>
      <w:r>
        <w:rPr/>
        <w:t>“</w:t>
      </w:r>
      <w:r>
        <w:rPr>
          <w:rFonts w:ascii="Times New Roman" w:hAnsi="Times New Roman"/>
          <w:i/>
          <w:sz w:val="20"/>
        </w:rPr>
        <w:t>Consolidated Net Income</w:t>
      </w:r>
      <w:r>
        <w:rPr>
          <w:rFonts w:ascii="Times New Roman" w:hAnsi="Times New Roman"/>
          <w:sz w:val="20"/>
        </w:rPr>
        <w:t xml:space="preserve">” means, for any period, for any Person and its Restricted Subsidiaries determined on a consolidated basis, the net income (excluding extraordinary gains but including extraordinary cash losses) of such Person for that period. </w:t>
      </w:r>
    </w:p>
    <w:p>
      <w:pPr>
        <w:pStyle w:val="TextBody"/>
        <w:bidi w:val="0"/>
        <w:spacing w:before="240" w:after="0"/>
        <w:jc w:val="left"/>
        <w:rPr/>
      </w:pPr>
      <w:r>
        <w:rPr/>
        <w:t>“</w:t>
      </w:r>
      <w:r>
        <w:rPr>
          <w:rFonts w:ascii="Times New Roman" w:hAnsi="Times New Roman"/>
          <w:i/>
          <w:sz w:val="20"/>
        </w:rPr>
        <w:t>Consolidated Secured Net Leverage Ratio</w:t>
      </w:r>
      <w:r>
        <w:rPr>
          <w:rFonts w:ascii="Times New Roman" w:hAnsi="Times New Roman"/>
          <w:sz w:val="20"/>
        </w:rPr>
        <w:t xml:space="preserve">” means, with respect to any person, at any date the ratio of (a) the sum of the aggregate outstanding Secured Indebtedness of such person and its Restricted Subsidiaries (other than Secured Indebtedness of the type described in clause (6) of the definition of Indebtedness) as of such date of calculation (determined on a consolidated basis in accordance with GAAP), plus any Reserved Indebtedness Amount, minus the amount of cash and Cash Equivalents held by such person and its Subsidiaries as of such date of calculation (determined on a consolidated basis in accordance with GAAP), to (b) Consolidated EBITDA of such person for the four full fiscal quarters for which internal financial statements are available immediately preceding such date on which such additional Indebtedness is incurred. In the event that the Company or any of its Restricted Subsidiaries incurs, assumes, Guarantees, repays, repurchases, defeases, redeems or otherwise discharges any Indebtedness subsequent to the commencement of the period for which the Consolidated Secured Net Leverage Ratio is being calculated but on or prior to the event for which the calculation of the Consolidated Secured Net Leverage Ratio is made, then the Consolidated Secured Net Leverage Ratio shall be calculated giving pro forma effect to such incurrence, assumption, Guarantee, repayment, repurchase, redemption, defeasance or other discharge of Indebtedness as if the same had occurred at the beginning of the applicable four-quarter period. The Consolidated Secured Net Leverage Ratio shall be calculated in a manner consistent with the definition of the “Fixed Charge Coverage Ratio,” including any pro forma calculations to EBITDA (including for acquisitions). </w:t>
      </w:r>
    </w:p>
    <w:p>
      <w:pPr>
        <w:pStyle w:val="TextBody"/>
        <w:bidi w:val="0"/>
        <w:spacing w:before="240" w:after="0"/>
        <w:jc w:val="left"/>
        <w:rPr/>
      </w:pPr>
      <w:r>
        <w:rPr/>
        <w:t>“</w:t>
      </w:r>
      <w:r>
        <w:rPr>
          <w:rFonts w:ascii="Times New Roman" w:hAnsi="Times New Roman"/>
          <w:i/>
          <w:sz w:val="20"/>
        </w:rPr>
        <w:t>Consolidated Total Net Leverage Ratio</w:t>
      </w:r>
      <w:r>
        <w:rPr>
          <w:rFonts w:ascii="Times New Roman" w:hAnsi="Times New Roman"/>
          <w:sz w:val="20"/>
        </w:rPr>
        <w:t xml:space="preserve">” means, with respect to any person, at any date the ratio of (a) the sum of the aggregate outstanding Indebtedness of such person and its Restricted Subsidiaries (other than Secured Indebtedness of the type described in clause (6) of the definition of Indebtedness) as of such date of calculation (determined on a consolidated basis in accordance with GAAP), plus any Reserved Indebtedness Amount, minus the amount of cash and Cash Equivalents held by such person and its Restricted Subsidiaries as of such date of calculation (determined on a consolidated basis in accordance with GAAP), to (b) LTM Consolidated EBITDA of such person immediately preceding such date on which such additional Indebtedness is incurred. In the event that the Company or any of its Restricted Subsidiaries incurs, assumes, Guarantees, repays, repurchases, defeases, redeems or otherwise discharges any Indebtedness subsequent to the commencement of the period for which the Consolidated Total Net Leverage Ratio is being calculated but on or prior to the event for which the calculation of the Consolidated Total Net Leverage Ratio is made, then the Consolidated Total Net Leverage Ratio shall be calculated giving pro forma effect to such incurrence, assumption, Guarantee, repayment, repurchase, redemption, defeasance or other discharge of Indebtedness as if the same had occurred at the beginning of the applicable four-quarter period. The Consolidated Total Net Leverage Ratio shall be calculated in a manner consistent with the definition of the “Fixed Charge Coverage Ratio,” including any pro forma calculations to EBITDA (including for acquisitions). </w:t>
      </w:r>
    </w:p>
    <w:p>
      <w:pPr>
        <w:pStyle w:val="TextBody"/>
        <w:bidi w:val="0"/>
        <w:spacing w:before="240" w:after="0"/>
        <w:jc w:val="left"/>
        <w:rPr/>
      </w:pPr>
      <w:r>
        <w:rPr/>
        <w:t>“</w:t>
      </w:r>
      <w:r>
        <w:rPr>
          <w:rFonts w:ascii="Times New Roman" w:hAnsi="Times New Roman"/>
          <w:i/>
          <w:sz w:val="20"/>
        </w:rPr>
        <w:t>Continuing</w:t>
      </w:r>
      <w:r>
        <w:rPr>
          <w:rFonts w:ascii="Times New Roman" w:hAnsi="Times New Roman"/>
          <w:sz w:val="20"/>
        </w:rPr>
        <w:t xml:space="preserve">” means, with respect to any Default or Event of Default, that such Default or Event of Default has not been cured or waived. </w:t>
      </w:r>
    </w:p>
    <w:p>
      <w:pPr>
        <w:pStyle w:val="TextBody"/>
        <w:bidi w:val="0"/>
        <w:spacing w:before="240" w:after="0"/>
        <w:jc w:val="left"/>
        <w:rPr/>
      </w:pPr>
      <w:r>
        <w:rPr/>
        <w:t>“</w:t>
      </w:r>
      <w:r>
        <w:rPr>
          <w:rFonts w:ascii="Times New Roman" w:hAnsi="Times New Roman"/>
          <w:i/>
          <w:sz w:val="20"/>
        </w:rPr>
        <w:t>Convertible Indebtedness</w:t>
      </w:r>
      <w:r>
        <w:rPr>
          <w:rFonts w:ascii="Times New Roman" w:hAnsi="Times New Roman"/>
          <w:sz w:val="20"/>
        </w:rPr>
        <w:t xml:space="preserve">” means any Indebtedness of the Company or any Guarantor (which may be guaranteed by the Company or any other Guarantor) permitted to be incurred pursuant to Section 4.09 that (i) contains customary conversion rights for similar forms of Indebtedness as of the date of issuance in the reasonable determination of the Company and (ii) is either (x) convertible into common stock of the Company (and cash in lieu of fractional shares) and/or cash (in an amount determined by reference to the price of such common stock) or (y) sold as units with call options, warrants or rights to purchase (or substantially equivalent derivative transactions) that are exercisable for common stock of the Company and/or cash (in an amount determined by reference to the price of such common stock); </w:t>
      </w:r>
      <w:r>
        <w:rPr>
          <w:rFonts w:ascii="Times New Roman" w:hAnsi="Times New Roman"/>
          <w:i/>
          <w:sz w:val="20"/>
        </w:rPr>
        <w:t>provided</w:t>
      </w:r>
      <w:r>
        <w:rPr>
          <w:rFonts w:ascii="Times New Roman" w:hAnsi="Times New Roman"/>
          <w:sz w:val="20"/>
        </w:rPr>
        <w:t xml:space="preserve">, that any such Indebtedness shall not be convertible at the option of the issuer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Corporate Trust Office of the Trustee</w:t>
      </w:r>
      <w:r>
        <w:rPr>
          <w:rFonts w:ascii="Times New Roman" w:hAnsi="Times New Roman"/>
          <w:sz w:val="20"/>
        </w:rPr>
        <w:t xml:space="preserve">” will be at the address of the Trustee specified in Section 13.02 hereof or such other address as to which the Trustee may give notice to the Company. </w:t>
      </w:r>
    </w:p>
    <w:p>
      <w:pPr>
        <w:pStyle w:val="TextBody"/>
        <w:bidi w:val="0"/>
        <w:spacing w:before="240" w:after="0"/>
        <w:jc w:val="left"/>
        <w:rPr/>
      </w:pPr>
      <w:r>
        <w:rPr/>
        <w:t>“</w:t>
      </w:r>
      <w:r>
        <w:rPr>
          <w:rFonts w:ascii="Times New Roman" w:hAnsi="Times New Roman"/>
          <w:i/>
          <w:sz w:val="20"/>
        </w:rPr>
        <w:t>Credit Agreement</w:t>
      </w:r>
      <w:r>
        <w:rPr>
          <w:rFonts w:ascii="Times New Roman" w:hAnsi="Times New Roman"/>
          <w:sz w:val="20"/>
        </w:rPr>
        <w:t xml:space="preserve">” means that certain Amended and Restated Credit Agreement, dated as of October 19, 2026, among Integra LifeSciences Holdings Corporation, its subsidiaries identified therein, the lenders identified therein and Bank of America, N.A., as administrative agent, swing line lender and L/C issuer, and including any related notes, Guarantees, collateral documents, mortgages, instruments and agreements executed in connection therewith, and, in each case, as further amended, restated, modified, renewed, extended, refunded, replaced in any manner (whether upon or after termination or otherwise) or refinanced (including by means of sales of debt securities to investors) in whole or in part from time to time, in one or more agreements or indentures (in each case with the same or new agents, lenders or investors), including any agreement adding or changing the borrower or any guarantor or extending the maturity thereof or otherwise restructuring all or any portion of the Indebtedness thereunder, restructuring lien priorities, increasing the amount loaned or issued thereunder or changing the obligations secured or altering the maturity thereof. </w:t>
      </w:r>
    </w:p>
    <w:p>
      <w:pPr>
        <w:pStyle w:val="TextBody"/>
        <w:bidi w:val="0"/>
        <w:spacing w:before="240" w:after="0"/>
        <w:jc w:val="left"/>
        <w:rPr/>
      </w:pPr>
      <w:r>
        <w:rPr/>
        <w:t>“</w:t>
      </w:r>
      <w:r>
        <w:rPr>
          <w:rFonts w:ascii="Times New Roman" w:hAnsi="Times New Roman"/>
          <w:i/>
          <w:sz w:val="20"/>
        </w:rPr>
        <w:t>Credit Facilities</w:t>
      </w:r>
      <w:r>
        <w:rPr>
          <w:rFonts w:ascii="Times New Roman" w:hAnsi="Times New Roman"/>
          <w:sz w:val="20"/>
        </w:rPr>
        <w:t xml:space="preserve">” means (a) one or more debt facilities (including the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(b) debt securities, indentures, bonds, notes or other forms of debt financing (including convertible or exchangeable debt instruments or bank guarantees or bankers’ acceptances) sold to investors, or (c) instruments or agreements evidencing any other Indebtedness, in each case with banks or other lenders or investors (including without limitation, any private equity fund) and, in each case, with the same or different borrowers or issuers and, in each case, as amended, supplemented, modified, extended, restructured, renewed, refinanced, restated, replaced or refunded in whole or in part from time to time, in one or more agreements or indentures (in each case with the same or new agents, lenders or investors), including any agreement adding or changing the borrower or any guarantor or extending the maturity thereof or otherwise restructuring all or any portion of the Indebtedness thereunder, restructuring lien priorities, increasing the amount loaned or issued thereunder or changing the obligations secured or altering the maturity thereof. </w:t>
      </w:r>
    </w:p>
    <w:p>
      <w:pPr>
        <w:pStyle w:val="TextBody"/>
        <w:bidi w:val="0"/>
        <w:spacing w:before="240" w:after="0"/>
        <w:jc w:val="left"/>
        <w:rPr/>
      </w:pPr>
      <w:r>
        <w:rPr/>
        <w:t>“</w:t>
      </w:r>
      <w:r>
        <w:rPr>
          <w:rFonts w:ascii="Times New Roman" w:hAnsi="Times New Roman"/>
          <w:i/>
          <w:sz w:val="20"/>
        </w:rPr>
        <w:t>Custodian</w:t>
      </w:r>
      <w:r>
        <w:rPr>
          <w:rFonts w:ascii="Times New Roman" w:hAnsi="Times New Roman"/>
          <w:sz w:val="20"/>
        </w:rPr>
        <w:t xml:space="preserve">” means the Trustee, as custodian with respect to the Notes in global form, or any successor entity thereto.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that is, or with the passage of time or the giving of notice or both would be, an Event of Default; </w:t>
      </w:r>
      <w:r>
        <w:rPr>
          <w:rFonts w:ascii="Times New Roman" w:hAnsi="Times New Roman"/>
          <w:i/>
          <w:sz w:val="20"/>
        </w:rPr>
        <w:t>provided</w:t>
      </w:r>
      <w:r>
        <w:rPr>
          <w:rFonts w:ascii="Times New Roman" w:hAnsi="Times New Roman"/>
          <w:sz w:val="20"/>
        </w:rPr>
        <w:t xml:space="preserve"> that any Default that results solely from the taking of an action that would have been permitted but for the continuation of a previous Default will be deemed to be cured if such previous Default is cured prior to becoming an Event of Default. </w:t>
      </w:r>
    </w:p>
    <w:p>
      <w:pPr>
        <w:pStyle w:val="TextBody"/>
        <w:bidi w:val="0"/>
        <w:spacing w:before="240" w:after="0"/>
        <w:jc w:val="left"/>
        <w:rPr/>
      </w:pPr>
      <w:r>
        <w:rPr/>
        <w:t>“</w:t>
      </w:r>
      <w:r>
        <w:rPr>
          <w:rFonts w:ascii="Times New Roman" w:hAnsi="Times New Roman"/>
          <w:i/>
          <w:sz w:val="20"/>
        </w:rPr>
        <w:t>Definitive Note</w:t>
      </w:r>
      <w:r>
        <w:rPr>
          <w:rFonts w:ascii="Times New Roman" w:hAnsi="Times New Roman"/>
          <w:sz w:val="20"/>
        </w:rPr>
        <w:t xml:space="preserve">”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Derivative Instrument</w:t>
      </w:r>
      <w:r>
        <w:rPr>
          <w:rFonts w:ascii="Times New Roman" w:hAnsi="Times New Roman"/>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Company and/or any one or more of the Guarantors (the “</w:t>
      </w:r>
      <w:r>
        <w:rPr>
          <w:rFonts w:ascii="Times New Roman" w:hAnsi="Times New Roman"/>
          <w:i/>
          <w:sz w:val="20"/>
        </w:rPr>
        <w:t>Performance References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Designated Non-cash Consideration</w:t>
      </w:r>
      <w:r>
        <w:rPr>
          <w:rFonts w:ascii="Times New Roman" w:hAnsi="Times New Roman"/>
          <w:sz w:val="20"/>
        </w:rPr>
        <w:t xml:space="preserve">” means the Fair Market Value of non-cash consideration received by the Company or one of its Restricted Subsidiaries in connection with an Asset Sale that is so designated as Designated Non-cash Consideration pursuant to an Officer’s Certificate, setting forth the basis of such valuation, less the amount of Cash Equivalents received in connection with a subsequent sale of such Designated Non-cash Consideration; </w:t>
      </w:r>
      <w:r>
        <w:rPr>
          <w:rFonts w:ascii="Times New Roman" w:hAnsi="Times New Roman"/>
          <w:i/>
          <w:sz w:val="20"/>
        </w:rPr>
        <w:t>provided</w:t>
      </w:r>
      <w:r>
        <w:rPr>
          <w:rFonts w:ascii="Times New Roman" w:hAnsi="Times New Roman"/>
          <w:sz w:val="20"/>
        </w:rPr>
        <w:t xml:space="preserve"> that the Fair Market Value of each item of Designated Non-cash Consideration shall be measured at the time received and without giving effect to subsequent changes in value. </w:t>
      </w:r>
    </w:p>
    <w:p>
      <w:pPr>
        <w:pStyle w:val="TextBody"/>
        <w:bidi w:val="0"/>
        <w:spacing w:before="240" w:after="0"/>
        <w:jc w:val="left"/>
        <w:rPr/>
      </w:pPr>
      <w:r>
        <w:rPr/>
        <w:t>“</w:t>
      </w:r>
      <w:r>
        <w:rPr>
          <w:rFonts w:ascii="Times New Roman" w:hAnsi="Times New Roman"/>
          <w:i/>
          <w:sz w:val="20"/>
        </w:rPr>
        <w:t>Designated Preferred Stock</w:t>
      </w:r>
      <w:r>
        <w:rPr>
          <w:rFonts w:ascii="Times New Roman" w:hAnsi="Times New Roman"/>
          <w:sz w:val="20"/>
        </w:rPr>
        <w:t xml:space="preserve">” means Preferred Stock of the Company (other than Disqualified Stock) that is issued for cash (other than to the Company or any of its Restricted Subsidiaries or an employee stock plan or trust established by the Company or any of its Subsidiaries) and is so designated as Designated Preferred Stock, pursuant to an Officer’s Certificate, on the date of issuance thereof, the cash proceeds of which are excluded from the calculation set forth in clause (z)(B) of Section 4.07(a) hereof.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for cash pursuant to a sinking fund obligation or otherwise, or is redeemable at the option of the holder of the Capital Stock, in whole or in part, on or prior to the date that is 91 days after the date on which the Notes mature; </w:t>
      </w:r>
      <w:r>
        <w:rPr>
          <w:rFonts w:ascii="Times New Roman" w:hAnsi="Times New Roman"/>
          <w:i/>
          <w:sz w:val="20"/>
        </w:rPr>
        <w:t>provided</w:t>
      </w:r>
      <w:r>
        <w:rPr>
          <w:rFonts w:ascii="Times New Roman" w:hAnsi="Times New Roman"/>
          <w:sz w:val="20"/>
        </w:rPr>
        <w:t xml:space="preserve"> that (1) only the portion of Capital Stock which so matures or is mandatorily redeemable, is so convertible or exchangeable or is so redeemable at the option of the holder thereof prior to such date will be deemed to be Disqualified Stock; (2) if such Capital Stock is issued to any employee or to any plan for the benefit of employees of the Company, any direct or indirect parent of the Company or the Company’s Restricted Subsidiaries or by any such plan to such employees, such Capital Stock will not constitute Disqualified Stock solely because it may be required to be repurchased by the Company in order to satisfy applicable statutory or regulatory obligations or as a result of such employee’s termination, death or disability; (3) any class of Capital Stock of such Person that by its terms authorizes such Person to satisfy its obligations thereunder by delivery of Capital Stock or Disqualified Stock will not be deemed to be Disqualified Stock; and (4) any Capital Stock that would constitute Disqualified Stock solely because the holders thereof have the right to require the Company repurchase such Capital Stock upon the occurrence of a change of control, asset sale, condemnation or similar event (in each case, howsoever defined or referred to) shall not constitute Disqualified Stock if any such redemption or repurchase obligation is subject to compliance by the relevant Person with Section 4.07 hereof.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means any Restricted Subsidiary that is organized under the laws of the United States, any state thereof or the District of Columbia. </w:t>
      </w:r>
    </w:p>
    <w:p>
      <w:pPr>
        <w:pStyle w:val="TextBody"/>
        <w:bidi w:val="0"/>
        <w:spacing w:before="240" w:after="0"/>
        <w:jc w:val="left"/>
        <w:rPr/>
      </w:pPr>
      <w:r>
        <w:rPr/>
        <w:t>“</w:t>
      </w:r>
      <w:r>
        <w:rPr>
          <w:rFonts w:ascii="Times New Roman" w:hAnsi="Times New Roman"/>
          <w:i/>
          <w:sz w:val="20"/>
        </w:rPr>
        <w:t>DTC</w:t>
      </w:r>
      <w:r>
        <w:rPr>
          <w:rFonts w:ascii="Times New Roman" w:hAnsi="Times New Roman"/>
          <w:sz w:val="20"/>
        </w:rPr>
        <w:t xml:space="preserve">” means The Depository Trust Company or any successor securities clearing agency. </w:t>
      </w:r>
    </w:p>
    <w:p>
      <w:pPr>
        <w:pStyle w:val="TextBody"/>
        <w:bidi w:val="0"/>
        <w:spacing w:before="240" w:after="0"/>
        <w:jc w:val="left"/>
        <w:rPr/>
      </w:pPr>
      <w:r>
        <w:rPr/>
        <w:t>“</w:t>
      </w:r>
      <w:r>
        <w:rPr>
          <w:rFonts w:ascii="Times New Roman" w:hAnsi="Times New Roman"/>
          <w:i/>
          <w:sz w:val="20"/>
        </w:rPr>
        <w:t>Equity Interests</w:t>
      </w:r>
      <w:r>
        <w:rPr>
          <w:rFonts w:ascii="Times New Roman" w:hAnsi="Times New Roman"/>
          <w:sz w:val="20"/>
        </w:rPr>
        <w:t xml:space="preserve">” means Capital Stock and all warrants, options or other rights to acquire Capital Stock (but excluding any debt security that is convertible into, or exchangeable for, Capital Stock until converted or exchanged into Capital Stock). </w:t>
      </w:r>
    </w:p>
    <w:p>
      <w:pPr>
        <w:pStyle w:val="TextBody"/>
        <w:bidi w:val="0"/>
        <w:spacing w:before="240" w:after="0"/>
        <w:jc w:val="left"/>
        <w:rPr/>
      </w:pPr>
      <w:r>
        <w:rPr/>
        <w:t>“</w:t>
      </w:r>
      <w:r>
        <w:rPr>
          <w:rFonts w:ascii="Times New Roman" w:hAnsi="Times New Roman"/>
          <w:i/>
          <w:sz w:val="20"/>
        </w:rPr>
        <w:t>Equity Offering</w:t>
      </w:r>
      <w:r>
        <w:rPr>
          <w:rFonts w:ascii="Times New Roman" w:hAnsi="Times New Roman"/>
          <w:sz w:val="20"/>
        </w:rPr>
        <w:t xml:space="preserve">” means (x) a public or private sale either (1) of Equity Interests of the Company by the Company (other than Disqualified Stock and other than to a Subsidiary of the Company or any direct or indirect parent of the Company) or (2) of Equity Interests of a direct or indirect parent of the Company (other than to the Company, a Subsidiary of the Company or any direct or indirect parent of the Company), in each case other than public offerings with respect to the Company’s or any direct or indirect parent company’s common stock required to be registered on Form S-8 (or any successor form) under the Securities Act or (y) a cash equity contribution to the Company. </w:t>
      </w:r>
    </w:p>
    <w:p>
      <w:pPr>
        <w:pStyle w:val="TextBody"/>
        <w:bidi w:val="0"/>
        <w:spacing w:before="240" w:after="0"/>
        <w:jc w:val="left"/>
        <w:rPr/>
      </w:pPr>
      <w:r>
        <w:rPr/>
        <w:t>“</w:t>
      </w:r>
      <w:r>
        <w:rPr>
          <w:rFonts w:ascii="Times New Roman" w:hAnsi="Times New Roman"/>
          <w:i/>
          <w:sz w:val="20"/>
        </w:rPr>
        <w:t>Euroclear</w:t>
      </w:r>
      <w:r>
        <w:rPr>
          <w:rFonts w:ascii="Times New Roman" w:hAnsi="Times New Roman"/>
          <w:sz w:val="20"/>
        </w:rPr>
        <w:t xml:space="preserve">” means Euroclear Bank, S.A./N.V., as operator of the Euroclear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Excluded Property</w:t>
      </w:r>
      <w:r>
        <w:rPr>
          <w:rFonts w:ascii="Times New Roman" w:hAnsi="Times New Roman"/>
          <w:sz w:val="20"/>
        </w:rPr>
        <w:t xml:space="preserve">” has the meaning given to such term in the Security Agreement. </w:t>
      </w:r>
    </w:p>
    <w:p>
      <w:pPr>
        <w:pStyle w:val="TextBody"/>
        <w:bidi w:val="0"/>
        <w:spacing w:before="240" w:after="0"/>
        <w:jc w:val="left"/>
        <w:rPr/>
      </w:pPr>
      <w:r>
        <w:rPr/>
        <w:t>“</w:t>
      </w:r>
      <w:r>
        <w:rPr>
          <w:rFonts w:ascii="Times New Roman" w:hAnsi="Times New Roman"/>
          <w:i/>
          <w:sz w:val="20"/>
        </w:rPr>
        <w:t>Excluded Subsidiaries</w:t>
      </w:r>
      <w:r>
        <w:rPr>
          <w:rFonts w:ascii="Times New Roman" w:hAnsi="Times New Roman"/>
          <w:sz w:val="20"/>
        </w:rPr>
        <w:t xml:space="preserve">” means (a) all Foreign Subsidiaries, (b) each Domestic Subsidiary that owns no material assets other than equity interests in one or more Foreign Subsidiaries, (c) each Domestic Subsidiary of any Foreign Subsidiary, (d) each Unrestricted Subsidiary, (e) each Immaterial Subsidiary, (f) all Subsidiaries that are not wholly-owned directly by the Company or one or more of its Wholly-Owned Subsidiaries and (g) all Special Purpose Receivables Subsidiaries; for the avoidance of doubt, each Excluded Subsidiary subject to clauses (a) and (b) above is a “Pledged Excluded Subsidiary” and at least 66.66% of the Capital Stock thereof are or will be pledged collateral in accordance with the terms of the Pledge Agreement. </w:t>
      </w:r>
    </w:p>
    <w:p>
      <w:pPr>
        <w:pStyle w:val="TextBody"/>
        <w:bidi w:val="0"/>
        <w:spacing w:before="240" w:after="0"/>
        <w:jc w:val="left"/>
        <w:rPr/>
      </w:pPr>
      <w:r>
        <w:rPr/>
        <w:t>“</w:t>
      </w:r>
      <w:r>
        <w:rPr>
          <w:rFonts w:ascii="Times New Roman" w:hAnsi="Times New Roman"/>
          <w:i/>
          <w:sz w:val="20"/>
        </w:rPr>
        <w:t>Existing Indebtedness</w:t>
      </w:r>
      <w:r>
        <w:rPr>
          <w:rFonts w:ascii="Times New Roman" w:hAnsi="Times New Roman"/>
          <w:sz w:val="20"/>
        </w:rPr>
        <w:t xml:space="preserve">” means all Indebtedness of the Company and its Restricted Subsidiaries (other than Indebtedness under the Credit Agreement), including any Guarantees thereof, in existence on the Issue Date.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means the value (which, for the avoidance of doubt, will take into account any liabilities, contingent or otherwise, associated with related assets) that would be paid by a willing buyer to an unaffiliated willing seller in an arm’s-length transaction, determined in good faith by the Board of Directors of the Company (unless otherwise provided in this Indenture) or by an officer established by means of an Officer’s Certificate. </w:t>
      </w:r>
    </w:p>
    <w:p>
      <w:pPr>
        <w:pStyle w:val="TextBody"/>
        <w:bidi w:val="0"/>
        <w:spacing w:before="240" w:after="0"/>
        <w:jc w:val="left"/>
        <w:rPr/>
      </w:pPr>
      <w:r>
        <w:rPr/>
        <w:t>“</w:t>
      </w:r>
      <w:r>
        <w:rPr>
          <w:rFonts w:ascii="Times New Roman" w:hAnsi="Times New Roman"/>
          <w:i/>
          <w:sz w:val="20"/>
        </w:rPr>
        <w:t>First Lien Intercreditor Agreement</w:t>
      </w:r>
      <w:r>
        <w:rPr>
          <w:rFonts w:ascii="Times New Roman" w:hAnsi="Times New Roman"/>
          <w:sz w:val="20"/>
        </w:rPr>
        <w:t xml:space="preserve">” means that certain Closing Date Intercreditor Agreement, dated as of October 19, 2026, among the Company, the Guarantors, the Notes Collateral Agent, the Bank Collateral Agent and each additional collateral agent party thereto from time to time (as it may be amended from time to time in accordance with this Indenture). </w:t>
      </w:r>
    </w:p>
    <w:p>
      <w:pPr>
        <w:pStyle w:val="TextBody"/>
        <w:bidi w:val="0"/>
        <w:spacing w:before="240" w:after="0"/>
        <w:jc w:val="left"/>
        <w:rPr/>
      </w:pPr>
      <w:r>
        <w:rPr/>
        <w:t>“</w:t>
      </w:r>
      <w:r>
        <w:rPr>
          <w:rFonts w:ascii="Times New Roman" w:hAnsi="Times New Roman"/>
          <w:i/>
          <w:sz w:val="20"/>
        </w:rPr>
        <w:t>First Lien Notes Obligations</w:t>
      </w:r>
      <w:r>
        <w:rPr>
          <w:rFonts w:ascii="Times New Roman" w:hAnsi="Times New Roman"/>
          <w:sz w:val="20"/>
        </w:rPr>
        <w:t xml:space="preserve">” means Obligations in respect of the Notes, this Indenture, the Note Guarantees and the Security Documents. </w:t>
      </w:r>
    </w:p>
    <w:p>
      <w:pPr>
        <w:pStyle w:val="TextBody"/>
        <w:bidi w:val="0"/>
        <w:spacing w:before="240" w:after="0"/>
        <w:jc w:val="left"/>
        <w:rPr/>
      </w:pPr>
      <w:r>
        <w:rPr/>
        <w:t>“</w:t>
      </w:r>
      <w:r>
        <w:rPr>
          <w:rFonts w:ascii="Times New Roman" w:hAnsi="Times New Roman"/>
          <w:i/>
          <w:sz w:val="20"/>
        </w:rPr>
        <w:t>First Lien Obligations</w:t>
      </w:r>
      <w:r>
        <w:rPr>
          <w:rFonts w:ascii="Times New Roman" w:hAnsi="Times New Roman"/>
          <w:sz w:val="20"/>
        </w:rPr>
        <w:t xml:space="preserve">” means, collectively, (1) the Senior Credit Facility Obligations, (2) the First Lien Notes Obligations and (3) each Series of Additional First Lien Obligations. </w:t>
      </w:r>
    </w:p>
    <w:p>
      <w:pPr>
        <w:pStyle w:val="TextBody"/>
        <w:bidi w:val="0"/>
        <w:spacing w:before="240" w:after="0"/>
        <w:jc w:val="left"/>
        <w:rPr/>
      </w:pPr>
      <w:r>
        <w:rPr/>
        <w:t>“</w:t>
      </w:r>
      <w:r>
        <w:rPr>
          <w:rFonts w:ascii="Times New Roman" w:hAnsi="Times New Roman"/>
          <w:i/>
          <w:sz w:val="20"/>
        </w:rPr>
        <w:t>First Lien Secured Parties</w:t>
      </w:r>
      <w:r>
        <w:rPr>
          <w:rFonts w:ascii="Times New Roman" w:hAnsi="Times New Roman"/>
          <w:sz w:val="20"/>
        </w:rPr>
        <w:t xml:space="preserve">” means (1) the Senior Credit Facility Secured Parties, (2) the Notes Secured Parties and (3) any Additional First Lien Secured Parties. </w:t>
      </w:r>
    </w:p>
    <w:p>
      <w:pPr>
        <w:pStyle w:val="TextBody"/>
        <w:bidi w:val="0"/>
        <w:spacing w:before="240" w:after="0"/>
        <w:jc w:val="left"/>
        <w:rPr/>
      </w:pPr>
      <w:r>
        <w:rPr/>
        <w:t>“</w:t>
      </w:r>
      <w:r>
        <w:rPr>
          <w:rFonts w:ascii="Times New Roman" w:hAnsi="Times New Roman"/>
          <w:i/>
          <w:sz w:val="20"/>
        </w:rPr>
        <w:t>Fixed Charge Coverage Ratio</w:t>
      </w:r>
      <w:r>
        <w:rPr>
          <w:rFonts w:ascii="Times New Roman" w:hAnsi="Times New Roman"/>
          <w:sz w:val="20"/>
        </w:rPr>
        <w:t>” means with respect to any specified Person for any period, the ratio of the Consolidated EBITDA of such Person for such period to the Fixed Charges of such Person for such period. In the event that the specified Person or any of its Subsidiaries incurs, assumes, Guarantees, repays, repurchases, redeems, defeases or otherwise discharges any Indebtedness (other than in the case of revolving credit borrowings, in which case interest expense will be computed based upon the average daily balance of such Indebtedness during the applicable period (unless such Indebtedness has been permanently repaid and has not been replaced)), has caused any Reserved Indebtedness Amount to be deemed to be incurred during such period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hAnsi="Times New Roman"/>
          <w:i/>
          <w:sz w:val="20"/>
        </w:rPr>
        <w:t>Calculation Date</w:t>
      </w:r>
      <w:r>
        <w:rPr>
          <w:rFonts w:ascii="Times New Roman" w:hAnsi="Times New Roman"/>
          <w:sz w:val="20"/>
        </w:rPr>
        <w:t xml:space="preserve">”), then the Fixed Charge Coverage Ratio will be calculated giving pro forma effect (as determined in good faith by the Company, as certified in an Officer’s Certificate delivered to the Trustee)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 based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calculation or measure that is determined with reference to the Company’s financial statements (including Consolidated EBITDA, consolidated interest expense, Consolidated Net Income, Fixed Charges, Fixed Charge Coverage Ratio, the Consolidated Total Net Leverage Ratio and Consolidated Secured Net Leverage Ratio) may be determined with reference to the financial statements of a direct or indirect parent entity, so long as such parent entity does not hold any material assets other than, directly or indirectly, the Capital Stock of the Company. </w:t>
      </w:r>
    </w:p>
    <w:p>
      <w:pPr>
        <w:pStyle w:val="TextBody"/>
        <w:bidi w:val="0"/>
        <w:spacing w:before="240" w:after="0"/>
        <w:jc w:val="left"/>
        <w:rPr>
          <w:rFonts w:ascii="Times New Roman" w:hAnsi="Times New Roman"/>
          <w:sz w:val="20"/>
        </w:rPr>
      </w:pPr>
      <w:r>
        <w:rPr>
          <w:rFonts w:ascii="Times New Roman" w:hAnsi="Times New Roman"/>
          <w:sz w:val="20"/>
        </w:rPr>
        <w:t>For purposes of making the computations referred to above, if Investments, acquisitions, dispositions, mergers, consolidations and discontinued operations (as determined in accordance with GAAP) are made after the Issue Date and during the four-quarter reference period or subsequent to such reference period and on or prior to or simultaneously with the Calculation Date (each, for purposes of this definition, a “</w:t>
      </w:r>
      <w:r>
        <w:rPr>
          <w:rFonts w:ascii="Times New Roman" w:hAnsi="Times New Roman"/>
          <w:i/>
          <w:sz w:val="20"/>
        </w:rPr>
        <w:t>pro forma event</w:t>
      </w:r>
      <w:r>
        <w:rPr>
          <w:rFonts w:ascii="Times New Roman" w:hAnsi="Times New Roman"/>
          <w:sz w:val="20"/>
        </w:rPr>
        <w:t xml:space="preserve">”), then the Fixed Charge Coverage Ratio will be calculated on a pro forma basis assuming that all such Investments, acquisitions, dispositions, mergers, consolidations, discontinued operations and operational changes (and the change of any associated fixed charge obligations and the change in Consolidated EBITDA resulting therefrom) had occurred on the first day of the four-quarter reference period. If since the beginning of such period any Person that subsequently became a Restricted Subsidiary of the Company or was merged with or into the Company or any Restricted Subsidiary of the Company since the beginning of such period will have made or effected any Investment, acquisition, disposition, merger, consolidation or discontinued operation, then the Fixed Charge Coverage Ratio will be calculated giving pro forma effect thereto for such period as if such Investment, acquisition, disposition, merger, consolidation, discontinued operation, or operational change had occurred at the beginning of the applicable four-quarter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whenever pro forma effect is to be given to any pro forma event, the pro forma calculations will be made in good faith by a responsible financial or accounting officer of the Company. If any Indebtedness bears a floating rate of interest and is being given pro forma effect, the interest on such Indebtedness will be calculated as if the rate in effect on the Calculation Date had been the applicable rate for the entire period (taking into account any Swap Obligations applicable to such Indebtedness if such Swap Obligations have a remaining term in excess of 12 months as of the Calculation Date). For purposes of this definition, interest on a Capital Lease Obligation will be deemed to accrue at an interest rate reasonably determined by a responsible financial or accounting officer of the Company to be the rate of interest implicit in such Capital Lease Obligation in accordance with GAAP. For purposes of making the computation referred to above, interest on any Indebtedness under a revolving credit facility computed on a pro forma basis will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will be deemed to have been based upon the rate actually chosen, or, if none, then based upon such optional rate chosen as the Company may designate. Any pro forma calculations made pursuant to this definition may include adjustments appropriate, in the reasonable determination of the Company, to reflect adjustments calculated to give effect to any Permitted Cost Savings. </w:t>
      </w:r>
    </w:p>
    <w:p>
      <w:pPr>
        <w:pStyle w:val="TextBody"/>
        <w:bidi w:val="0"/>
        <w:spacing w:before="240" w:after="0"/>
        <w:jc w:val="left"/>
        <w:rPr/>
      </w:pPr>
      <w:r>
        <w:rPr/>
        <w:t>“</w:t>
      </w:r>
      <w:r>
        <w:rPr>
          <w:rFonts w:ascii="Times New Roman" w:hAnsi="Times New Roman"/>
          <w:i/>
          <w:sz w:val="20"/>
        </w:rPr>
        <w:t>Fixed Charges</w:t>
      </w:r>
      <w:r>
        <w:rPr>
          <w:rFonts w:ascii="Times New Roman" w:hAnsi="Times New Roman"/>
          <w:sz w:val="20"/>
        </w:rPr>
        <w:t xml:space="preserve">” means, with respect to any specified Person for any period,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(1) the consolidated interest expense of such Person and its Restricted Subsidiaries for such period, whether paid or accrued, to the extent such expense was deducted in computing Consolidated Net Income, including amortization of original issue discount, the interest component of all payments associated with Capital Lease Obligations, and the net effect of all payments made or received pursuant to Swap Obligations in respect of interest rates (but excluding any non-cash interest expense attributable to the mark-to-market valuation of Swap Obligations or other derivatives pursuant to GAAP) and excluding amortization or write-off of deferred financing fees and expensing of any other financing fees, including any expensing of bridge or commitment fees, and the non-cash portion of interest expense resulting from the reduction in the carrying value under purchase accounting of the Company’s outstanding Indebtedness; </w:t>
      </w:r>
      <w:r>
        <w:rPr>
          <w:rFonts w:ascii="Times New Roman" w:hAnsi="Times New Roman"/>
          <w:i/>
          <w:sz w:val="20"/>
        </w:rPr>
        <w:t>provided</w:t>
      </w:r>
      <w:r>
        <w:rPr>
          <w:rFonts w:ascii="Times New Roman" w:hAnsi="Times New Roman"/>
          <w:sz w:val="20"/>
        </w:rPr>
        <w:t xml:space="preserve"> that, for purposes of calculating consolidated interest expense, no effect will be given to the discount and/or premium resulting from the bifurcation of derivatives under ASC 815, </w:t>
      </w:r>
      <w:r>
        <w:rPr>
          <w:rFonts w:ascii="Times New Roman" w:hAnsi="Times New Roman"/>
          <w:i/>
          <w:sz w:val="20"/>
        </w:rPr>
        <w:t>Derivatives and Hedging</w:t>
      </w:r>
      <w:r>
        <w:rPr>
          <w:rFonts w:ascii="Times New Roman" w:hAnsi="Times New Roman"/>
          <w:sz w:val="20"/>
        </w:rPr>
        <w:t xml:space="preserve">, as a result of the terms of the Indebtedness to which such consolidated interest expense applies;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consolidated interest expense of such Person and its Restricted Subsidiaries that was capitalized during such period;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all cash dividends, whether paid or accrued, on any series of Preferred Stock of such Person or any of its Restricted Subsidiaries, excluding items eliminated in consolidation, in each case, determined on a consolidated basis in accordance with GAAP;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the consolidated interest income of such Person and its Restricted Subsidiaries for such period, whether received or accrued, to the extent such income was included in determining Consolidated Net Income.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any Restricted Subsidiary of the Company that is not a Domestic Subsidiary.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p>
    <w:p>
      <w:pPr>
        <w:pStyle w:val="TextBody"/>
        <w:bidi w:val="0"/>
        <w:spacing w:before="240" w:after="0"/>
        <w:jc w:val="left"/>
        <w:rPr>
          <w:rFonts w:ascii="Times New Roman" w:hAnsi="Times New Roman"/>
          <w:sz w:val="20"/>
        </w:rPr>
      </w:pPr>
      <w:r>
        <w:rPr>
          <w:rFonts w:ascii="Times New Roman" w:hAnsi="Times New Roman"/>
          <w:sz w:val="20"/>
        </w:rPr>
        <w:t>If there occurs a change in GAAP and such change would cause a change in the method of calculation of any standards, terms or measures (including all computations of amounts and ratios) used in this Indenture (an “</w:t>
      </w:r>
      <w:r>
        <w:rPr>
          <w:rFonts w:ascii="Times New Roman" w:hAnsi="Times New Roman"/>
          <w:i/>
          <w:sz w:val="20"/>
        </w:rPr>
        <w:t>Accounting Change</w:t>
      </w:r>
      <w:r>
        <w:rPr>
          <w:rFonts w:ascii="Times New Roman" w:hAnsi="Times New Roman"/>
          <w:sz w:val="20"/>
        </w:rPr>
        <w:t xml:space="preserve">”), then the Company may elect that such standards, terms or measures shall be calculated as if such Accounting Change had not occurred. </w:t>
      </w:r>
    </w:p>
    <w:p>
      <w:pPr>
        <w:pStyle w:val="TextBody"/>
        <w:bidi w:val="0"/>
        <w:spacing w:before="240" w:after="0"/>
        <w:jc w:val="left"/>
        <w:rPr/>
      </w:pPr>
      <w:r>
        <w:rPr/>
        <w:t>“</w:t>
      </w:r>
      <w:r>
        <w:rPr>
          <w:rFonts w:ascii="Times New Roman" w:hAnsi="Times New Roman"/>
          <w:i/>
          <w:sz w:val="20"/>
        </w:rPr>
        <w:t>Global Note Legend</w:t>
      </w:r>
      <w:r>
        <w:rPr>
          <w:rFonts w:ascii="Times New Roman" w:hAnsi="Times New Roman"/>
          <w:sz w:val="20"/>
        </w:rPr>
        <w:t xml:space="preserve">” means the legend set forth in Section 2.06(g)(2) hereof, which is required to be placed on all Global Notes issued under this Indenture. </w:t>
      </w:r>
    </w:p>
    <w:p>
      <w:pPr>
        <w:pStyle w:val="TextBody"/>
        <w:bidi w:val="0"/>
        <w:spacing w:before="240" w:after="0"/>
        <w:jc w:val="left"/>
        <w:rPr/>
      </w:pPr>
      <w:r>
        <w:rPr/>
        <w:t>“</w:t>
      </w:r>
      <w:r>
        <w:rPr>
          <w:rFonts w:ascii="Times New Roman" w:hAnsi="Times New Roman"/>
          <w:i/>
          <w:sz w:val="20"/>
        </w:rPr>
        <w:t>Global Notes</w:t>
      </w:r>
      <w:r>
        <w:rPr>
          <w:rFonts w:ascii="Times New Roman" w:hAnsi="Times New Roman"/>
          <w:sz w:val="20"/>
        </w:rPr>
        <w:t xml:space="preserve">” means, individually and collectively, each of the Restricted Global Notes and the Unrestricted Global Notes deposited with or on behalf of and registered in the name of the Depository or its nominee, substantially in the form of Exhibit A hereto and that bears the Global Note Legend and that has the “Schedule of Exchanges of Interests in the Global Note” attached thereto, issued in accordance with Section 2.01, 2.06(b)(3), 2.06(b)(4), 2.06(d)(1), 2.06(d)(2), 2.06(d)(3) or 2.06(f) hereof. </w:t>
      </w:r>
    </w:p>
    <w:p>
      <w:pPr>
        <w:pStyle w:val="TextBody"/>
        <w:bidi w:val="0"/>
        <w:spacing w:before="240" w:after="0"/>
        <w:jc w:val="left"/>
        <w:rPr/>
      </w:pPr>
      <w:r>
        <w:rPr/>
        <w:t>“</w:t>
      </w:r>
      <w:r>
        <w:rPr>
          <w:rFonts w:ascii="Times New Roman" w:hAnsi="Times New Roman"/>
          <w:i/>
          <w:sz w:val="20"/>
        </w:rPr>
        <w:t>Government Securities</w:t>
      </w:r>
      <w:r>
        <w:rPr>
          <w:rFonts w:ascii="Times New Roman" w:hAnsi="Times New Roman"/>
          <w:sz w:val="20"/>
        </w:rPr>
        <w:t xml:space="preserve">” means direct obligations of, or obligations guaranteed by, the United States of America, and the payment for which the United States pledges its full faith and credit. </w:t>
      </w:r>
    </w:p>
    <w:p>
      <w:pPr>
        <w:pStyle w:val="TextBody"/>
        <w:bidi w:val="0"/>
        <w:spacing w:before="240" w:after="0"/>
        <w:jc w:val="left"/>
        <w:rPr/>
      </w:pPr>
      <w:r>
        <w:rPr/>
        <w:t>“</w:t>
      </w:r>
      <w:r>
        <w:rPr>
          <w:rFonts w:ascii="Times New Roman" w:hAnsi="Times New Roman"/>
          <w:i/>
          <w:sz w:val="20"/>
        </w:rPr>
        <w:t>Grantor</w:t>
      </w:r>
      <w:r>
        <w:rPr>
          <w:rFonts w:ascii="Times New Roman" w:hAnsi="Times New Roman"/>
          <w:sz w:val="20"/>
        </w:rPr>
        <w:t xml:space="preserve">” means the Company and any Guarantor.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 guarantee other than (i) by endorsement of negotiable instruments for collection in the ordinary course of business or consistent with past practice or (ii) standard contractual indemnities or product warranties provided in the ordinary course of business, direct or indirect, in any manner including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Guarantors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each direct or indirect Domestic Subsidiary of the Company on the Issue Date that guarantees the Company’s Credit Agreement on the Issue Date; and </w:t>
      </w:r>
    </w:p>
    <w:p>
      <w:pPr>
        <w:pStyle w:val="TextBody"/>
        <w:bidi w:val="0"/>
        <w:spacing w:before="120" w:after="0"/>
        <w:jc w:val="left"/>
        <w:rPr>
          <w:rFonts w:ascii="Times New Roman" w:hAnsi="Times New Roman"/>
          <w:sz w:val="20"/>
        </w:rPr>
      </w:pPr>
      <w:r>
        <w:rPr>
          <w:rFonts w:ascii="Times New Roman" w:hAnsi="Times New Roman"/>
          <w:sz w:val="20"/>
        </w:rPr>
        <w:t xml:space="preserve">(2) any other Restricted Subsidiary of the Company that executes a Note Guarantee in accordance with the provisions of this Indenture; and their respective successors and assigns, in each case, until the Note Guarantee of such Person has been released in accordance with the provisions of this Indenture.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each Person in whose name a Note is registered on the registrar’s books, which shall initially be the nominee of DTC. </w:t>
      </w:r>
    </w:p>
    <w:p>
      <w:pPr>
        <w:pStyle w:val="TextBody"/>
        <w:bidi w:val="0"/>
        <w:spacing w:before="240" w:after="0"/>
        <w:jc w:val="left"/>
        <w:rPr/>
      </w:pPr>
      <w:r>
        <w:rPr/>
        <w:t>“</w:t>
      </w:r>
      <w:r>
        <w:rPr>
          <w:rFonts w:ascii="Times New Roman" w:hAnsi="Times New Roman"/>
          <w:i/>
          <w:sz w:val="20"/>
        </w:rPr>
        <w:t>Holding Company</w:t>
      </w:r>
      <w:r>
        <w:rPr>
          <w:rFonts w:ascii="Times New Roman" w:hAnsi="Times New Roman"/>
          <w:sz w:val="20"/>
        </w:rPr>
        <w:t xml:space="preserve">” means any Person so long as such Person directly or indirectly holds 100% of the total voting power of the Voting Stock of the Company, and at the time such Person acquired such voting power, no Person and no group (within the meaning of Section 13(d)(3) or Section 14(d) (2)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 </w:t>
      </w:r>
    </w:p>
    <w:p>
      <w:pPr>
        <w:pStyle w:val="TextBody"/>
        <w:bidi w:val="0"/>
        <w:spacing w:before="240" w:after="0"/>
        <w:jc w:val="left"/>
        <w:rPr/>
      </w:pPr>
      <w:r>
        <w:rPr/>
        <w:t>“</w:t>
      </w:r>
      <w:r>
        <w:rPr>
          <w:rFonts w:ascii="Times New Roman" w:hAnsi="Times New Roman"/>
          <w:i/>
          <w:sz w:val="20"/>
        </w:rPr>
        <w:t>Immaterial Subsidiaries</w:t>
      </w:r>
      <w:r>
        <w:rPr>
          <w:rFonts w:ascii="Times New Roman" w:hAnsi="Times New Roman"/>
          <w:sz w:val="20"/>
        </w:rPr>
        <w:t xml:space="preserve">” means each Domestic Subsidiary that (a) is not a Material Subsidiary and (b) does not incur or guarantee any obligations under the Notes or any other Indebtedness;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as of any date of determination, the aggregate LTM Consolidated EBITDA of all Domestic Subsidiaries that are Immaterial Subsidiaries shall not exceed ten percent (10.0%) of the LTM Consolidated EBITDA during such period of the Company and its consolidated Domestic Subsidiaries, and (ii) as of the Issue Date, each of the Domestic Subsidiaries that is designated as an “Immaterial Subsidiary” under the Credit Agreement shall be deemed to be an Immaterial Subsidiary.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specified Person, any indebtedness of such Person (excluding accrued expenses and trade payables, deferred compensation, deferred rent (other than for Capital Lease Obligations) and landlord allowances), whether or not contingent: </w:t>
      </w:r>
    </w:p>
    <w:p>
      <w:pPr>
        <w:pStyle w:val="TextBody"/>
        <w:bidi w:val="0"/>
        <w:spacing w:before="120" w:after="0"/>
        <w:jc w:val="left"/>
        <w:rPr>
          <w:rFonts w:ascii="Times New Roman" w:hAnsi="Times New Roman"/>
          <w:sz w:val="20"/>
        </w:rPr>
      </w:pPr>
      <w:r>
        <w:rPr>
          <w:rFonts w:ascii="Times New Roman" w:hAnsi="Times New Roman"/>
          <w:sz w:val="20"/>
        </w:rPr>
        <w:t xml:space="preserve">(1) in respect of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(2) evidenced by bonds, notes, debentures or similar instruments or letters of credit (or reimbursement agreements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(3) in respect of banker’s acceptances; </w:t>
      </w:r>
    </w:p>
    <w:p>
      <w:pPr>
        <w:pStyle w:val="TextBody"/>
        <w:bidi w:val="0"/>
        <w:spacing w:before="120" w:after="0"/>
        <w:jc w:val="left"/>
        <w:rPr>
          <w:rFonts w:ascii="Times New Roman" w:hAnsi="Times New Roman"/>
          <w:sz w:val="20"/>
        </w:rPr>
      </w:pPr>
      <w:r>
        <w:rPr>
          <w:rFonts w:ascii="Times New Roman" w:hAnsi="Times New Roman"/>
          <w:sz w:val="20"/>
        </w:rPr>
        <w:t xml:space="preserve">(4) representing Capital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(5) representing the balance of deferred and unpaid purchase price of any property or services due more than one year after such property is acquired or such services are completed; or </w:t>
      </w:r>
    </w:p>
    <w:p>
      <w:pPr>
        <w:pStyle w:val="TextBody"/>
        <w:bidi w:val="0"/>
        <w:spacing w:before="120" w:after="0"/>
        <w:jc w:val="left"/>
        <w:rPr>
          <w:rFonts w:ascii="Times New Roman" w:hAnsi="Times New Roman"/>
          <w:sz w:val="20"/>
        </w:rPr>
      </w:pPr>
      <w:r>
        <w:rPr>
          <w:rFonts w:ascii="Times New Roman" w:hAnsi="Times New Roman"/>
          <w:sz w:val="20"/>
        </w:rPr>
        <w:t xml:space="preserve">(6) representing any Swap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any of the preceding items (other than letters of credit and Swap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Times New Roman" w:hAnsi="Times New Roman"/>
          <w:i/>
          <w:sz w:val="20"/>
        </w:rPr>
        <w:t>provided</w:t>
      </w:r>
      <w:r>
        <w:rPr>
          <w:rFonts w:ascii="Times New Roman" w:hAnsi="Times New Roman"/>
          <w:sz w:val="20"/>
        </w:rPr>
        <w:t xml:space="preserve"> that contingent obligations incurred in the ordinary course of business shall be deemed not to constitute Indebtedness. Indebtedness shall be calculated without giving effect to the effects of ASC 815, </w:t>
      </w:r>
      <w:r>
        <w:rPr>
          <w:rFonts w:ascii="Times New Roman" w:hAnsi="Times New Roman"/>
          <w:i/>
          <w:sz w:val="20"/>
        </w:rPr>
        <w:t>Derivatives and Hedging</w:t>
      </w:r>
      <w:r>
        <w:rPr>
          <w:rFonts w:ascii="Times New Roman" w:hAnsi="Times New Roman"/>
          <w:sz w:val="20"/>
        </w:rPr>
        <w:t xml:space="preserve">, and related interpretations to the extent such effects would otherwise increase or decrease an amount of Indebtedness for any purpose under this Indenture as a result of accounting for any embedded derivatives created by the terms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i/>
          <w:sz w:val="20"/>
        </w:rPr>
        <w:t>Independent Financial Advisor</w:t>
      </w:r>
      <w:r>
        <w:rPr>
          <w:rFonts w:ascii="Times New Roman" w:hAnsi="Times New Roman"/>
          <w:sz w:val="20"/>
        </w:rPr>
        <w:t xml:space="preserve">” means an accounting, appraisal or investment banking firm or consultant to Persons engaged in a Permitted Business, in each case of nationally recognized standing that is, in the good faith determination of the Company, qualified to perform the task for which it has been engaged. </w:t>
      </w:r>
    </w:p>
    <w:p>
      <w:pPr>
        <w:pStyle w:val="TextBody"/>
        <w:bidi w:val="0"/>
        <w:spacing w:before="240" w:after="0"/>
        <w:jc w:val="left"/>
        <w:rPr/>
      </w:pPr>
      <w:r>
        <w:rPr/>
        <w:t>“</w:t>
      </w:r>
      <w:r>
        <w:rPr>
          <w:rFonts w:ascii="Times New Roman" w:hAnsi="Times New Roman"/>
          <w:i/>
          <w:sz w:val="20"/>
        </w:rPr>
        <w:t>Intellectual Property</w:t>
      </w:r>
      <w:r>
        <w:rPr>
          <w:rFonts w:ascii="Times New Roman" w:hAnsi="Times New Roman"/>
          <w:sz w:val="20"/>
        </w:rPr>
        <w:t xml:space="preserve">” means all intellectual property, including inventions, designs, patents, copyrights, trademarks, service marks, trade names, together with all goodwill associated with the trademarks, service marks and trade names, trade secrets, confidential or proprietary information, customer lists, know-how, software and databases; all embodiments or fixations thereof, applications and registrations of any of the foregoing; and all licenses or other rights to use any of the foregoing. </w:t>
      </w:r>
    </w:p>
    <w:p>
      <w:pPr>
        <w:pStyle w:val="TextBody"/>
        <w:bidi w:val="0"/>
        <w:spacing w:before="240" w:after="0"/>
        <w:jc w:val="left"/>
        <w:rPr/>
      </w:pPr>
      <w:r>
        <w:rPr/>
        <w:t>“</w:t>
      </w:r>
      <w:r>
        <w:rPr>
          <w:rFonts w:ascii="Times New Roman" w:hAnsi="Times New Roman"/>
          <w:i/>
          <w:sz w:val="20"/>
        </w:rPr>
        <w:t>Indirect Participant</w:t>
      </w:r>
      <w:r>
        <w:rPr>
          <w:rFonts w:ascii="Times New Roman" w:hAnsi="Times New Roman"/>
          <w:sz w:val="20"/>
        </w:rPr>
        <w:t xml:space="preserve">” means a Person who holds a beneficial interest in a Global Note through a Participant. </w:t>
      </w:r>
    </w:p>
    <w:p>
      <w:pPr>
        <w:pStyle w:val="TextBody"/>
        <w:bidi w:val="0"/>
        <w:spacing w:before="240" w:after="0"/>
        <w:jc w:val="left"/>
        <w:rPr/>
      </w:pPr>
      <w:r>
        <w:rPr/>
        <w:t>“</w:t>
      </w:r>
      <w:r>
        <w:rPr>
          <w:rFonts w:ascii="Times New Roman" w:hAnsi="Times New Roman"/>
          <w:i/>
          <w:sz w:val="20"/>
        </w:rPr>
        <w:t>Initial Notes</w:t>
      </w:r>
      <w:r>
        <w:rPr>
          <w:rFonts w:ascii="Times New Roman" w:hAnsi="Times New Roman"/>
          <w:sz w:val="20"/>
        </w:rPr>
        <w:t xml:space="preserve">” means the $450.0 million aggregate principal amount of Notes issued under this Indenture on the date hereof. </w:t>
      </w:r>
    </w:p>
    <w:p>
      <w:pPr>
        <w:pStyle w:val="TextBody"/>
        <w:bidi w:val="0"/>
        <w:spacing w:before="240" w:after="0"/>
        <w:jc w:val="left"/>
        <w:rPr/>
      </w:pPr>
      <w:r>
        <w:rPr/>
        <w:t>“</w:t>
      </w:r>
      <w:r>
        <w:rPr>
          <w:rFonts w:ascii="Times New Roman" w:hAnsi="Times New Roman"/>
          <w:i/>
          <w:sz w:val="20"/>
        </w:rPr>
        <w:t>Initial Purchasers</w:t>
      </w:r>
      <w:r>
        <w:rPr>
          <w:rFonts w:ascii="Times New Roman" w:hAnsi="Times New Roman"/>
          <w:sz w:val="20"/>
        </w:rPr>
        <w:t xml:space="preserve">” means J.P. Morgan Securities LLC, BofA Securities, Inc., Citigroup Global Markets Inc., Citizens JMP Securities, LLC, DNB Carnegie, Inc., PNC Capital Markets LLC, Truist Securities, Inc., Capital One Securities, Inc., Goldman Sachs &amp; Co. LLC, Morgan Stanley &amp; Co. LLC, MUFG Securities Americas Inc., Wells Fargo Securities, LLC, BMO Capital Markets Corp., Huntington Securities, Inc., Santander US Capital Markets LLC, Synovus Securities, Inc. and Scotia Capital (USA) Inc. </w:t>
      </w:r>
    </w:p>
    <w:p>
      <w:pPr>
        <w:pStyle w:val="TextBody"/>
        <w:bidi w:val="0"/>
        <w:spacing w:before="240" w:after="0"/>
        <w:jc w:val="left"/>
        <w:rPr/>
      </w:pPr>
      <w:r>
        <w:rPr/>
        <w:t>“</w:t>
      </w:r>
      <w:r>
        <w:rPr>
          <w:rFonts w:ascii="Times New Roman" w:hAnsi="Times New Roman"/>
          <w:i/>
          <w:sz w:val="20"/>
        </w:rPr>
        <w:t>Institutional Accredited Investor</w:t>
      </w:r>
      <w:r>
        <w:rPr>
          <w:rFonts w:ascii="Times New Roman" w:hAnsi="Times New Roman"/>
          <w:sz w:val="20"/>
        </w:rPr>
        <w:t xml:space="preserve">” means an institution that is an “accredited investor” as defined in Rule 501(a)(1), (2), (3) or (7) under the Securities Act that is not also a QIB. </w:t>
      </w:r>
    </w:p>
    <w:p>
      <w:pPr>
        <w:pStyle w:val="TextBody"/>
        <w:bidi w:val="0"/>
        <w:spacing w:before="240" w:after="0"/>
        <w:jc w:val="left"/>
        <w:rPr/>
      </w:pPr>
      <w:r>
        <w:rPr/>
        <w:t>“</w:t>
      </w:r>
      <w:r>
        <w:rPr>
          <w:rFonts w:ascii="Times New Roman" w:hAnsi="Times New Roman"/>
          <w:i/>
          <w:sz w:val="20"/>
        </w:rPr>
        <w:t>Investment Grade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securities issued or directly and fully guaranteed or insured by the U.S. government or any agency or instrumentality thereof (other than Cash Equivalents) and in each case with maturities not exceeding two years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(2) securities that have a rating equal to or higher than Baa3 (or the equivalent) by Moody’s or BBB- (or the equivalent) by S&amp;P, or an equivalent rating by any other “nationally recognized statistical rating organization” within the meaning of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(3) investments in any fund that invests at least 95% of its assets in investments of the type described in clauses (1) and (2) which fund may also hold immaterial amounts of cash pending investment and/or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(4) corresponding instruments in countries other than the United States customarily utilized for high quality investments and in each case with maturities not exceeding two years from the date of acquisition. </w:t>
      </w:r>
    </w:p>
    <w:p>
      <w:pPr>
        <w:pStyle w:val="TextBody"/>
        <w:bidi w:val="0"/>
        <w:spacing w:before="240" w:after="0"/>
        <w:jc w:val="left"/>
        <w:rPr/>
      </w:pPr>
      <w:r>
        <w:rPr/>
        <w:t>“</w:t>
      </w:r>
      <w:r>
        <w:rPr>
          <w:rFonts w:ascii="Times New Roman" w:hAnsi="Times New Roman"/>
          <w:i/>
          <w:sz w:val="20"/>
        </w:rPr>
        <w:t>Investments</w:t>
      </w:r>
      <w:r>
        <w:rPr>
          <w:rFonts w:ascii="Times New Roman" w:hAnsi="Times New Roman"/>
          <w:sz w:val="20"/>
        </w:rPr>
        <w:t xml:space="preserve">” means, with respect to any Person, all direct or indirect investments by such Person in other Persons (including Affiliates) in the form of loans (including Guarantees), advances or capital contributions (excluding accounts receivable, trade credit and advances to customers and commission, travel, relocation and similar advances to officers and employees made in the ordinary course of business), purchases or other acquisitions for consideration of Indebtedness, Equity Interests or other securities issued by any other Person, together with all items that are required to be classified as investments on a balance sheet prepared in accordance with GAAP in the same manner as the other investments included in this definition to the extent such transactions involve the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cash or other property. If the Company or any Restricted Subsidiary of the Company sells or otherwise disposes of any Equity Interests of any direct or indirect Restricted Subsidiary of the Company such that, after giving effect to any such sale or disposition, such Person is no longer a Restricted Subsidiary of the Company, the Company will be deemed to have made an Investment on the date of any such sale or disposition equal to the Fair Market Value of the Company’s Investments in such Restricted Subsidiary that were not sold or disposed of in an amount determined as provided in Section 4.07 hereof. Except as otherwise provided in this Indenture, the amount of an Investment will be determined at the time the Investment is made and without giving effect to subsequent changes in value. Notwithstanding anything in this Indenture to the contrary, for purposes of Section 4.07 hereof: </w:t>
      </w:r>
    </w:p>
    <w:p>
      <w:pPr>
        <w:pStyle w:val="TextBody"/>
        <w:bidi w:val="0"/>
        <w:spacing w:before="120" w:after="0"/>
        <w:jc w:val="left"/>
        <w:rPr>
          <w:rFonts w:ascii="Times New Roman" w:hAnsi="Times New Roman"/>
          <w:sz w:val="20"/>
        </w:rPr>
      </w:pPr>
      <w:r>
        <w:rPr>
          <w:rFonts w:ascii="Times New Roman" w:hAnsi="Times New Roman"/>
          <w:sz w:val="20"/>
        </w:rPr>
        <w:t xml:space="preserve">(1) “Investments” shall include the portion (proportionate to the Company’s equity interest in such Subsidiary) of the Fair Market Value of the net assets of a Restricted Subsidiary of the Company at the time that such Restricted Subsidiary is designated an Unrestricted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upon a redesignation of such Subsidiary as a Restricted Subsidiary of the Company, the Company shall be deemed to continue to have a permanent “Investment” in an Unrestricted Subsidiary equal to an amount (if positive) equal to: </w:t>
      </w:r>
    </w:p>
    <w:p>
      <w:pPr>
        <w:pStyle w:val="TextBody"/>
        <w:bidi w:val="0"/>
        <w:spacing w:before="120" w:after="0"/>
        <w:jc w:val="left"/>
        <w:rPr>
          <w:rFonts w:ascii="Times New Roman" w:hAnsi="Times New Roman"/>
          <w:sz w:val="20"/>
        </w:rPr>
      </w:pPr>
      <w:r>
        <w:rPr>
          <w:rFonts w:ascii="Times New Roman" w:hAnsi="Times New Roman"/>
          <w:sz w:val="20"/>
        </w:rPr>
        <w:t xml:space="preserve">(a) the Company’s “Investment” in such Subsidiary at the time of such redesignation;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portion (proportionate to the Company’s equity interest in such Subsidiary) of the Fair Market Value of the net assets of such Subsidiary at the time of such redesignation; and </w:t>
      </w:r>
    </w:p>
    <w:p>
      <w:pPr>
        <w:pStyle w:val="TextBody"/>
        <w:bidi w:val="0"/>
        <w:spacing w:before="120" w:after="0"/>
        <w:jc w:val="left"/>
        <w:rPr>
          <w:rFonts w:ascii="Times New Roman" w:hAnsi="Times New Roman"/>
          <w:sz w:val="20"/>
        </w:rPr>
      </w:pPr>
      <w:r>
        <w:rPr>
          <w:rFonts w:ascii="Times New Roman" w:hAnsi="Times New Roman"/>
          <w:sz w:val="20"/>
        </w:rPr>
        <w:t xml:space="preserve">(2) any property transferred to or from an Unrestricted Subsidiary shall be valued at its Fair Market Value at the time of such transfer, in each case as determined in good faith by the Company.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October 19, 2026. </w:t>
      </w:r>
    </w:p>
    <w:p>
      <w:pPr>
        <w:pStyle w:val="TextBody"/>
        <w:bidi w:val="0"/>
        <w:spacing w:before="240" w:after="0"/>
        <w:jc w:val="left"/>
        <w:rPr/>
      </w:pPr>
      <w:r>
        <w:rPr/>
        <w:t>“</w:t>
      </w:r>
      <w:r>
        <w:rPr>
          <w:rFonts w:ascii="Times New Roman" w:hAnsi="Times New Roman"/>
          <w:i/>
          <w:sz w:val="20"/>
        </w:rPr>
        <w:t>Junior Lien Intercreditor Agreement</w:t>
      </w:r>
      <w:r>
        <w:rPr>
          <w:rFonts w:ascii="Times New Roman" w:hAnsi="Times New Roman"/>
          <w:sz w:val="20"/>
        </w:rPr>
        <w:t xml:space="preserve">” means a junior lien intercreditor agreement, among the Notes Collateral Agent, one or more representatives for the holders of First Lien Obligations, and one or more representatives for the holders of Junior Lien Obligations, to be entered into if the Company or any of the Guarantors were to incur Indebtedness secured by the Collateral with a Junior Lien Priority relative to the First Lien Obligations, as the same may be amended, restated, supplemented, replaced or otherwise modified from time to time. </w:t>
      </w:r>
    </w:p>
    <w:p>
      <w:pPr>
        <w:pStyle w:val="TextBody"/>
        <w:bidi w:val="0"/>
        <w:spacing w:before="240" w:after="0"/>
        <w:jc w:val="left"/>
        <w:rPr/>
      </w:pPr>
      <w:r>
        <w:rPr/>
        <w:t>“</w:t>
      </w:r>
      <w:r>
        <w:rPr>
          <w:rFonts w:ascii="Times New Roman" w:hAnsi="Times New Roman"/>
          <w:i/>
          <w:sz w:val="20"/>
        </w:rPr>
        <w:t>Junior Lien Obligations</w:t>
      </w:r>
      <w:r>
        <w:rPr>
          <w:rFonts w:ascii="Times New Roman" w:hAnsi="Times New Roman"/>
          <w:sz w:val="20"/>
        </w:rPr>
        <w:t xml:space="preserve">” means the Obligations with respect to Indebtedness permitted to be incurred under this Indenture, which is by its terms intended to be secured by the Collateral with a Junior Lien Priority relative to the notes; </w:t>
      </w:r>
      <w:r>
        <w:rPr>
          <w:rFonts w:ascii="Times New Roman" w:hAnsi="Times New Roman"/>
          <w:i/>
          <w:sz w:val="20"/>
        </w:rPr>
        <w:t xml:space="preserve">provided </w:t>
      </w:r>
      <w:r>
        <w:rPr>
          <w:rFonts w:ascii="Times New Roman" w:hAnsi="Times New Roman"/>
          <w:sz w:val="20"/>
        </w:rPr>
        <w:t xml:space="preserve">such Lien is permitted to be incurred under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holders of such Indebtedness or their representative shall become party to a Junior Lien Intercreditor Agreement and any other applicable intercreditor agreements. </w:t>
      </w:r>
    </w:p>
    <w:p>
      <w:pPr>
        <w:pStyle w:val="TextBody"/>
        <w:bidi w:val="0"/>
        <w:spacing w:before="240" w:after="0"/>
        <w:jc w:val="left"/>
        <w:rPr/>
      </w:pPr>
      <w:r>
        <w:rPr/>
        <w:t>“</w:t>
      </w:r>
      <w:r>
        <w:rPr>
          <w:rFonts w:ascii="Times New Roman" w:hAnsi="Times New Roman"/>
          <w:i/>
          <w:sz w:val="20"/>
        </w:rPr>
        <w:t>Junior Lien Priority</w:t>
      </w:r>
      <w:r>
        <w:rPr>
          <w:rFonts w:ascii="Times New Roman" w:hAnsi="Times New Roman"/>
          <w:sz w:val="20"/>
        </w:rPr>
        <w:t xml:space="preserve">” means Indebtedness that is secured by a Lien on the Collateral that is junior in priority to the Liens on the Collateral securing the First Lien Notes Obligations and is subject to a Junior Lien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 </w:t>
      </w:r>
    </w:p>
    <w:p>
      <w:pPr>
        <w:pStyle w:val="TextBody"/>
        <w:bidi w:val="0"/>
        <w:spacing w:before="240" w:after="0"/>
        <w:jc w:val="left"/>
        <w:rPr/>
      </w:pPr>
      <w:r>
        <w:rPr/>
        <w:t>“</w:t>
      </w:r>
      <w:r>
        <w:rPr>
          <w:rFonts w:ascii="Times New Roman" w:hAnsi="Times New Roman"/>
          <w:i/>
          <w:sz w:val="20"/>
        </w:rPr>
        <w:t>Junior Lien Representative</w:t>
      </w:r>
      <w:r>
        <w:rPr>
          <w:rFonts w:ascii="Times New Roman" w:hAnsi="Times New Roman"/>
          <w:sz w:val="20"/>
        </w:rPr>
        <w:t xml:space="preserve">” means any duly authorized representative of any holders of Junior Lien Obligations, which representative is named as such in the Junior Lien Intercreditor Agreement or any joinder thereto. </w:t>
      </w:r>
    </w:p>
    <w:p>
      <w:pPr>
        <w:pStyle w:val="TextBody"/>
        <w:bidi w:val="0"/>
        <w:spacing w:before="240" w:after="0"/>
        <w:jc w:val="left"/>
        <w:rPr/>
      </w:pPr>
      <w:r>
        <w:rPr/>
        <w:t>“</w:t>
      </w:r>
      <w:r>
        <w:rPr>
          <w:rFonts w:ascii="Times New Roman" w:hAnsi="Times New Roman"/>
          <w:i/>
          <w:sz w:val="20"/>
        </w:rPr>
        <w:t>Legal Holiday</w:t>
      </w:r>
      <w:r>
        <w:rPr>
          <w:rFonts w:ascii="Times New Roman" w:hAnsi="Times New Roman"/>
          <w:sz w:val="20"/>
        </w:rPr>
        <w:t xml:space="preserve">” means a Saturday, a Sunday or a day on which banking institutions in the City of New York or at a place of payment are authorized by law, regulation or executive order to remain closed. When the payment of any obligation or the performance of any covenant, duty or obligation is stated to be due or performance required on a day which is a Legal Holiday, the date of such payment or performance shall extend to the immediately succeeding Business Day and such extension of time shall not be reflected in computing interest or fees,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Lien</w:t>
      </w:r>
      <w:r>
        <w:rPr>
          <w:rFonts w:ascii="Times New Roman" w:hAnsi="Times New Roman"/>
          <w:sz w:val="20"/>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and any financing lease in the nature thereof; </w:t>
      </w:r>
      <w:r>
        <w:rPr>
          <w:rFonts w:ascii="Times New Roman" w:hAnsi="Times New Roman"/>
          <w:i/>
          <w:sz w:val="20"/>
        </w:rPr>
        <w:t>provided</w:t>
      </w:r>
      <w:r>
        <w:rPr>
          <w:rFonts w:ascii="Times New Roman" w:hAnsi="Times New Roman"/>
          <w:sz w:val="20"/>
        </w:rPr>
        <w:t xml:space="preserve"> that in no event shall Non-Financing Lease Obligations be deemed to constitute a Lien. </w:t>
      </w:r>
    </w:p>
    <w:p>
      <w:pPr>
        <w:pStyle w:val="TextBody"/>
        <w:bidi w:val="0"/>
        <w:spacing w:before="240" w:after="0"/>
        <w:jc w:val="left"/>
        <w:rPr/>
      </w:pPr>
      <w:r>
        <w:rPr/>
        <w:t>“</w:t>
      </w:r>
      <w:r>
        <w:rPr>
          <w:rFonts w:ascii="Times New Roman" w:hAnsi="Times New Roman"/>
          <w:i/>
          <w:sz w:val="20"/>
        </w:rPr>
        <w:t>Limited Condition Transaction</w:t>
      </w:r>
      <w:r>
        <w:rPr>
          <w:rFonts w:ascii="Times New Roman" w:hAnsi="Times New Roman"/>
          <w:sz w:val="20"/>
        </w:rPr>
        <w:t xml:space="preserve">” means (1) any Investment or acquisition (whether by merger, amalgamation, consolidation or other business combination or the acquisition of Capital Stock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 Indebtedness, Disqualified Stock or Preferred Stock requiring irrevocable notice in advance of such redemption, repurchase, defeasance, satisfaction and discharge or repayment, (3) any Restricted Payment requiring irrevocable notice in advance thereof, (4) any asset sale or a disposition excluded from the definition of “Asset Sale” and (5) a “Change of Control.” </w:t>
      </w:r>
    </w:p>
    <w:p>
      <w:pPr>
        <w:pStyle w:val="TextBody"/>
        <w:bidi w:val="0"/>
        <w:spacing w:before="240" w:after="0"/>
        <w:jc w:val="left"/>
        <w:rPr/>
      </w:pPr>
      <w:r>
        <w:rPr/>
        <w:t>“</w:t>
      </w:r>
      <w:r>
        <w:rPr>
          <w:rFonts w:ascii="Times New Roman" w:hAnsi="Times New Roman"/>
          <w:i/>
          <w:sz w:val="20"/>
        </w:rPr>
        <w:t>Long Derivative Instrument</w:t>
      </w:r>
      <w:r>
        <w:rPr>
          <w:rFonts w:ascii="Times New Roman" w:hAnsi="Times New Roman"/>
          <w:sz w:val="20"/>
        </w:rPr>
        <w:t xml:space="preserve">”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 </w:t>
      </w:r>
    </w:p>
    <w:p>
      <w:pPr>
        <w:pStyle w:val="TextBody"/>
        <w:bidi w:val="0"/>
        <w:spacing w:before="240" w:after="0"/>
        <w:jc w:val="left"/>
        <w:rPr/>
      </w:pPr>
      <w:r>
        <w:rPr/>
        <w:t>“</w:t>
      </w:r>
      <w:r>
        <w:rPr>
          <w:rFonts w:ascii="Times New Roman" w:hAnsi="Times New Roman"/>
          <w:i/>
          <w:sz w:val="20"/>
        </w:rPr>
        <w:t>LTM Consolidated EBITDA</w:t>
      </w:r>
      <w:r>
        <w:rPr>
          <w:rFonts w:ascii="Times New Roman" w:hAnsi="Times New Roman"/>
          <w:sz w:val="20"/>
        </w:rPr>
        <w:t xml:space="preserve">” means, as of any date, Consolidated EBITDA of the Company and its Restricted Subsidiaries for the four quarter period most recently then ended for which financial statements have been delivered or for which internal financial statements are available. </w:t>
      </w:r>
    </w:p>
    <w:p>
      <w:pPr>
        <w:pStyle w:val="TextBody"/>
        <w:bidi w:val="0"/>
        <w:spacing w:before="240" w:after="0"/>
        <w:jc w:val="left"/>
        <w:rPr/>
      </w:pPr>
      <w:r>
        <w:rPr/>
        <w:t>“</w:t>
      </w:r>
      <w:r>
        <w:rPr>
          <w:rFonts w:ascii="Times New Roman" w:hAnsi="Times New Roman"/>
          <w:i/>
          <w:sz w:val="20"/>
        </w:rPr>
        <w:t>Market Capitalization</w:t>
      </w:r>
      <w:r>
        <w:rPr>
          <w:rFonts w:ascii="Times New Roman" w:hAnsi="Times New Roman"/>
          <w:sz w:val="20"/>
        </w:rPr>
        <w:t xml:space="preserve">” means an amount equal to (i) the total number of issued and outstanding shares of common Capital Stock of the Company or any direct or indirect parent entity on the date of the declaration of a Restricted Payment permitted pursuant to Section 4.07(b)(18) hereof multiplied by (ii) the arithmetic mean of the closing prices per share of such common Capital Stock on the principal securities exchange on which such common Capital Stock are traded for the 30 consecutive trading days immediately preceding the date of declaration of such Restricted Payment. </w:t>
      </w:r>
    </w:p>
    <w:p>
      <w:pPr>
        <w:pStyle w:val="TextBody"/>
        <w:bidi w:val="0"/>
        <w:spacing w:before="240" w:after="0"/>
        <w:jc w:val="left"/>
        <w:rPr/>
      </w:pPr>
      <w:r>
        <w:rPr/>
        <w:t>“</w:t>
      </w:r>
      <w:r>
        <w:rPr>
          <w:rFonts w:ascii="Times New Roman" w:hAnsi="Times New Roman"/>
          <w:i/>
          <w:sz w:val="20"/>
        </w:rPr>
        <w:t>Material Subsidiary</w:t>
      </w:r>
      <w:r>
        <w:rPr>
          <w:rFonts w:ascii="Times New Roman" w:hAnsi="Times New Roman"/>
          <w:sz w:val="20"/>
        </w:rPr>
        <w:t xml:space="preserve">” means, as of any date of determination, any Domestic Subsidiary that has LTM Consolidated EBITDA in excess of five percent (5%) of the LTM Consolidated EBITDA for such period of the Company and its Domestic Subsidiaries. </w:t>
      </w:r>
    </w:p>
    <w:p>
      <w:pPr>
        <w:pStyle w:val="TextBody"/>
        <w:bidi w:val="0"/>
        <w:spacing w:before="240" w:after="0"/>
        <w:jc w:val="left"/>
        <w:rPr/>
      </w:pPr>
      <w:r>
        <w:rPr/>
        <w:t>“</w:t>
      </w:r>
      <w:r>
        <w:rPr>
          <w:rFonts w:ascii="Times New Roman" w:hAnsi="Times New Roman"/>
          <w:i/>
          <w:sz w:val="20"/>
        </w:rPr>
        <w:t>Minority Interests</w:t>
      </w:r>
      <w:r>
        <w:rPr>
          <w:rFonts w:ascii="Times New Roman" w:hAnsi="Times New Roman"/>
          <w:sz w:val="20"/>
        </w:rPr>
        <w:t xml:space="preserve">” means Capital Stock in a Person that is not a Subsidiary of the Company (or any of its Subsidiaries) owned by the Company or a Guarantor as of the Issue Date or otherwise acquired by the Company or any Guarantor after the Issue Date as a result of an acquisition.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i/>
          <w:sz w:val="20"/>
        </w:rPr>
        <w:t>Net Proceeds</w:t>
      </w:r>
      <w:r>
        <w:rPr>
          <w:rFonts w:ascii="Times New Roman" w:hAnsi="Times New Roman"/>
          <w:sz w:val="20"/>
        </w:rPr>
        <w:t xml:space="preserve">” means the aggregate cash proceeds and Cash Equivalents received by the Company or any of its Restricted Subsidiaries in respect of any Asset Sale (including any cash or Cash Equivalents received upon the sale or other disposition of any Designated Non-cash Consideration received in any Asset Sale, but excluding the assumption by the acquiring Person of Indebtedness relating to the disposed asset or other consideration received in any other non-cash form), net of the costs relating to such Asset Sale and the sale or disposition of such Designated Non-cash Consideration, including legal, accounting and investment banking fees, discounts and sales commissions, survey costs, title and recording expenses, title insurance premiums, payments made in order to obtain a necessary consent or required by applicable law, brokerage and sales commissions, any relocation expenses, commissions, premiums (including tender premiums), defeasance costs and underwriting discounts, fees, costs and expenses (including original issue discount, upfront fees or similar fees) incurred as a result of the Asset Sale, taxes paid or payable as a result of the Asset Sale, in each case, after taking into account any available tax credits or deductions and any tax sharing arrangements, amounts applied to the repayment of principal, premium (if any) and interest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that is secured by the property or the assets that are the subject of such Asset Sale or that is otherwise required (other than pursuant to Section 4.10(e) hereof) to be paid as a result of such transaction, all distributions and other payments required to be made to non-controlling interest or minority interest holders (other than any parent entity, the Company or any of its respective Subsidiaries) in Subsidiaries or joint ventures as a result of such transaction, all costs associated with unwinding any related Swap Obligations in connection with such transaction, and any deduction of appropriate amounts to be provided by the Company as a reserve in accordance with GAAP against any liabilities associated with the asset disposed of in such transaction and retained by the Company after such sale or other disposition thereof, including pension and other post-employment benefit liabilities and liabilities related to environmental matters or against any indemnification obligations associated with such transaction, and any funded escrow established pursuant to the documents evidencing any such sale or disposition to secure any indemnification obligations or adjustments to the purchase price associated with any such sale or disposition; </w:t>
      </w:r>
      <w:r>
        <w:rPr>
          <w:rFonts w:ascii="Times New Roman" w:hAnsi="Times New Roman"/>
          <w:i/>
          <w:sz w:val="20"/>
        </w:rPr>
        <w:t>provided</w:t>
      </w:r>
      <w:r>
        <w:rPr>
          <w:rFonts w:ascii="Times New Roman" w:hAnsi="Times New Roman"/>
          <w:sz w:val="20"/>
        </w:rPr>
        <w:t xml:space="preserve"> that to the extent that any amounts are released from such escrow to the Company or a Restricted Subsidiary, such amounts net of any related expenses shall constitute Net Proceeds. </w:t>
      </w:r>
    </w:p>
    <w:p>
      <w:pPr>
        <w:pStyle w:val="TextBody"/>
        <w:bidi w:val="0"/>
        <w:spacing w:before="240" w:after="0"/>
        <w:jc w:val="left"/>
        <w:rPr/>
      </w:pPr>
      <w:r>
        <w:rPr/>
        <w:t>“</w:t>
      </w:r>
      <w:r>
        <w:rPr>
          <w:rFonts w:ascii="Times New Roman" w:hAnsi="Times New Roman"/>
          <w:i/>
          <w:sz w:val="20"/>
        </w:rPr>
        <w:t>Net Short</w:t>
      </w:r>
      <w:r>
        <w:rPr>
          <w:rFonts w:ascii="Times New Roman" w:hAnsi="Times New Roman"/>
          <w:sz w:val="20"/>
        </w:rPr>
        <w:t xml:space="preserve">” means, with respect to a Holder or Beneficial Owner, as of a date of determination, either (i) the value of its Short Derivative Instruments exceeds the sum of the (x) the value of its Notes </w:t>
      </w:r>
      <w:r>
        <w:rPr>
          <w:rFonts w:ascii="Times New Roman" w:hAnsi="Times New Roman"/>
          <w:i/>
          <w:sz w:val="20"/>
        </w:rPr>
        <w:t>plus</w:t>
      </w:r>
      <w:r>
        <w:rPr>
          <w:rFonts w:ascii="Times New Roman" w:hAnsi="Times New Roman"/>
          <w:sz w:val="20"/>
        </w:rPr>
        <w:t xml:space="preserve">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Company or any Guarantor immediately prior to such date of determination. </w:t>
      </w:r>
    </w:p>
    <w:p>
      <w:pPr>
        <w:pStyle w:val="TextBody"/>
        <w:bidi w:val="0"/>
        <w:spacing w:before="240" w:after="0"/>
        <w:jc w:val="left"/>
        <w:rPr/>
      </w:pPr>
      <w:r>
        <w:rPr/>
        <w:t>“</w:t>
      </w:r>
      <w:r>
        <w:rPr>
          <w:rFonts w:ascii="Times New Roman" w:hAnsi="Times New Roman"/>
          <w:i/>
          <w:sz w:val="20"/>
        </w:rPr>
        <w:t>Non-Financing Lease Obligation</w:t>
      </w:r>
      <w:r>
        <w:rPr>
          <w:rFonts w:ascii="Times New Roman" w:hAnsi="Times New Roman"/>
          <w:sz w:val="20"/>
        </w:rPr>
        <w:t xml:space="preserve">” means a lease obligation that is not required to be accounted for as a financing or capital lease in accordance with GAAP. For the avoidance of doubt, a straight-line or operating lease shall be considered a Non-Financing Lease Obligation. </w:t>
      </w:r>
    </w:p>
    <w:p>
      <w:pPr>
        <w:pStyle w:val="TextBody"/>
        <w:bidi w:val="0"/>
        <w:spacing w:before="240" w:after="0"/>
        <w:jc w:val="left"/>
        <w:rPr/>
      </w:pPr>
      <w:r>
        <w:rPr/>
        <w:t>“</w:t>
      </w:r>
      <w:r>
        <w:rPr>
          <w:rFonts w:ascii="Times New Roman" w:hAnsi="Times New Roman"/>
          <w:i/>
          <w:sz w:val="20"/>
        </w:rPr>
        <w:t>Non-U.S. Person</w:t>
      </w:r>
      <w:r>
        <w:rPr>
          <w:rFonts w:ascii="Times New Roman" w:hAnsi="Times New Roman"/>
          <w:sz w:val="20"/>
        </w:rPr>
        <w:t xml:space="preserve">” means a Person who is not a U.S. Person. </w:t>
      </w:r>
    </w:p>
    <w:p>
      <w:pPr>
        <w:pStyle w:val="TextBody"/>
        <w:bidi w:val="0"/>
        <w:spacing w:before="240" w:after="0"/>
        <w:jc w:val="left"/>
        <w:rPr/>
      </w:pPr>
      <w:r>
        <w:rPr/>
        <w:t>“</w:t>
      </w:r>
      <w:r>
        <w:rPr>
          <w:rFonts w:ascii="Times New Roman" w:hAnsi="Times New Roman"/>
          <w:i/>
          <w:sz w:val="20"/>
        </w:rPr>
        <w:t>Note Guarantee</w:t>
      </w:r>
      <w:r>
        <w:rPr>
          <w:rFonts w:ascii="Times New Roman" w:hAnsi="Times New Roman"/>
          <w:sz w:val="20"/>
        </w:rPr>
        <w:t xml:space="preserve">” means the Guarantee by each Guarantor of the Company’s obligations under this Indenture and the Notes, executed pursuant to the provisions of this Indenture. </w:t>
      </w:r>
    </w:p>
    <w:p>
      <w:pPr>
        <w:pStyle w:val="TextBody"/>
        <w:bidi w:val="0"/>
        <w:spacing w:before="240" w:after="0"/>
        <w:jc w:val="left"/>
        <w:rPr/>
      </w:pPr>
      <w:r>
        <w:rPr/>
        <w:t>“</w:t>
      </w:r>
      <w:r>
        <w:rPr>
          <w:rFonts w:ascii="Times New Roman" w:hAnsi="Times New Roman"/>
          <w:i/>
          <w:sz w:val="20"/>
        </w:rPr>
        <w:t>Notes</w:t>
      </w:r>
      <w:r>
        <w:rPr>
          <w:rFonts w:ascii="Times New Roman" w:hAnsi="Times New Roman"/>
          <w:sz w:val="20"/>
        </w:rPr>
        <w:t xml:space="preserve">”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 </w:t>
      </w:r>
    </w:p>
    <w:p>
      <w:pPr>
        <w:pStyle w:val="TextBody"/>
        <w:bidi w:val="0"/>
        <w:spacing w:before="240" w:after="0"/>
        <w:jc w:val="left"/>
        <w:rPr/>
      </w:pPr>
      <w:r>
        <w:rPr/>
        <w:t>“</w:t>
      </w:r>
      <w:r>
        <w:rPr>
          <w:rFonts w:ascii="Times New Roman" w:hAnsi="Times New Roman"/>
          <w:i/>
          <w:sz w:val="20"/>
        </w:rPr>
        <w:t>Notes Secured Parties</w:t>
      </w:r>
      <w:r>
        <w:rPr>
          <w:rFonts w:ascii="Times New Roman" w:hAnsi="Times New Roman"/>
          <w:sz w:val="20"/>
        </w:rPr>
        <w:t xml:space="preserve">” means the Trustee, the Notes Collateral Agent and the Holders of the Notes. </w:t>
      </w:r>
    </w:p>
    <w:p>
      <w:pPr>
        <w:pStyle w:val="TextBody"/>
        <w:bidi w:val="0"/>
        <w:spacing w:before="240" w:after="0"/>
        <w:jc w:val="left"/>
        <w:rPr/>
      </w:pPr>
      <w:r>
        <w:rPr/>
        <w:t>“</w:t>
      </w:r>
      <w:r>
        <w:rPr>
          <w:rFonts w:ascii="Times New Roman" w:hAnsi="Times New Roman"/>
          <w:i/>
          <w:sz w:val="20"/>
        </w:rPr>
        <w:t>Obligations</w:t>
      </w:r>
      <w:r>
        <w:rPr>
          <w:rFonts w:ascii="Times New Roman" w:hAnsi="Times New Roman"/>
          <w:sz w:val="20"/>
        </w:rPr>
        <w:t xml:space="preserve">” means any principal, interest (including Post-Petition Interest (as defined in the First Lien Intercreditor Agreement) accruing on or after the filing of any petition in bankruptcy or for reorganization relating to the Company or any Guarantor whether or not a claim for Post-Petition Interest is allowed or allowable in such proceedings), penalties, fees, indemnifications, reimbursements, damages and other liabilities payable under the documentation governing any Indebtedness; </w:t>
      </w:r>
      <w:r>
        <w:rPr>
          <w:rFonts w:ascii="Times New Roman" w:hAnsi="Times New Roman"/>
          <w:i/>
          <w:sz w:val="20"/>
        </w:rPr>
        <w:t>provided</w:t>
      </w:r>
      <w:r>
        <w:rPr>
          <w:rFonts w:ascii="Times New Roman" w:hAnsi="Times New Roman"/>
          <w:sz w:val="20"/>
        </w:rPr>
        <w:t xml:space="preserve">, that Obligations with respect to the Notes shall not include fees or indemnifications in favor of Trustee and other third parties other than the Holders of the Notes. </w:t>
      </w:r>
    </w:p>
    <w:p>
      <w:pPr>
        <w:pStyle w:val="TextBody"/>
        <w:bidi w:val="0"/>
        <w:spacing w:before="240" w:after="0"/>
        <w:jc w:val="left"/>
        <w:rPr/>
      </w:pPr>
      <w:r>
        <w:rPr/>
        <w:t>“</w:t>
      </w:r>
      <w:r>
        <w:rPr>
          <w:rFonts w:ascii="Times New Roman" w:hAnsi="Times New Roman"/>
          <w:i/>
          <w:sz w:val="20"/>
        </w:rPr>
        <w:t>Offering Memorandum</w:t>
      </w:r>
      <w:r>
        <w:rPr>
          <w:rFonts w:ascii="Times New Roman" w:hAnsi="Times New Roman"/>
          <w:sz w:val="20"/>
        </w:rPr>
        <w:t xml:space="preserve">” means the Offering Memorandum dated as of October 9, 2026, relating to the Company’s issuance and sale of the Notes.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with respect to any Person, the Chairman of the Board, the Chief Executive Officer, the President, the Chief Operating Officer, the Chief Financial Officer, the Treasurer, any Assistant Treasurer, the Controller, the Secretary, any Executive Vice President, any Senior Vice President or any Vice President of such Person.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with respect to any Person, a certificate signed on behalf of such Person by one Officer thereof, which solely in respect of the Officer’s Certificate required by Section 4.04(a), must be the principal executive officer, the principal financial officer, the treasurer or the principal accounting officer of the Company, that, if applicable, meets the requirements of Section 13.05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Opinion of Counsel</w:t>
      </w:r>
      <w:r>
        <w:rPr>
          <w:rFonts w:ascii="Times New Roman" w:hAnsi="Times New Roman"/>
          <w:sz w:val="20"/>
        </w:rPr>
        <w:t xml:space="preserve">” means an opinion from legal counsel and, that, if applicable, meets the requirements of Section 13.05 hereof. The counsel may be an employee of or counsel to the Company, any Subsidiary of the Company or the Trustee.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means, with respect to the Depositary, Euroclear or Clearstream, a Person who has an account with the Depositary, Euroclear or Clearstream, respectively (and, with respect to DTC, shall include Euroclear and Clearstream). </w:t>
      </w:r>
    </w:p>
    <w:p>
      <w:pPr>
        <w:pStyle w:val="TextBody"/>
        <w:bidi w:val="0"/>
        <w:spacing w:before="240" w:after="0"/>
        <w:jc w:val="left"/>
        <w:rPr/>
      </w:pPr>
      <w:r>
        <w:rPr/>
        <w:t>“</w:t>
      </w:r>
      <w:r>
        <w:rPr>
          <w:rFonts w:ascii="Times New Roman" w:hAnsi="Times New Roman"/>
          <w:i/>
          <w:sz w:val="20"/>
        </w:rPr>
        <w:t>Permitted Asset Swap</w:t>
      </w:r>
      <w:r>
        <w:rPr>
          <w:rFonts w:ascii="Times New Roman" w:hAnsi="Times New Roman"/>
          <w:sz w:val="20"/>
        </w:rPr>
        <w:t xml:space="preserve">” means the substantially concurrent purchase and sale or exchange of Related Business Assets or a combination of Related Business Assets and cash and Cash Equivalents; </w:t>
      </w:r>
      <w:r>
        <w:rPr>
          <w:rFonts w:ascii="Times New Roman" w:hAnsi="Times New Roman"/>
          <w:i/>
          <w:sz w:val="20"/>
        </w:rPr>
        <w:t>provided</w:t>
      </w:r>
      <w:r>
        <w:rPr>
          <w:rFonts w:ascii="Times New Roman" w:hAnsi="Times New Roman"/>
          <w:sz w:val="20"/>
        </w:rPr>
        <w:t xml:space="preserve">, that any cash and Cash Equivalents received in excess of the value of any cash or Cash Equivalents sold or exchanged are applied in accordance with Section 4.10 hereof. </w:t>
      </w:r>
    </w:p>
    <w:p>
      <w:pPr>
        <w:pStyle w:val="TextBody"/>
        <w:bidi w:val="0"/>
        <w:spacing w:before="240" w:after="0"/>
        <w:jc w:val="left"/>
        <w:rPr/>
      </w:pPr>
      <w:r>
        <w:rPr/>
        <w:t>“</w:t>
      </w:r>
      <w:r>
        <w:rPr>
          <w:rFonts w:ascii="Times New Roman" w:hAnsi="Times New Roman"/>
          <w:i/>
          <w:sz w:val="20"/>
        </w:rPr>
        <w:t>Permitted Bond Hedge Transaction</w:t>
      </w:r>
      <w:r>
        <w:rPr>
          <w:rFonts w:ascii="Times New Roman" w:hAnsi="Times New Roman"/>
          <w:sz w:val="20"/>
        </w:rPr>
        <w:t xml:space="preserve">” means any call or capped call option (or substantively equivalent derivative transaction) on the Company’s common stock (whether settled in cash and/or common stock) purchased by the Company in connection with the issuance of any Convertible Indebtedness; </w:t>
      </w:r>
      <w:r>
        <w:rPr>
          <w:rFonts w:ascii="Times New Roman" w:hAnsi="Times New Roman"/>
          <w:i/>
          <w:sz w:val="20"/>
        </w:rPr>
        <w:t>provided</w:t>
      </w:r>
      <w:r>
        <w:rPr>
          <w:rFonts w:ascii="Times New Roman" w:hAnsi="Times New Roman"/>
          <w:sz w:val="20"/>
        </w:rPr>
        <w:t xml:space="preserve"> that the purchase price for such Permitted Bond Hedge Transaction, less the proceeds received by the Company from the sale of any related Permitted Warrant Transaction, does not exceed the net cash proceeds received by the Company or any other Guarantor from the sale of such Convertible Indebtedness issued in connection with the Permitted Bond Hedge Transaction. </w:t>
      </w:r>
    </w:p>
    <w:p>
      <w:pPr>
        <w:pStyle w:val="TextBody"/>
        <w:bidi w:val="0"/>
        <w:spacing w:before="240" w:after="0"/>
        <w:jc w:val="left"/>
        <w:rPr/>
      </w:pPr>
      <w:r>
        <w:rPr/>
        <w:t>“</w:t>
      </w:r>
      <w:r>
        <w:rPr>
          <w:rFonts w:ascii="Times New Roman" w:hAnsi="Times New Roman"/>
          <w:i/>
          <w:sz w:val="20"/>
        </w:rPr>
        <w:t>Permitted Business</w:t>
      </w:r>
      <w:r>
        <w:rPr>
          <w:rFonts w:ascii="Times New Roman" w:hAnsi="Times New Roman"/>
          <w:sz w:val="20"/>
        </w:rPr>
        <w:t xml:space="preserve">” means any business that is the same as, or reasonably related, ancillary or complementary to, or any reasonable extension or evolution of, any of the businesses in which the Company and its Restricted Subsidiaries are engaged on the Issue Date, as determined by the Company in good faith. </w:t>
      </w:r>
    </w:p>
    <w:p>
      <w:pPr>
        <w:pStyle w:val="TextBody"/>
        <w:bidi w:val="0"/>
        <w:spacing w:before="240" w:after="0"/>
        <w:jc w:val="left"/>
        <w:rPr/>
      </w:pPr>
      <w:r>
        <w:rPr/>
        <w:t>“</w:t>
      </w:r>
      <w:r>
        <w:rPr>
          <w:rFonts w:ascii="Times New Roman" w:hAnsi="Times New Roman"/>
          <w:i/>
          <w:sz w:val="20"/>
        </w:rPr>
        <w:t>Permitted Cost Savings</w:t>
      </w:r>
      <w:r>
        <w:rPr>
          <w:rFonts w:ascii="Times New Roman" w:hAnsi="Times New Roman"/>
          <w:sz w:val="20"/>
        </w:rPr>
        <w:t xml:space="preserve">” means, for any four quarter measurement period, the sum of pro forma future cost savings, operating expense reductions and synergies related to acquisitions, investments, dispositions and other operational changes that are reasonably identifiable and factually supportable and projected by the Company in good faith to result from actions that have been taken or are expected to be taken (in the good faith of the Company) within 24 months after the effective date of such acquisition, investment, disposition or operational change; </w:t>
      </w:r>
      <w:r>
        <w:rPr>
          <w:rFonts w:ascii="Times New Roman" w:hAnsi="Times New Roman"/>
          <w:i/>
          <w:sz w:val="20"/>
        </w:rPr>
        <w:t>provided</w:t>
      </w:r>
      <w:r>
        <w:rPr>
          <w:rFonts w:ascii="Times New Roman" w:hAnsi="Times New Roman"/>
          <w:sz w:val="20"/>
        </w:rPr>
        <w:t xml:space="preserve"> that the aggregate amount of all cost savings, operating expense reductions and synergies that may be added back to LTM Consolidated EBITDA of the Company and its consolidated Subsidiaries during such measurement period (together with all amounts added back to LTM Consolidated EBITDA pursuant to clauses (1)(g) and (1)(n) of the definition of Consolidated EBITDA) does not exceed the greater of (x) $100.0 million and (y) 25% of Consolidated EBITDA (as calculated after giving effect to such adjustments) for any four fiscal quarter period. </w:t>
      </w:r>
    </w:p>
    <w:p>
      <w:pPr>
        <w:pStyle w:val="TextBody"/>
        <w:bidi w:val="0"/>
        <w:spacing w:before="240" w:after="0"/>
        <w:jc w:val="left"/>
        <w:rPr/>
      </w:pPr>
      <w:r>
        <w:rPr/>
        <w:t>“</w:t>
      </w:r>
      <w:r>
        <w:rPr>
          <w:rFonts w:ascii="Times New Roman" w:hAnsi="Times New Roman"/>
          <w:i/>
          <w:sz w:val="20"/>
        </w:rPr>
        <w:t>Permitted Holders</w:t>
      </w:r>
      <w:r>
        <w:rPr>
          <w:rFonts w:ascii="Times New Roman" w:hAnsi="Times New Roman"/>
          <w:sz w:val="20"/>
        </w:rPr>
        <w:t>” mean (i) any Person that has no material assets other than the Capital Stock of the Company or any direct or indirect parent of the Company, and, directly or indirectly, holds or acquires 100% of the total voting power of the Voting Stock of the Company, and of which no other Person or group (in each case within the meaning of Section 13(d)(3) or Section 14(d)(2) of the Exchange Act, or any successor provision) holds 50% or more of the total voting power of the Voting Stock thereof, (ii) any group (within the meaning of Section 13(d)(3) or Section 14(d)(2) of the Exchange Act, or any successor provision) the members of which include any Permitted Holder specified in clause (i) above and that, directly or indirectly, holds or acquires Beneficial Ownership of the Voting Stock of the Company or any direct or indirect parent of the Company, any Holding Company, Permitted Plan or any Person or group that becomes a Permitted Holder specified in the last sentence of this definition are members and any member of such group (a “</w:t>
      </w:r>
      <w:r>
        <w:rPr>
          <w:rFonts w:ascii="Times New Roman" w:hAnsi="Times New Roman"/>
          <w:i/>
          <w:sz w:val="20"/>
        </w:rPr>
        <w:t>Permitted Holder Group</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(1) each member of the Permitted Holder Group has voting rights proportional to the percentage of ownership interests held or acquired by such member and (2) no Person or other group (other than a Permitted Holder specified in clause (i) above) Beneficially Owns 50% or more on a fully diluted basis of the Voting Stock held by the Permitted Holder Group, (iii) any Holding Company and (iv) any Permitted Plan. Any Person or group, together with its Affiliates, whose acquisition of Beneficial Ownership constitutes a Change of Control in respect of which a Change of Control Offer is made in accordance with the requirements of this Indenture will thereafter constitute an additional Permitted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Intercompany Activities</w:t>
      </w:r>
      <w:r>
        <w:rPr>
          <w:rFonts w:ascii="Times New Roman" w:hAnsi="Times New Roman"/>
          <w:sz w:val="20"/>
        </w:rPr>
        <w:t xml:space="preserve">” means any transactions between or among the Company and its Restricted Subsidiaries that are entered into in the ordinary course of business or consistent with past practice of the Company and its Restricted Subsidiaries and, in the reasonable determination of the Company are necessary or advisable in connection with the ownership or operation of the business of the Company and its Restricted Subsidiaries. </w:t>
      </w:r>
    </w:p>
    <w:p>
      <w:pPr>
        <w:pStyle w:val="TextBody"/>
        <w:bidi w:val="0"/>
        <w:spacing w:before="240" w:after="0"/>
        <w:jc w:val="left"/>
        <w:rPr/>
      </w:pPr>
      <w:r>
        <w:rPr/>
        <w:t>“</w:t>
      </w:r>
      <w:r>
        <w:rPr>
          <w:rFonts w:ascii="Times New Roman" w:hAnsi="Times New Roman"/>
          <w:i/>
          <w:sz w:val="20"/>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Investment in the Company (including in the Notes) or in a Restricted Subsidiary of the Company (including the Capital Stock of, or guarantees of obligations of, a Restricted Subsidiary); </w:t>
      </w:r>
      <w:r>
        <w:rPr>
          <w:rFonts w:ascii="Times New Roman" w:hAnsi="Times New Roman"/>
          <w:i/>
          <w:sz w:val="20"/>
        </w:rPr>
        <w:t>provided</w:t>
      </w:r>
      <w:r>
        <w:rPr>
          <w:rFonts w:ascii="Times New Roman" w:hAnsi="Times New Roman"/>
          <w:sz w:val="20"/>
        </w:rPr>
        <w:t xml:space="preserve"> that the aggregate amount of Investments pursuant to this clause (1) by the Company or any Guarantor in any Restricted Subsidiary that is not a Guarantor shall not at any time exceed, together with the aggregate amounts of Investments pursuant to clause (3) below in Restricted Subsidiaries that are not, or do not become, Guarantors, the greater of (i) $250.0 million and (ii) 50.0% of LTM Consolidated EBITDA of the Company and its consolidated Restricted Subsidiaries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(2) any Investment in cash, Cash Equivalents or Investment Grade Securities; </w:t>
      </w:r>
    </w:p>
    <w:p>
      <w:pPr>
        <w:pStyle w:val="TextBody"/>
        <w:bidi w:val="0"/>
        <w:spacing w:before="120" w:after="0"/>
        <w:jc w:val="left"/>
        <w:rPr>
          <w:rFonts w:ascii="Times New Roman" w:hAnsi="Times New Roman"/>
          <w:sz w:val="20"/>
        </w:rPr>
      </w:pPr>
      <w:r>
        <w:rPr>
          <w:rFonts w:ascii="Times New Roman" w:hAnsi="Times New Roman"/>
          <w:sz w:val="20"/>
        </w:rPr>
        <w:t xml:space="preserve">(3) any Investment by the Company or any Subsidiary in a Person, if as a result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(a) such Person becomes a Subsidiary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(b) such Person is merged, consolidated or amalgamated with or into, or transfers or conveys substantially all of its assets to, or is liquidated into, the Company or a Subsidiary of the Company;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aggregate amount of Investments pursuant to this clause (3) by the Company or any Guarantor in any Restricted Subsidiary that is not, or does not become, a Guarantor shall not at any time exceed, together with the aggregate amounts of Investments pursuant to clause (1) above in Restricted Subsidiaries that are not Guarantors, the greater of (i) $250.0 million and (ii) 50.0% of LTM Consolidated EBITDA of the Company and its consolidated Restricted Subsidiaries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(4) any Investment made as a result of the receipt of non-cash consideration from an Asset Sale that was made in compliance with Section 4.10 hereof; </w:t>
      </w:r>
    </w:p>
    <w:p>
      <w:pPr>
        <w:pStyle w:val="TextBody"/>
        <w:bidi w:val="0"/>
        <w:spacing w:before="120" w:after="0"/>
        <w:jc w:val="left"/>
        <w:rPr>
          <w:rFonts w:ascii="Times New Roman" w:hAnsi="Times New Roman"/>
          <w:sz w:val="20"/>
        </w:rPr>
      </w:pPr>
      <w:r>
        <w:rPr>
          <w:rFonts w:ascii="Times New Roman" w:hAnsi="Times New Roman"/>
          <w:sz w:val="20"/>
        </w:rPr>
        <w:t xml:space="preserve">(5) any acquisition of assets or Capital Stock solely in exchange for, or out of the proceeds of, the issuance of Equity Interests (other than Disqualified Stock) of the Company or any Excluded Subsidiary; </w:t>
      </w:r>
    </w:p>
    <w:p>
      <w:pPr>
        <w:pStyle w:val="TextBody"/>
        <w:bidi w:val="0"/>
        <w:spacing w:before="120" w:after="0"/>
        <w:jc w:val="left"/>
        <w:rPr>
          <w:rFonts w:ascii="Times New Roman" w:hAnsi="Times New Roman"/>
          <w:sz w:val="20"/>
        </w:rPr>
      </w:pPr>
      <w:r>
        <w:rPr>
          <w:rFonts w:ascii="Times New Roman" w:hAnsi="Times New Roman"/>
          <w:sz w:val="20"/>
        </w:rPr>
        <w:t xml:space="preserve">(6) 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t>
      </w:r>
    </w:p>
    <w:p>
      <w:pPr>
        <w:pStyle w:val="TextBody"/>
        <w:bidi w:val="0"/>
        <w:spacing w:before="120" w:after="0"/>
        <w:jc w:val="left"/>
        <w:rPr>
          <w:rFonts w:ascii="Times New Roman" w:hAnsi="Times New Roman"/>
          <w:sz w:val="20"/>
        </w:rPr>
      </w:pPr>
      <w:r>
        <w:rPr>
          <w:rFonts w:ascii="Times New Roman" w:hAnsi="Times New Roman"/>
          <w:sz w:val="20"/>
        </w:rPr>
        <w:t xml:space="preserve">(7) Investments represented by Swap Obligations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(8) Loans or advances to employees made in the ordinary course of business of the Company or any Restricted Subsidiary of the Company in an aggregate principal amount not to exceed $5.0 million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(9) repurchases of the Notes; </w:t>
      </w:r>
    </w:p>
    <w:p>
      <w:pPr>
        <w:pStyle w:val="TextBody"/>
        <w:bidi w:val="0"/>
        <w:spacing w:before="120" w:after="0"/>
        <w:jc w:val="left"/>
        <w:rPr>
          <w:rFonts w:ascii="Times New Roman" w:hAnsi="Times New Roman"/>
          <w:sz w:val="20"/>
        </w:rPr>
      </w:pPr>
      <w:r>
        <w:rPr>
          <w:rFonts w:ascii="Times New Roman" w:hAnsi="Times New Roman"/>
          <w:sz w:val="20"/>
        </w:rPr>
        <w:t xml:space="preserve">(10) any guarantee of Indebtedness permitted to be incurred under Section 4.09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any Investment existing on, or made pursuant to binding commitments existing on, the Issue Date and any Investment consisting of an extension, modification, renewal, replacement, refunding or refinancing of any Investment existing on, or made pursuant to a binding commitment existing on, the Issue Date; </w:t>
      </w:r>
      <w:r>
        <w:rPr>
          <w:rFonts w:ascii="Times New Roman" w:hAnsi="Times New Roman"/>
          <w:i/>
          <w:sz w:val="20"/>
        </w:rPr>
        <w:t>provided</w:t>
      </w:r>
      <w:r>
        <w:rPr>
          <w:rFonts w:ascii="Times New Roman" w:hAnsi="Times New Roman"/>
          <w:sz w:val="20"/>
        </w:rPr>
        <w:t xml:space="preserve"> that the amount of any such Investment may be increased (a) as required by the terms of such Investment as in existence on the Issue Date or (b) as otherwise permitted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(12) Investments acquired after the Issue Date as a result of the acquisition by the Company or any Restricted Subsidiary of the Company of another Person, including by way of a merger, amalgamation or consolidation with or into the Company or any of its Restricted Subsidiaries in a transaction that is not prohibited by Section 5.01 hereof after the Issue Date to the extent that such Investments were not made in contemplation of such acquisition, merger, amalgamation or consolidation and were in existence on the date of such acquisition,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(13) Investments by the Company and its Restricted Subsidiaries consisting of deposits, prepayment and other credits to suppliers, customers or landlords made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(14) guaranties made in the ordinary course of business of obligations owed to landlords, suppliers, customers, franchisees and licensees of the Company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(15) any Investment acquired by the Company or any of its Restricted Subsidiaries (a) received in settlement, compromise or resolution of debts created in the ordinary course of business or consistent with past practice, (b) in exchange for any other Investment or accounts receivable held by the Company or any such Restricted Subsidiary in connection with or as a result of a bankruptcy, workout, reorganization or recapitalization of the Company of such other Investment or accounts receivable, (c) as a result of a foreclosure by the Company or any of its Restricted Subsidiaries with respect to any secured Investment or other transfer of title with respect to any secured Investment in default or (d) in satisfaction of judgments; </w:t>
      </w:r>
    </w:p>
    <w:p>
      <w:pPr>
        <w:pStyle w:val="TextBody"/>
        <w:bidi w:val="0"/>
        <w:spacing w:before="120" w:after="0"/>
        <w:jc w:val="left"/>
        <w:rPr>
          <w:rFonts w:ascii="Times New Roman" w:hAnsi="Times New Roman"/>
          <w:sz w:val="20"/>
        </w:rPr>
      </w:pPr>
      <w:r>
        <w:rPr>
          <w:rFonts w:ascii="Times New Roman" w:hAnsi="Times New Roman"/>
          <w:sz w:val="20"/>
        </w:rPr>
        <w:t xml:space="preserve">(16) loans and advances to officers, directors and employees in connection with payroll or for business-related travel expenses, entertainment, moving and relocation expenses and other similar expenses, in each case incurred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(17) Investments consisting of the non-exclusive licensing, sublicensing or contribution of intellectual property or other intangibles or services pursuant to any joint development, joint venture or marketing arrangements with other Persons and any other Investments made in connection therewith or Investments in the form of milestone or other upfront payments made in the ordinary course in connection with the right to receive royalty or other recurring payments; </w:t>
      </w:r>
    </w:p>
    <w:p>
      <w:pPr>
        <w:pStyle w:val="TextBody"/>
        <w:bidi w:val="0"/>
        <w:spacing w:before="120" w:after="0"/>
        <w:jc w:val="left"/>
        <w:rPr>
          <w:rFonts w:ascii="Times New Roman" w:hAnsi="Times New Roman"/>
          <w:sz w:val="20"/>
        </w:rPr>
      </w:pPr>
      <w:r>
        <w:rPr>
          <w:rFonts w:ascii="Times New Roman" w:hAnsi="Times New Roman"/>
          <w:sz w:val="20"/>
        </w:rPr>
        <w:t xml:space="preserve">(18) Investments consisting of purchases and acquisitions of inventory, supplies, materials and equipment and similar assets or purchases of contract rights or licenses of intellectual property or leases, in each case,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(19) loans and advances made by the Company or any of its Restricted Subsidiaries to officers, directors or employees of the Company or the Company’s Restricted Subsidiaries, the proceeds of which are used to purchase Equity Interests of the Company, any direct or indirect parent of the Company, or the Company’s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(20) any transaction to the extent it constitutes an Investment that is permitted by and made in accordance with Section 4.11(b) hereof (except transactions described in clauses (5), (8), (9), (11) and (15) of Section 4.11(b) hereof); </w:t>
      </w:r>
    </w:p>
    <w:p>
      <w:pPr>
        <w:pStyle w:val="TextBody"/>
        <w:bidi w:val="0"/>
        <w:spacing w:before="120" w:after="0"/>
        <w:jc w:val="left"/>
        <w:rPr>
          <w:rFonts w:ascii="Times New Roman" w:hAnsi="Times New Roman"/>
          <w:sz w:val="20"/>
        </w:rPr>
      </w:pPr>
      <w:r>
        <w:rPr>
          <w:rFonts w:ascii="Times New Roman" w:hAnsi="Times New Roman"/>
          <w:sz w:val="20"/>
        </w:rPr>
        <w:t xml:space="preserve">(21) any acquisition of assets or Capital Stock solely in exchange for, or out of the net cash proceeds received from, the issuance of Equity Interests (other than Disqualified Stock) of the Company or any contribution to the common equity of the Company; </w:t>
      </w:r>
      <w:r>
        <w:rPr>
          <w:rFonts w:ascii="Times New Roman" w:hAnsi="Times New Roman"/>
          <w:i/>
          <w:sz w:val="20"/>
        </w:rPr>
        <w:t>provided</w:t>
      </w:r>
      <w:r>
        <w:rPr>
          <w:rFonts w:ascii="Times New Roman" w:hAnsi="Times New Roman"/>
          <w:sz w:val="20"/>
        </w:rPr>
        <w:t xml:space="preserve"> that the amount of any such net cash proceeds that are utilized for any such Investment pursuant to this clause (21) will be excluded from Section 4.07(a)(z)(B);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Pledges or deposits with respect to leases or utilities provided to third parties in the ordinary course of business or Liens otherwise described in the definition of “Permitted Liens” or made in connection with Liens permitted under Section 4.12 hereof; </w:t>
      </w:r>
    </w:p>
    <w:p>
      <w:pPr>
        <w:pStyle w:val="TextBody"/>
        <w:bidi w:val="0"/>
        <w:spacing w:before="120" w:after="0"/>
        <w:jc w:val="left"/>
        <w:rPr>
          <w:rFonts w:ascii="Times New Roman" w:hAnsi="Times New Roman"/>
          <w:sz w:val="20"/>
        </w:rPr>
      </w:pPr>
      <w:r>
        <w:rPr>
          <w:rFonts w:ascii="Times New Roman" w:hAnsi="Times New Roman"/>
          <w:sz w:val="20"/>
        </w:rPr>
        <w:t xml:space="preserve">(23) Guarantees of the Company or any Restricted Subsidiary in connection with the provision of credit card payment processing services; </w:t>
      </w:r>
    </w:p>
    <w:p>
      <w:pPr>
        <w:pStyle w:val="TextBody"/>
        <w:bidi w:val="0"/>
        <w:spacing w:before="120" w:after="0"/>
        <w:jc w:val="left"/>
        <w:rPr>
          <w:rFonts w:ascii="Times New Roman" w:hAnsi="Times New Roman"/>
          <w:sz w:val="20"/>
        </w:rPr>
      </w:pPr>
      <w:r>
        <w:rPr>
          <w:rFonts w:ascii="Times New Roman" w:hAnsi="Times New Roman"/>
          <w:sz w:val="20"/>
        </w:rPr>
        <w:t xml:space="preserve">(24) Investments consisting of earnest money deposits required in connection with a purchase agreement, or letter of intent, or other acquisitions to the extent not otherwise prohibited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(25) contributions to a “rabbi” trust for the benefit of any employee, director, officer, manager, contractor, consultant, advisor or other service providers or other grantor trust subject to claims of creditors in the case of a bankruptcy of the Company, and Investments relating to non-qualified deferred payment plans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(26) other Investments in any Person having an aggregate Fair Market Value (measured on the date each such Investment was made and without giving effect to subsequent changes in value), when taken together with all other Investments made pursuant to this clause (26) that are at the time outstanding not to exceed the greater of (a) $200.0 million and (b) 50.0% of LTM Consolidated EBITDA, plus the amount of any returns (including dividends, payments, interest, distributions, returns of principal, profits on sale, repayments, income and similar amounts) in respect of such Investments (without duplication for purposes of the covenant set forth in Section 4.07 hereof of any amounts applied pursuant to clause (z) of Section 4.07(a) hereof); </w:t>
      </w:r>
    </w:p>
    <w:p>
      <w:pPr>
        <w:pStyle w:val="TextBody"/>
        <w:bidi w:val="0"/>
        <w:spacing w:before="120" w:after="0"/>
        <w:jc w:val="left"/>
        <w:rPr>
          <w:rFonts w:ascii="Times New Roman" w:hAnsi="Times New Roman"/>
          <w:sz w:val="20"/>
        </w:rPr>
      </w:pPr>
      <w:r>
        <w:rPr>
          <w:rFonts w:ascii="Times New Roman" w:hAnsi="Times New Roman"/>
          <w:sz w:val="20"/>
        </w:rPr>
        <w:t xml:space="preserve">(27) Investments made by Excluded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(28) Investments consisting of purchases and acquisitions of assets or services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(29) Investments in prepaid expenses, negotiable instruments held for collection and lease, utility and workers compensation, performance and similar deposits entered into as a result of the operations of the business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(30) Investments consisting of UCC Article 3 endorsements for collection or deposit and Article 4 trade arrangements with customers (or any comparable or similar provisions in other applicable jurisdictions) in the ordinary course of business or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(31) Investments pursuant to Permitted Intercompany Activities or a Permitted Tax Restructuring; </w:t>
      </w:r>
    </w:p>
    <w:p>
      <w:pPr>
        <w:pStyle w:val="TextBody"/>
        <w:bidi w:val="0"/>
        <w:spacing w:before="120" w:after="0"/>
        <w:jc w:val="left"/>
        <w:rPr>
          <w:rFonts w:ascii="Times New Roman" w:hAnsi="Times New Roman"/>
          <w:sz w:val="20"/>
        </w:rPr>
      </w:pPr>
      <w:r>
        <w:rPr>
          <w:rFonts w:ascii="Times New Roman" w:hAnsi="Times New Roman"/>
          <w:sz w:val="20"/>
        </w:rPr>
        <w:t xml:space="preserve">(32) Permitted Bond Hedge Transactions and any transactions pursuant to an accelerated share repurchase program that constitute Investments; </w:t>
      </w:r>
    </w:p>
    <w:p>
      <w:pPr>
        <w:pStyle w:val="TextBody"/>
        <w:bidi w:val="0"/>
        <w:spacing w:before="120" w:after="0"/>
        <w:jc w:val="left"/>
        <w:rPr>
          <w:rFonts w:ascii="Times New Roman" w:hAnsi="Times New Roman"/>
          <w:sz w:val="20"/>
        </w:rPr>
      </w:pPr>
      <w:r>
        <w:rPr>
          <w:rFonts w:ascii="Times New Roman" w:hAnsi="Times New Roman"/>
          <w:sz w:val="20"/>
        </w:rPr>
        <w:t xml:space="preserve">(33) Investments in joint ventures in an amount not to exceed the greater of (i) $200.0 million and (ii) 50% of LTM Consolidated EBITDA of the Company and its consolidated Restricted Subsidiaries in the aggregate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(34) the acquisition of all or substantially all of the assets of, or any Capital Stock of, another Permitted Business, in an amount not to exceed $50.0 million at any time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(35) so long as no Default or Event of Default has occurred and is continuing (or would result therefrom), any other Investment so long as, immediately after giving pro forma effect to the Investment and the incurrence of any Indebtedness the net proceeds of which are used to make such Investment, the Consolidated Total Net Leverage Ratio shall be no greater than 4.00 to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definition, in the event that a proposed Investment (or portion thereof) meets the criteria of more than one of the categories of Permitted Investments described in clauses (1) through (35) above, or is otherwise entitled to be incurred or made pursuant to Section 4.07, the Company will be entitled to classify, or later reclassify, such Investment (or portion thereof) in one or more of such categories set forth above or pursuant to Section 4.07.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Liens on assets of the Company or any of its Restricted Subsidiaries securing Indebtedness incurred pursuant to clause (1) of the definition of “Permitted Debt” and other Obligations under or pursuant to such Credit Facilities; </w:t>
      </w:r>
    </w:p>
    <w:p>
      <w:pPr>
        <w:pStyle w:val="TextBody"/>
        <w:bidi w:val="0"/>
        <w:spacing w:before="120" w:after="0"/>
        <w:jc w:val="left"/>
        <w:rPr>
          <w:rFonts w:ascii="Times New Roman" w:hAnsi="Times New Roman"/>
          <w:sz w:val="20"/>
        </w:rPr>
      </w:pPr>
      <w:r>
        <w:rPr>
          <w:rFonts w:ascii="Times New Roman" w:hAnsi="Times New Roman"/>
          <w:sz w:val="20"/>
        </w:rPr>
        <w:t xml:space="preserve">(2) Liens in favor of the Company or the Guarantors; </w:t>
      </w:r>
    </w:p>
    <w:p>
      <w:pPr>
        <w:pStyle w:val="TextBody"/>
        <w:bidi w:val="0"/>
        <w:spacing w:before="120" w:after="0"/>
        <w:jc w:val="left"/>
        <w:rPr>
          <w:rFonts w:ascii="Times New Roman" w:hAnsi="Times New Roman"/>
          <w:sz w:val="20"/>
        </w:rPr>
      </w:pPr>
      <w:r>
        <w:rPr>
          <w:rFonts w:ascii="Times New Roman" w:hAnsi="Times New Roman"/>
          <w:sz w:val="20"/>
        </w:rPr>
        <w:t xml:space="preserve">(3) Liens on assets, property or Capital Stock of a Person existing at the time such Person becomes a Restricted Subsidiary of the Company or is merged with or into or consolidated with the Company or a Restricted Subsidiary of the Company; </w:t>
      </w:r>
      <w:r>
        <w:rPr>
          <w:rFonts w:ascii="Times New Roman" w:hAnsi="Times New Roman"/>
          <w:i/>
          <w:sz w:val="20"/>
        </w:rPr>
        <w:t>provided</w:t>
      </w:r>
      <w:r>
        <w:rPr>
          <w:rFonts w:ascii="Times New Roman" w:hAnsi="Times New Roman"/>
          <w:sz w:val="20"/>
        </w:rPr>
        <w:t xml:space="preserve"> that such Liens (a) were in existence prior to the contemplation of such Person becoming a Restricted Subsidiary of the Company or such merger or consolidation and (b) do not extend to any assets other than those of the Person that becomes a Restricted Subsidiary of the Company or the surviving entity of any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(4) Liens on assets or on property (including Capital Stock) existing at the time of acquisition of the assets or property by the Company or any Restricted Subsidiary of the Company; </w:t>
      </w:r>
      <w:r>
        <w:rPr>
          <w:rFonts w:ascii="Times New Roman" w:hAnsi="Times New Roman"/>
          <w:i/>
          <w:sz w:val="20"/>
        </w:rPr>
        <w:t>provided</w:t>
      </w:r>
      <w:r>
        <w:rPr>
          <w:rFonts w:ascii="Times New Roman" w:hAnsi="Times New Roman"/>
          <w:sz w:val="20"/>
        </w:rPr>
        <w:t xml:space="preserve"> that such Liens (a) were in existence prior to such acquisition and not incurred in contemplation of, such acquisition and (b) do not extend to any other assets of the Company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(5) Liens, pledges or deposits to secure the performance of bids, tenders, completion guarantees, trade contracts, leases, utilities, licenses, public or statutory obligations, government contracts, surety, stay, indemnity, warranty, release, judgment, customs, appeal, insurance, judgments, surety or appeal bonds, workers’ compensation obligations, return of money bonds, bankers’ acceptance facilities, performance bonds, unemployment insurance obligations, and other social security obligations, or other obligations of a like nature (including those to secure health, safety and environmental obligations) incurred in the ordinary course of business or consistent with past practice (including Liens to secure letters of credit, bank guarantees or similar instruments issued to assure payment of such obligations or as security for contested taxes or import or customs duties or for the payment of rent, or other obligations of like nature); </w:t>
      </w:r>
    </w:p>
    <w:p>
      <w:pPr>
        <w:pStyle w:val="TextBody"/>
        <w:bidi w:val="0"/>
        <w:spacing w:before="120" w:after="0"/>
        <w:jc w:val="left"/>
        <w:rPr>
          <w:rFonts w:ascii="Times New Roman" w:hAnsi="Times New Roman"/>
          <w:sz w:val="20"/>
        </w:rPr>
      </w:pPr>
      <w:r>
        <w:rPr>
          <w:rFonts w:ascii="Times New Roman" w:hAnsi="Times New Roman"/>
          <w:sz w:val="20"/>
        </w:rPr>
        <w:t xml:space="preserve">(6) Liens to secure Indebtedness (including Capital Lease Obligations and purchase money obligations) permitted by Section 4.09(b)(4) hereof covering only the assets acquired with or financed by such Indebtedness; </w:t>
      </w:r>
      <w:r>
        <w:rPr>
          <w:rFonts w:ascii="Times New Roman" w:hAnsi="Times New Roman"/>
          <w:i/>
          <w:sz w:val="20"/>
        </w:rPr>
        <w:t>provided</w:t>
      </w:r>
      <w:r>
        <w:rPr>
          <w:rFonts w:ascii="Times New Roman" w:hAnsi="Times New Roman"/>
          <w:sz w:val="20"/>
        </w:rPr>
        <w:t xml:space="preserve"> that individual financings of property or equipment provided by one lender may be cross collateralized to other financings of property or equipment provided by such lender; </w:t>
      </w:r>
    </w:p>
    <w:p>
      <w:pPr>
        <w:pStyle w:val="TextBody"/>
        <w:bidi w:val="0"/>
        <w:spacing w:before="120" w:after="0"/>
        <w:jc w:val="left"/>
        <w:rPr>
          <w:rFonts w:ascii="Times New Roman" w:hAnsi="Times New Roman"/>
          <w:sz w:val="20"/>
        </w:rPr>
      </w:pPr>
      <w:r>
        <w:rPr>
          <w:rFonts w:ascii="Times New Roman" w:hAnsi="Times New Roman"/>
          <w:sz w:val="20"/>
        </w:rPr>
        <w:t xml:space="preserve">(7) Liens existing on the Issue Date (other than Liens securing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(8) Liens for taxes, assessments or governmental charges or claims that are not overdue for a period of more than 60 days or not yet delinquent or that are being contested in good faith by appropriate proceedings; </w:t>
      </w:r>
      <w:r>
        <w:rPr>
          <w:rFonts w:ascii="Times New Roman" w:hAnsi="Times New Roman"/>
          <w:i/>
          <w:sz w:val="20"/>
        </w:rPr>
        <w:t>provided</w:t>
      </w:r>
      <w:r>
        <w:rPr>
          <w:rFonts w:ascii="Times New Roman" w:hAnsi="Times New Roman"/>
          <w:sz w:val="20"/>
        </w:rPr>
        <w:t xml:space="preserve"> that any reserve or other appropriate provision as is required in conformity with GAAP has been made therefor, or for property taxes on property of the Company or one of its Restricted Subsidiaries has determined to abandon if the sole recourse for such tax is to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Liens with respect to outstanding motor vehicle fines and Liens imposed by law, such as carriers’, warehousemen’s, materialmen’s, landlord’s, workmen’s, repairmen’s and mechanics’ Liens,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(10) 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(11) Liens created for the benefit of (or to secure) the Notes (or the Note Guarantees); </w:t>
      </w:r>
    </w:p>
    <w:p>
      <w:pPr>
        <w:pStyle w:val="TextBody"/>
        <w:bidi w:val="0"/>
        <w:spacing w:before="120" w:after="0"/>
        <w:jc w:val="left"/>
        <w:rPr>
          <w:rFonts w:ascii="Times New Roman" w:hAnsi="Times New Roman"/>
          <w:sz w:val="20"/>
        </w:rPr>
      </w:pPr>
      <w:r>
        <w:rPr>
          <w:rFonts w:ascii="Times New Roman" w:hAnsi="Times New Roman"/>
          <w:sz w:val="20"/>
        </w:rPr>
        <w:t xml:space="preserve">(12) Liens to secure any Permitted Refinancing Indebtedness permitted to be incurred under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new Lien is limited to all or part of the same property and assets that secured or, under the written agreements pursuant to which the original Lien arose, could secure the original Lien (</w:t>
      </w:r>
      <w:r>
        <w:rPr>
          <w:rFonts w:ascii="Times New Roman" w:hAnsi="Times New Roman"/>
          <w:i/>
          <w:sz w:val="20"/>
        </w:rPr>
        <w:t>plus</w:t>
      </w:r>
      <w:r>
        <w:rPr>
          <w:rFonts w:ascii="Times New Roman" w:hAnsi="Times New Roman"/>
          <w:sz w:val="20"/>
        </w:rPr>
        <w:t xml:space="preserve"> improvements and accessions to, such property or proceeds or distributions thereof); </w:t>
      </w:r>
    </w:p>
    <w:p>
      <w:pPr>
        <w:pStyle w:val="TextBody"/>
        <w:bidi w:val="0"/>
        <w:spacing w:before="120" w:after="0"/>
        <w:jc w:val="left"/>
        <w:rPr>
          <w:rFonts w:ascii="Times New Roman" w:hAnsi="Times New Roman"/>
          <w:sz w:val="20"/>
        </w:rPr>
      </w:pPr>
      <w:r>
        <w:rPr>
          <w:rFonts w:ascii="Times New Roman" w:hAnsi="Times New Roman"/>
          <w:sz w:val="20"/>
        </w:rPr>
        <w:t xml:space="preserve">(13) Liens on insurance policies and proceeds thereof, or other deposits, to secure insurance premium financings; </w:t>
      </w:r>
    </w:p>
    <w:p>
      <w:pPr>
        <w:pStyle w:val="TextBody"/>
        <w:bidi w:val="0"/>
        <w:spacing w:before="120" w:after="0"/>
        <w:jc w:val="left"/>
        <w:rPr>
          <w:rFonts w:ascii="Times New Roman" w:hAnsi="Times New Roman"/>
          <w:sz w:val="20"/>
        </w:rPr>
      </w:pPr>
      <w:r>
        <w:rPr>
          <w:rFonts w:ascii="Times New Roman" w:hAnsi="Times New Roman"/>
          <w:sz w:val="20"/>
        </w:rPr>
        <w:t xml:space="preserve">(14) filing of Uniform Commercial Code financing statements, including as a precautionary measure in connection with operating leases or consignment of goods; </w:t>
      </w:r>
    </w:p>
    <w:p>
      <w:pPr>
        <w:pStyle w:val="TextBody"/>
        <w:bidi w:val="0"/>
        <w:spacing w:before="120" w:after="0"/>
        <w:jc w:val="left"/>
        <w:rPr>
          <w:rFonts w:ascii="Times New Roman" w:hAnsi="Times New Roman"/>
          <w:sz w:val="20"/>
        </w:rPr>
      </w:pPr>
      <w:r>
        <w:rPr>
          <w:rFonts w:ascii="Times New Roman" w:hAnsi="Times New Roman"/>
          <w:sz w:val="20"/>
        </w:rPr>
        <w:t xml:space="preserve">(15) bankers’ Liens, rights of set-off, rights of pledge, Liens arising out of judgments or awards not constituting an Event of Default and notices of </w:t>
      </w:r>
      <w:r>
        <w:rPr>
          <w:rFonts w:ascii="Times New Roman" w:hAnsi="Times New Roman"/>
          <w:i/>
          <w:sz w:val="20"/>
        </w:rPr>
        <w:t>lis pendens</w:t>
      </w:r>
      <w:r>
        <w:rPr>
          <w:rFonts w:ascii="Times New Roman" w:hAnsi="Times New Roman"/>
          <w:sz w:val="20"/>
        </w:rPr>
        <w:t xml:space="preserve"> and associated rights related to litigation being contested in good faith by appropriate proceedings and for which adequate reserves have been made to the extent required by GAAP; </w:t>
      </w:r>
    </w:p>
    <w:p>
      <w:pPr>
        <w:pStyle w:val="TextBody"/>
        <w:bidi w:val="0"/>
        <w:spacing w:before="120" w:after="0"/>
        <w:jc w:val="left"/>
        <w:rPr>
          <w:rFonts w:ascii="Times New Roman" w:hAnsi="Times New Roman"/>
          <w:sz w:val="20"/>
        </w:rPr>
      </w:pPr>
      <w:r>
        <w:rPr>
          <w:rFonts w:ascii="Times New Roman" w:hAnsi="Times New Roman"/>
          <w:sz w:val="20"/>
        </w:rPr>
        <w:t xml:space="preserve">(16) Liens on cash, Cash Equivalents or other property arising in connection with the defeasance, discharge or redemption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(17) Liens on specific items of inventory or other goods and the proceeds thereof (including documents, instruments, accounts, chattel paper, letter of credit rights, general intangibles, supporting obligations, and claims under insurance policies relating thereto) of any Person securing such Person’s obligations in respect of bankers’ acceptances or letters of credit issued or created in the ordinary course of business for the account of such Person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(18) leases, licenses, sub-leases or sub-licenses of assets (as lessor, lessee, licensor or licensee) in the ordinary course of business consistent with past practice or, with respect to intellectual property, software and other technology rights, that are not material to the conduct of the business of the Company 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(19) Liens arising out of conditional sale, title retention, consignment or similar arrangements for the sale of goods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(20) statutory, common law or contractual Liens of creditor depository institutions or institutions holding securities accounts (including the right of set-off or similar rights and remedies); </w:t>
      </w:r>
    </w:p>
    <w:p>
      <w:pPr>
        <w:pStyle w:val="TextBody"/>
        <w:bidi w:val="0"/>
        <w:spacing w:before="120" w:after="0"/>
        <w:jc w:val="left"/>
        <w:rPr>
          <w:rFonts w:ascii="Times New Roman" w:hAnsi="Times New Roman"/>
          <w:sz w:val="20"/>
        </w:rPr>
      </w:pPr>
      <w:r>
        <w:rPr>
          <w:rFonts w:ascii="Times New Roman" w:hAnsi="Times New Roman"/>
          <w:sz w:val="20"/>
        </w:rPr>
        <w:t xml:space="preserve">(21) customary Liens granted in favor of a trustee to secure fees and other amounts owing to such trustee under an indenture or other agreement pursuant to which Indebtedness not prohibited by this Indenture is issued including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(22) Liens in favor of customs and revenue authorities arising as a matter of law to secure payment of custom duties in connection with the importation of goods;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Liens securing Swap Obligations entered into in the ordinary course of business and not for speculative purposes; </w:t>
      </w:r>
      <w:r>
        <w:rPr>
          <w:rFonts w:ascii="Times New Roman" w:hAnsi="Times New Roman"/>
          <w:i/>
          <w:sz w:val="20"/>
        </w:rPr>
        <w:t>provided</w:t>
      </w:r>
      <w:r>
        <w:rPr>
          <w:rFonts w:ascii="Times New Roman" w:hAnsi="Times New Roman"/>
          <w:sz w:val="20"/>
        </w:rPr>
        <w:t xml:space="preserve"> that such Swap Obligations are permitted to be incurred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(24) Liens on assets pursuant to merger agreements, stock or asset purchase agreements and similar agreements in respect of the disposition of such assets otherwise permitted under this Indenture for so long as such agreements are in effect; </w:t>
      </w:r>
    </w:p>
    <w:p>
      <w:pPr>
        <w:pStyle w:val="TextBody"/>
        <w:bidi w:val="0"/>
        <w:spacing w:before="120" w:after="0"/>
        <w:jc w:val="left"/>
        <w:rPr>
          <w:rFonts w:ascii="Times New Roman" w:hAnsi="Times New Roman"/>
          <w:sz w:val="20"/>
        </w:rPr>
      </w:pPr>
      <w:r>
        <w:rPr>
          <w:rFonts w:ascii="Times New Roman" w:hAnsi="Times New Roman"/>
          <w:sz w:val="20"/>
        </w:rPr>
        <w:t xml:space="preserve">(25) Leases and subleases of real property which do not materially interfere with the ordinary conduct of the business of the Company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(26) deposits made in the ordinary course of business to secure liability to insurance carriers; </w:t>
      </w:r>
    </w:p>
    <w:p>
      <w:pPr>
        <w:pStyle w:val="TextBody"/>
        <w:bidi w:val="0"/>
        <w:spacing w:before="120" w:after="0"/>
        <w:jc w:val="left"/>
        <w:rPr>
          <w:rFonts w:ascii="Times New Roman" w:hAnsi="Times New Roman"/>
          <w:sz w:val="20"/>
        </w:rPr>
      </w:pPr>
      <w:r>
        <w:rPr>
          <w:rFonts w:ascii="Times New Roman" w:hAnsi="Times New Roman"/>
          <w:sz w:val="20"/>
        </w:rPr>
        <w:t xml:space="preserve">(27) other Liens securing Indebtedness in an aggregate principal amount at any time outstanding not to exceed the greater of (i) $132.0 million and (ii) 33% of LTM Consolidated EBITDA; </w:t>
      </w:r>
    </w:p>
    <w:p>
      <w:pPr>
        <w:pStyle w:val="TextBody"/>
        <w:bidi w:val="0"/>
        <w:spacing w:before="120" w:after="0"/>
        <w:jc w:val="left"/>
        <w:rPr>
          <w:rFonts w:ascii="Times New Roman" w:hAnsi="Times New Roman"/>
          <w:sz w:val="20"/>
        </w:rPr>
      </w:pPr>
      <w:r>
        <w:rPr>
          <w:rFonts w:ascii="Times New Roman" w:hAnsi="Times New Roman"/>
          <w:sz w:val="20"/>
        </w:rPr>
        <w:t xml:space="preserve">(28) Liens that secure any Credit Facilities (incurred pursuant to clause (1) of the definition of “Permitted Debt”) and obligations under cash management services and Swap Obligations secured in connection with Credit Facilities, in each case permitted under this Indenture; provided that (i) if such Indebtedness under such Credit Facilities constitutes First Lien Obligations, such Liens shall be subject to the First Lien Intercreditor Agreement and (ii) if such Indebtedness under such Credit Facilities constitutes Junior Lien Obligations, such Liens shall be subject to a Junior Lien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(29) Liens incurred to secure any Treasury Management Arrangement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(30) Liens solely on any cash earnest money deposits made by the Company or any Restricted Subsidiary of the Company in connection with any letter of intent or purchase agreement permitted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(31) Liens deemed to exist in connection with Investments in repurchase agreements permitted under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(32) Liens encumbering reasonable customary initial deposits and margin deposits and similar Liens attached to commodity trading accounts or other brokerage accounts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(33) Liens of a collection bank arising under Section 4-210 of the Uniform Commercial Code on items in the course of collection; </w:t>
      </w:r>
    </w:p>
    <w:p>
      <w:pPr>
        <w:pStyle w:val="TextBody"/>
        <w:bidi w:val="0"/>
        <w:spacing w:before="120" w:after="0"/>
        <w:jc w:val="left"/>
        <w:rPr>
          <w:rFonts w:ascii="Times New Roman" w:hAnsi="Times New Roman"/>
          <w:sz w:val="20"/>
        </w:rPr>
      </w:pPr>
      <w:r>
        <w:rPr>
          <w:rFonts w:ascii="Times New Roman" w:hAnsi="Times New Roman"/>
          <w:sz w:val="20"/>
        </w:rPr>
        <w:t xml:space="preserve">(34) Liens arising on any real property as a result of eminent domain, condemnation or similar proceedings against such property; </w:t>
      </w:r>
    </w:p>
    <w:p>
      <w:pPr>
        <w:pStyle w:val="TextBody"/>
        <w:bidi w:val="0"/>
        <w:spacing w:before="120" w:after="0"/>
        <w:jc w:val="left"/>
        <w:rPr>
          <w:rFonts w:ascii="Times New Roman" w:hAnsi="Times New Roman"/>
          <w:sz w:val="20"/>
        </w:rPr>
      </w:pPr>
      <w:r>
        <w:rPr>
          <w:rFonts w:ascii="Times New Roman" w:hAnsi="Times New Roman"/>
          <w:sz w:val="20"/>
        </w:rPr>
        <w:t xml:space="preserve">(35) Liens of sellers of goods to the Company or any of its Restricted Subsidiaries arising under Article 2 of the UCC in effect in the relevant jurisdiction in the ordinary course of business, covering only the goods sold and covering only the unpaid purchase price for such goods and related expenses; </w:t>
      </w:r>
    </w:p>
    <w:p>
      <w:pPr>
        <w:pStyle w:val="TextBody"/>
        <w:bidi w:val="0"/>
        <w:spacing w:before="120" w:after="0"/>
        <w:jc w:val="left"/>
        <w:rPr>
          <w:rFonts w:ascii="Times New Roman" w:hAnsi="Times New Roman"/>
          <w:sz w:val="20"/>
        </w:rPr>
      </w:pPr>
      <w:r>
        <w:rPr>
          <w:rFonts w:ascii="Times New Roman" w:hAnsi="Times New Roman"/>
          <w:sz w:val="20"/>
        </w:rPr>
        <w:t xml:space="preserve">(36) any encumbrance or restriction (including put and call arrangements) with respect to Capital Stock of any joint venture securing financing arrangement, joint venture or similar arrangement pursuant to any joint venture securing financing agreement, joint venture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(37) Liens on property or assets under construction (and related rights) in favor of a contractor or developer or arising from progress or partial payments by a third party relating to such property or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Liens incurred to secure Indebtedness incurred pursuant to clause (13) of the definition of “Permitted Debt”; </w:t>
      </w:r>
      <w:r>
        <w:rPr>
          <w:rFonts w:ascii="Times New Roman" w:hAnsi="Times New Roman"/>
          <w:i/>
          <w:sz w:val="20"/>
        </w:rPr>
        <w:t>provided</w:t>
      </w:r>
      <w:r>
        <w:rPr>
          <w:rFonts w:ascii="Times New Roman" w:hAnsi="Times New Roman"/>
          <w:sz w:val="20"/>
        </w:rPr>
        <w:t xml:space="preserve"> that such Liens shall only be permitted if such Liens are limited to all or part of the same property or assets, including Capital Stock (</w:t>
      </w:r>
      <w:r>
        <w:rPr>
          <w:rFonts w:ascii="Times New Roman" w:hAnsi="Times New Roman"/>
          <w:i/>
          <w:sz w:val="20"/>
        </w:rPr>
        <w:t>plus</w:t>
      </w:r>
      <w:r>
        <w:rPr>
          <w:rFonts w:ascii="Times New Roman" w:hAnsi="Times New Roman"/>
          <w:sz w:val="20"/>
        </w:rPr>
        <w:t xml:space="preserve">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Company or any Restricted Subsidiary, in any transaction to which such Indebtedness or other Obligation relates; </w:t>
      </w:r>
    </w:p>
    <w:p>
      <w:pPr>
        <w:pStyle w:val="TextBody"/>
        <w:bidi w:val="0"/>
        <w:spacing w:before="120" w:after="0"/>
        <w:jc w:val="left"/>
        <w:rPr>
          <w:rFonts w:ascii="Times New Roman" w:hAnsi="Times New Roman"/>
          <w:sz w:val="20"/>
        </w:rPr>
      </w:pPr>
      <w:r>
        <w:rPr>
          <w:rFonts w:ascii="Times New Roman" w:hAnsi="Times New Roman"/>
          <w:sz w:val="20"/>
        </w:rPr>
        <w:t xml:space="preserve">(39) Liens on Capital Stock or other securities or assets of any Excluded Subsidiary that secure Indebtedness or other obligations of such Excluded Subsidiary; </w:t>
      </w:r>
    </w:p>
    <w:p>
      <w:pPr>
        <w:pStyle w:val="TextBody"/>
        <w:bidi w:val="0"/>
        <w:spacing w:before="120" w:after="0"/>
        <w:jc w:val="left"/>
        <w:rPr>
          <w:rFonts w:ascii="Times New Roman" w:hAnsi="Times New Roman"/>
          <w:sz w:val="20"/>
        </w:rPr>
      </w:pPr>
      <w:r>
        <w:rPr>
          <w:rFonts w:ascii="Times New Roman" w:hAnsi="Times New Roman"/>
          <w:sz w:val="20"/>
        </w:rPr>
        <w:t xml:space="preserve">(40) Liens on vehicles or equipment of the Company or any Restricted Subsidiary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(41) Liens (i) on cash advances or escrow deposits in favor of the seller of any property to be acquired in an Investment permitted under this Indenture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 </w:t>
      </w:r>
    </w:p>
    <w:p>
      <w:pPr>
        <w:pStyle w:val="TextBody"/>
        <w:bidi w:val="0"/>
        <w:spacing w:before="120" w:after="0"/>
        <w:jc w:val="left"/>
        <w:rPr>
          <w:rFonts w:ascii="Times New Roman" w:hAnsi="Times New Roman"/>
          <w:sz w:val="20"/>
        </w:rPr>
      </w:pPr>
      <w:r>
        <w:rPr>
          <w:rFonts w:ascii="Times New Roman" w:hAnsi="Times New Roman"/>
          <w:sz w:val="20"/>
        </w:rPr>
        <w:t xml:space="preserve">(42)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(43) Liens arising pursuant to any Permitted Intercompany Activities or Permitted Tax Restructuring; </w:t>
      </w:r>
    </w:p>
    <w:p>
      <w:pPr>
        <w:pStyle w:val="TextBody"/>
        <w:bidi w:val="0"/>
        <w:spacing w:before="120" w:after="0"/>
        <w:jc w:val="left"/>
        <w:rPr>
          <w:rFonts w:ascii="Times New Roman" w:hAnsi="Times New Roman"/>
          <w:sz w:val="20"/>
        </w:rPr>
      </w:pPr>
      <w:r>
        <w:rPr>
          <w:rFonts w:ascii="Times New Roman" w:hAnsi="Times New Roman"/>
          <w:sz w:val="20"/>
        </w:rPr>
        <w:t xml:space="preserve">(44) Liens then existing with respect to assets of an Unrestricted Subsidiary on the day such Unrestricted Subsidiary is redesignated as a Restricted Subsidiary pursuant to Section 4.17 hereof; </w:t>
      </w:r>
    </w:p>
    <w:p>
      <w:pPr>
        <w:pStyle w:val="TextBody"/>
        <w:bidi w:val="0"/>
        <w:spacing w:before="120" w:after="0"/>
        <w:jc w:val="left"/>
        <w:rPr>
          <w:rFonts w:ascii="Times New Roman" w:hAnsi="Times New Roman"/>
          <w:sz w:val="20"/>
        </w:rPr>
      </w:pPr>
      <w:r>
        <w:rPr>
          <w:rFonts w:ascii="Times New Roman" w:hAnsi="Times New Roman"/>
          <w:sz w:val="20"/>
        </w:rPr>
        <w:t xml:space="preserve">(45) (i) Liens that are </w:t>
      </w:r>
      <w:r>
        <w:rPr>
          <w:rFonts w:ascii="Times New Roman" w:hAnsi="Times New Roman"/>
          <w:i/>
          <w:sz w:val="20"/>
        </w:rPr>
        <w:t>pari passu</w:t>
      </w:r>
      <w:r>
        <w:rPr>
          <w:rFonts w:ascii="Times New Roman" w:hAnsi="Times New Roman"/>
          <w:sz w:val="20"/>
        </w:rPr>
        <w:t xml:space="preserve"> with the Liens securing the First Lien Notes Obligations; </w:t>
      </w:r>
      <w:r>
        <w:rPr>
          <w:rFonts w:ascii="Times New Roman" w:hAnsi="Times New Roman"/>
          <w:i/>
          <w:sz w:val="20"/>
        </w:rPr>
        <w:t>provided</w:t>
      </w:r>
      <w:r>
        <w:rPr>
          <w:rFonts w:ascii="Times New Roman" w:hAnsi="Times New Roman"/>
          <w:sz w:val="20"/>
        </w:rPr>
        <w:t xml:space="preserve"> that the Consolidated Secured Net Leverage Ratio of the Company and its Restricted Subsidiaries would be no greater than 3.75 to 1.00 on a pro forma basis (or, to the extent such Liens are incurred in connection with an acquisition or Investment, the Consolidated Secured Net Leverage Ratio of the Company and its Restricted Subsidiaries does not exceed the greater of 3.75 to 1.00 and the Secured Net Leverage Ratio of the Company and its Restricted Subsidiaries immediately prior to such acquisition of Investment, in each case on a pro forma basis);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such Indebtedness constitutes First Lien Obligations, such Liens shall be subject to the First Lien Intercreditor Agreement; and (ii) Liens that are junior to the Liens securing the First Lien Notes Obligations; </w:t>
      </w:r>
      <w:r>
        <w:rPr>
          <w:rFonts w:ascii="Times New Roman" w:hAnsi="Times New Roman"/>
          <w:i/>
          <w:sz w:val="20"/>
        </w:rPr>
        <w:t>provided</w:t>
      </w:r>
      <w:r>
        <w:rPr>
          <w:rFonts w:ascii="Times New Roman" w:hAnsi="Times New Roman"/>
          <w:sz w:val="20"/>
        </w:rPr>
        <w:t xml:space="preserve"> that the Consolidated Total Net Leverage Ratio of the Company and its Restricted Subsidiaries does not exceed 4.50 to 1.00 on a pro forma basis (or, to the extent such Liens are incurred in connection with an acquisition or Investment, the Consolidated Total Net Leverage Ratio does not exceed the greater of 4.50 to 1.00 and the Consolidated Total Net Leverage Ratio immediately prior to acquisition or Investment, in each case on a pro forma basis); </w:t>
      </w:r>
      <w:r>
        <w:rPr>
          <w:rFonts w:ascii="Times New Roman" w:hAnsi="Times New Roman"/>
          <w:i/>
          <w:sz w:val="20"/>
        </w:rPr>
        <w:t xml:space="preserve">provided further </w:t>
      </w:r>
      <w:r>
        <w:rPr>
          <w:rFonts w:ascii="Times New Roman" w:hAnsi="Times New Roman"/>
          <w:sz w:val="20"/>
        </w:rPr>
        <w:t xml:space="preserve">that if such Indebtedness constitutes Junior Lien Obligations, such Liens shall be subject to a Junior Lien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Liens on assets of a Special Purpose Receivables Subsidiary arising in connection with a Permitted Receivables Financing; and </w:t>
      </w:r>
    </w:p>
    <w:p>
      <w:pPr>
        <w:pStyle w:val="TextBody"/>
        <w:bidi w:val="0"/>
        <w:spacing w:before="120" w:after="0"/>
        <w:jc w:val="left"/>
        <w:rPr>
          <w:rFonts w:ascii="Times New Roman" w:hAnsi="Times New Roman"/>
          <w:sz w:val="20"/>
        </w:rPr>
      </w:pPr>
      <w:r>
        <w:rPr>
          <w:rFonts w:ascii="Times New Roman" w:hAnsi="Times New Roman"/>
          <w:sz w:val="20"/>
        </w:rPr>
        <w:t xml:space="preserve">(47) Any Restricted Payment that does not violate the covenant described under Section 4.07 or Permitted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categories of Permitted Liens described above, the Company shall, in its sole discretion, classify (or later reclassify) such item of Permitted Liens (or any portion thereof) in any manner that complies with this definition and will only be required to include the amount and type of such item of Permitted Liens in one of the above clauses and such Lien will be treated as having been incurred pursuant to only one of such clauses. </w:t>
      </w:r>
    </w:p>
    <w:p>
      <w:pPr>
        <w:pStyle w:val="TextBody"/>
        <w:bidi w:val="0"/>
        <w:spacing w:before="240" w:after="0"/>
        <w:jc w:val="left"/>
        <w:rPr/>
      </w:pPr>
      <w:r>
        <w:rPr/>
        <w:t>“</w:t>
      </w:r>
      <w:r>
        <w:rPr>
          <w:rFonts w:ascii="Times New Roman" w:hAnsi="Times New Roman"/>
          <w:i/>
          <w:sz w:val="20"/>
        </w:rPr>
        <w:t>Permitted Plan</w:t>
      </w:r>
      <w:r>
        <w:rPr>
          <w:rFonts w:ascii="Times New Roman" w:hAnsi="Times New Roman"/>
          <w:sz w:val="20"/>
        </w:rPr>
        <w:t xml:space="preserve">” means any employee benefits plan of the Company or any of its Affiliates and any Person acting in its capacity as trustee, agent or other fiduciary or administrator of any such plan. </w:t>
      </w:r>
    </w:p>
    <w:p>
      <w:pPr>
        <w:pStyle w:val="TextBody"/>
        <w:bidi w:val="0"/>
        <w:spacing w:before="240" w:after="0"/>
        <w:jc w:val="left"/>
        <w:rPr/>
      </w:pPr>
      <w:r>
        <w:rPr/>
        <w:t>“</w:t>
      </w:r>
      <w:r>
        <w:rPr>
          <w:rFonts w:ascii="Times New Roman" w:hAnsi="Times New Roman"/>
          <w:i/>
          <w:sz w:val="20"/>
        </w:rPr>
        <w:t>Permitted Receivables Documents</w:t>
      </w:r>
      <w:r>
        <w:rPr>
          <w:rFonts w:ascii="Times New Roman" w:hAnsi="Times New Roman"/>
          <w:sz w:val="20"/>
        </w:rPr>
        <w:t xml:space="preserve">” shall mean all documents and agreements evidencing, relating to or otherwise governing a Permitted Receivables Financing. </w:t>
      </w:r>
    </w:p>
    <w:p>
      <w:pPr>
        <w:pStyle w:val="TextBody"/>
        <w:bidi w:val="0"/>
        <w:spacing w:before="240" w:after="0"/>
        <w:jc w:val="left"/>
        <w:rPr/>
      </w:pPr>
      <w:r>
        <w:rPr/>
        <w:t>“</w:t>
      </w:r>
      <w:r>
        <w:rPr>
          <w:rFonts w:ascii="Times New Roman" w:hAnsi="Times New Roman"/>
          <w:i/>
          <w:sz w:val="20"/>
        </w:rPr>
        <w:t>Permitted Receivables Financing</w:t>
      </w:r>
      <w:r>
        <w:rPr>
          <w:rFonts w:ascii="Times New Roman" w:hAnsi="Times New Roman"/>
          <w:sz w:val="20"/>
        </w:rPr>
        <w:t xml:space="preserve">” shall mean one or more transactions by the Company or any of the Restricted Subsidiaries pursuant to which the Company or such Restricted Subsidiary may sell, convey or otherwise transfer to one or more Special Purpose Receivables Subsidiaries, any Receivables Assets (whether now existing or arising in the future) of the Company or such Restricted Subsidiary; </w:t>
      </w:r>
      <w:r>
        <w:rPr>
          <w:rFonts w:ascii="Times New Roman" w:hAnsi="Times New Roman"/>
          <w:i/>
          <w:sz w:val="20"/>
        </w:rPr>
        <w:t>provided</w:t>
      </w:r>
      <w:r>
        <w:rPr>
          <w:rFonts w:ascii="Times New Roman" w:hAnsi="Times New Roman"/>
          <w:sz w:val="20"/>
        </w:rPr>
        <w:t xml:space="preserve"> that (a) such transactions are non-recourse to the Company and the other Guarantors, and with respect to non-Guarantor Restricted Subsidiaries, recourse in connection with such transactions shall be limited to the extent customary for similar transactions (and in any event without any guarantee by Company or any other Restricted Subsidiary (other than any Special Purpose Receivables Subsidiary)) and (b) the aggregate Receivables Net Investment shall not exceed $250.0 million at any time. </w:t>
      </w:r>
    </w:p>
    <w:p>
      <w:pPr>
        <w:pStyle w:val="TextBody"/>
        <w:bidi w:val="0"/>
        <w:spacing w:before="240" w:after="0"/>
        <w:jc w:val="left"/>
        <w:rPr/>
      </w:pPr>
      <w:r>
        <w:rPr/>
        <w:t>“</w:t>
      </w:r>
      <w:r>
        <w:rPr>
          <w:rFonts w:ascii="Times New Roman" w:hAnsi="Times New Roman"/>
          <w:i/>
          <w:sz w:val="20"/>
        </w:rPr>
        <w:t>Permitted Refinancing Indebtedness</w:t>
      </w:r>
      <w:r>
        <w:rPr>
          <w:rFonts w:ascii="Times New Roman" w:hAnsi="Times New Roman"/>
          <w:sz w:val="20"/>
        </w:rPr>
        <w:t xml:space="preserve">” means any Indebtedness or Disqualified Stock of the Company or any of its Restricted Subsidiaries and any Preferred Stock of any Restricted Subsidiaries issued in exchange for, or the net proceeds of which are used to renew, refund, refinance, replace, defease or discharge other Indebtedness, Disqualified Stock or Preferred Stock of the Company or any of its Restricted Subsidiaries (other than intercompany Indebtedness);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amount (or accreted value, if applicable) of such Permitted Refinancing Indebtedness does not exceed the principal amount (or accreted value, if applicable) or, if greater, the committed amount of the Indebtedness renewed, refunded, refinanced, replaced, defeased or discharged (plus all accrued interest on the Indebtedness and the amount of all fees and expenses, including premiums and defeasance costs, incurred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(2) (A) if the Indebtedness being renewed, refunded, refinanced, replaced, defeased or discharged has a final maturity date earlier than the Stated Maturity of the Notes, such Permitted Refinancing Indebtedness shall not have a Stated Maturity date earlier than the Stated Maturity of the Indebtedness being renewed, refunded, refinanced, replaced, defeased or discharged or (B) if the Indebtedness being refunded, replaced or refinanced has a Stated Maturity after the Stated Maturity of the Notes, such Permitted Refinancing Indebtedness shall not have a Stated Maturity earlier than 90 days after the Stated Maturity of any Notes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(3) such Permitted Refinancing Indebtedness has a Weighted Average Life to Maturity at the time it is incurred that is not less than the Weighted Average Life to Maturity of the Indebtedness being renewed, refunded, refinanced, replaced, defeased or discharged;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to the extent such Permitted Refinancing Indebtedness refinances (i) Disqualified Stock, such Permitted Refinancing Indebtedness is Disqualified Stock and (ii) Preferred Stock, such Permitted Refinancing Indebtedness is Preferred Stock; and </w:t>
      </w:r>
    </w:p>
    <w:p>
      <w:pPr>
        <w:pStyle w:val="TextBody"/>
        <w:bidi w:val="0"/>
        <w:spacing w:before="120" w:after="0"/>
        <w:jc w:val="left"/>
        <w:rPr>
          <w:rFonts w:ascii="Times New Roman" w:hAnsi="Times New Roman"/>
          <w:sz w:val="20"/>
        </w:rPr>
      </w:pPr>
      <w:r>
        <w:rPr>
          <w:rFonts w:ascii="Times New Roman" w:hAnsi="Times New Roman"/>
          <w:sz w:val="20"/>
        </w:rPr>
        <w:t xml:space="preserve">(5) if the Indebtedness being renewed, refunded, refinanced, replaced, defeased or discharged is subordinated in right of payment to the Notes, such Permitted Refinancing Indebtedness is subordinated in right of payment to the Notes on terms at least as favorable to the Holders as those contained in the documentation governing the Indebtedness being renewed, refunded, refinanced, replaced, defeased or discharged;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Permitted Refinancing Indebtedness shall not include (x) Indebtedness of a Restricted Subsidiary of the Company (other than a Guarantor) that refinances Indebtedness of the Company or a Guarantor or (y) Indebtedness of the Company or a Restricted Subsidiary that refinances Indebtedness of an Unrestricted Subsidiary. </w:t>
      </w:r>
    </w:p>
    <w:p>
      <w:pPr>
        <w:pStyle w:val="TextBody"/>
        <w:bidi w:val="0"/>
        <w:spacing w:before="240" w:after="0"/>
        <w:jc w:val="left"/>
        <w:rPr/>
      </w:pPr>
      <w:r>
        <w:rPr/>
        <w:t>“</w:t>
      </w:r>
      <w:r>
        <w:rPr>
          <w:rFonts w:ascii="Times New Roman" w:hAnsi="Times New Roman"/>
          <w:i/>
          <w:sz w:val="20"/>
        </w:rPr>
        <w:t>Permitted Tax Restructuring</w:t>
      </w:r>
      <w:r>
        <w:rPr>
          <w:rFonts w:ascii="Times New Roman" w:hAnsi="Times New Roman"/>
          <w:sz w:val="20"/>
        </w:rPr>
        <w:t xml:space="preserve">” means any reorganizations and other activities related to tax planning and tax reorganization entered into prior to, on or after the Issue Date so long as such Permitted Tax Restructuring is not materially adverse to the Holders of the Notes and such transactions, taken as a whole, do not materially impair the Liens on the Collateral granted to the Notes Collateral Agent or the Note Guarantees of the Obligations provided by the Guarantors (as determined by the Company in good faith). </w:t>
      </w:r>
    </w:p>
    <w:p>
      <w:pPr>
        <w:pStyle w:val="TextBody"/>
        <w:bidi w:val="0"/>
        <w:spacing w:before="240" w:after="0"/>
        <w:jc w:val="left"/>
        <w:rPr/>
      </w:pPr>
      <w:r>
        <w:rPr/>
        <w:t>“</w:t>
      </w:r>
      <w:r>
        <w:rPr>
          <w:rFonts w:ascii="Times New Roman" w:hAnsi="Times New Roman"/>
          <w:i/>
          <w:sz w:val="20"/>
        </w:rPr>
        <w:t>Permitted Warrant Transaction</w:t>
      </w:r>
      <w:r>
        <w:rPr>
          <w:rFonts w:ascii="Times New Roman" w:hAnsi="Times New Roman"/>
          <w:sz w:val="20"/>
        </w:rPr>
        <w:t xml:space="preserve">” means any call option, warrant or right to purchase (or substantively equivalent derivative transaction) on the Company’s common stock (whether settled in cash and/or common stock) sold by the Company in connection with and substantially concurrently with any purchase by the Company of a related Permitted Bond Hedge Transaction; </w:t>
      </w:r>
      <w:r>
        <w:rPr>
          <w:rFonts w:ascii="Times New Roman" w:hAnsi="Times New Roman"/>
          <w:i/>
          <w:sz w:val="20"/>
        </w:rPr>
        <w:t>provided</w:t>
      </w:r>
      <w:r>
        <w:rPr>
          <w:rFonts w:ascii="Times New Roman" w:hAnsi="Times New Roman"/>
          <w:sz w:val="20"/>
        </w:rPr>
        <w:t xml:space="preserve"> that the purchase price for such Permitted Bond Hedge Transaction, less the proceeds received by the Company from the sale of such related Permitted Warrant Transaction, does not exceed the net cash proceeds received by the Company or any other Guarantor from the sale of the Convertible Indebtedness issued in connection with the Permitted Warrant Transaction.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joint venture, association, joint-stock company, trust, unincorporated organization, limited liability company or government or other entity. </w:t>
      </w:r>
    </w:p>
    <w:p>
      <w:pPr>
        <w:pStyle w:val="TextBody"/>
        <w:bidi w:val="0"/>
        <w:spacing w:before="240" w:after="0"/>
        <w:jc w:val="left"/>
        <w:rPr/>
      </w:pPr>
      <w:r>
        <w:rPr/>
        <w:t>“</w:t>
      </w:r>
      <w:r>
        <w:rPr>
          <w:rFonts w:ascii="Times New Roman" w:hAnsi="Times New Roman"/>
          <w:i/>
          <w:sz w:val="20"/>
        </w:rPr>
        <w:t>Pledge Agreement</w:t>
      </w:r>
      <w:r>
        <w:rPr>
          <w:rFonts w:ascii="Times New Roman" w:hAnsi="Times New Roman"/>
          <w:sz w:val="20"/>
        </w:rPr>
        <w:t xml:space="preserve">” means that certain Pledge Agreement, dated October 19, 2026, among the Company, the Guarantors and the Notes Collateral Agent. </w:t>
      </w:r>
    </w:p>
    <w:p>
      <w:pPr>
        <w:pStyle w:val="TextBody"/>
        <w:bidi w:val="0"/>
        <w:spacing w:before="240" w:after="0"/>
        <w:jc w:val="left"/>
        <w:rPr/>
      </w:pPr>
      <w:r>
        <w:rPr/>
        <w:t>“</w:t>
      </w:r>
      <w:r>
        <w:rPr>
          <w:rFonts w:ascii="Times New Roman" w:hAnsi="Times New Roman"/>
          <w:i/>
          <w:sz w:val="20"/>
        </w:rPr>
        <w:t>Pledged Excluded Subsidiary</w:t>
      </w:r>
      <w:r>
        <w:rPr>
          <w:rFonts w:ascii="Times New Roman" w:hAnsi="Times New Roman"/>
          <w:sz w:val="20"/>
        </w:rPr>
        <w:t xml:space="preserve">” means (a) all Foreign Subsidiaries, (b) each Domestic Subsidiary that owns no material assets other than equity interests in one or more Foreign Subsidiaries and (c) each Domestic Subsidiary that is an Excluded Subsidiary, if any, the Capital Stock and related notes, dividends and proceeds of which have been pledged to the Notes Collateral Agent, for the benefit of the Notes Secured Parties, under and in accordance with the Pledge Agreement. </w:t>
      </w:r>
    </w:p>
    <w:p>
      <w:pPr>
        <w:pStyle w:val="TextBody"/>
        <w:bidi w:val="0"/>
        <w:spacing w:before="240" w:after="0"/>
        <w:jc w:val="left"/>
        <w:rPr/>
      </w:pPr>
      <w:r>
        <w:rPr/>
        <w:t>“</w:t>
      </w:r>
      <w:r>
        <w:rPr>
          <w:rFonts w:ascii="Times New Roman" w:hAnsi="Times New Roman"/>
          <w:i/>
          <w:sz w:val="20"/>
        </w:rPr>
        <w:t>Preferred Stock</w:t>
      </w:r>
      <w:r>
        <w:rPr>
          <w:rFonts w:ascii="Times New Roman" w:hAnsi="Times New Roman"/>
          <w:sz w:val="20"/>
        </w:rPr>
        <w:t xml:space="preserve">” means any Equity Interest with preferential rights of payment of dividends or upon liquidation, dissolution or winding up. </w:t>
      </w:r>
    </w:p>
    <w:p>
      <w:pPr>
        <w:pStyle w:val="TextBody"/>
        <w:bidi w:val="0"/>
        <w:spacing w:before="240" w:after="0"/>
        <w:jc w:val="left"/>
        <w:rPr/>
      </w:pPr>
      <w:r>
        <w:rPr/>
        <w:t>“</w:t>
      </w:r>
      <w:r>
        <w:rPr>
          <w:rFonts w:ascii="Times New Roman" w:hAnsi="Times New Roman"/>
          <w:i/>
          <w:sz w:val="20"/>
        </w:rPr>
        <w:t>Private Placement Legend</w:t>
      </w:r>
      <w:r>
        <w:rPr>
          <w:rFonts w:ascii="Times New Roman" w:hAnsi="Times New Roman"/>
          <w:sz w:val="20"/>
        </w:rPr>
        <w:t xml:space="preserve">” means the legend set forth in Section 2.06(g)(1) hereof to be placed on all Notes issued under this Indenture except where otherwise permitted by the provisions of this Indenture. </w:t>
      </w:r>
    </w:p>
    <w:p>
      <w:pPr>
        <w:pStyle w:val="TextBody"/>
        <w:bidi w:val="0"/>
        <w:spacing w:before="240" w:after="0"/>
        <w:jc w:val="left"/>
        <w:rPr/>
      </w:pPr>
      <w:r>
        <w:rPr/>
        <w:t>“</w:t>
      </w:r>
      <w:r>
        <w:rPr>
          <w:rFonts w:ascii="Times New Roman" w:hAnsi="Times New Roman"/>
          <w:i/>
          <w:sz w:val="20"/>
        </w:rPr>
        <w:t>QIB</w:t>
      </w:r>
      <w:r>
        <w:rPr>
          <w:rFonts w:ascii="Times New Roman" w:hAnsi="Times New Roman"/>
          <w:sz w:val="20"/>
        </w:rPr>
        <w:t xml:space="preserve">” means a “qualified institutional buyer” as defined in Rule 144A. </w:t>
      </w:r>
    </w:p>
    <w:p>
      <w:pPr>
        <w:pStyle w:val="TextBody"/>
        <w:bidi w:val="0"/>
        <w:spacing w:before="240" w:after="0"/>
        <w:jc w:val="left"/>
        <w:rPr/>
      </w:pPr>
      <w:r>
        <w:rPr/>
        <w:t>“</w:t>
      </w:r>
      <w:r>
        <w:rPr>
          <w:rFonts w:ascii="Times New Roman" w:hAnsi="Times New Roman"/>
          <w:i/>
          <w:sz w:val="20"/>
        </w:rPr>
        <w:t>Qualifying Equity Interests</w:t>
      </w:r>
      <w:r>
        <w:rPr>
          <w:rFonts w:ascii="Times New Roman" w:hAnsi="Times New Roman"/>
          <w:sz w:val="20"/>
        </w:rPr>
        <w:t xml:space="preserve">” means Equity Interests of the Company other than Disqualified Stock. </w:t>
      </w:r>
    </w:p>
    <w:p>
      <w:pPr>
        <w:pStyle w:val="TextBody"/>
        <w:bidi w:val="0"/>
        <w:spacing w:before="240" w:after="0"/>
        <w:jc w:val="left"/>
        <w:rPr/>
      </w:pPr>
      <w:r>
        <w:rPr/>
        <w:t>“</w:t>
      </w:r>
      <w:r>
        <w:rPr>
          <w:rFonts w:ascii="Times New Roman" w:hAnsi="Times New Roman"/>
          <w:i/>
          <w:sz w:val="20"/>
        </w:rPr>
        <w:t>Receivables Assets</w:t>
      </w:r>
      <w:r>
        <w:rPr>
          <w:rFonts w:ascii="Times New Roman" w:hAnsi="Times New Roman"/>
          <w:sz w:val="20"/>
        </w:rPr>
        <w:t xml:space="preserve">” shall mean accounts receivable (including bills of exchange) and related assets and property which are of the type customarily transferred or in respect of which security interests are customarily granted in connection with securitizations of accounts receivable from time to time originated, acquired or otherwise owned by the Company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Receivables Net Investment</w:t>
      </w:r>
      <w:r>
        <w:rPr>
          <w:rFonts w:ascii="Times New Roman" w:hAnsi="Times New Roman"/>
          <w:sz w:val="20"/>
        </w:rPr>
        <w:t xml:space="preserve">” means the aggregate cash amount paid by the lenders or purchasers under any Permitted Receivables Financing in connection with their purchase of, or the making of loans secured by, Receivables Assets or interests therein, as the same may be reduced from time to time by collections with respect to such Receivables Assets or otherwise in accordance with the terms of the Permitted Receivables Documents;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though such distribution had not been made. </w:t>
      </w:r>
    </w:p>
    <w:p>
      <w:pPr>
        <w:pStyle w:val="TextBody"/>
        <w:bidi w:val="0"/>
        <w:spacing w:before="240" w:after="0"/>
        <w:jc w:val="left"/>
        <w:rPr/>
      </w:pPr>
      <w:r>
        <w:rPr/>
        <w:t>“</w:t>
      </w:r>
      <w:r>
        <w:rPr>
          <w:rFonts w:ascii="Times New Roman" w:hAnsi="Times New Roman"/>
          <w:i/>
          <w:sz w:val="20"/>
        </w:rPr>
        <w:t>Regulation S</w:t>
      </w:r>
      <w:r>
        <w:rPr>
          <w:rFonts w:ascii="Times New Roman" w:hAnsi="Times New Roman"/>
          <w:sz w:val="20"/>
        </w:rPr>
        <w:t xml:space="preserve">” means Regulation S promulgated under the Securities Act. </w:t>
      </w:r>
    </w:p>
    <w:p>
      <w:pPr>
        <w:pStyle w:val="TextBody"/>
        <w:bidi w:val="0"/>
        <w:spacing w:before="240" w:after="0"/>
        <w:jc w:val="left"/>
        <w:rPr/>
      </w:pPr>
      <w:r>
        <w:rPr/>
        <w:t>“</w:t>
      </w:r>
      <w:r>
        <w:rPr>
          <w:rFonts w:ascii="Times New Roman" w:hAnsi="Times New Roman"/>
          <w:i/>
          <w:sz w:val="20"/>
        </w:rPr>
        <w:t>Regulation S Global Note</w:t>
      </w:r>
      <w:r>
        <w:rPr>
          <w:rFonts w:ascii="Times New Roman" w:hAnsi="Times New Roman"/>
          <w:sz w:val="20"/>
        </w:rPr>
        <w:t xml:space="preserve">” means a Global Note in the form of Exhibit A hereto bearing the Global Note Legend and the Private Placement Legend and deposited with or on behalf of and registered in the name of the Depositary or its nominee. </w:t>
      </w:r>
    </w:p>
    <w:p>
      <w:pPr>
        <w:pStyle w:val="TextBody"/>
        <w:bidi w:val="0"/>
        <w:spacing w:before="240" w:after="0"/>
        <w:jc w:val="left"/>
        <w:rPr/>
      </w:pPr>
      <w:r>
        <w:rPr/>
        <w:t>“</w:t>
      </w:r>
      <w:r>
        <w:rPr>
          <w:rFonts w:ascii="Times New Roman" w:hAnsi="Times New Roman"/>
          <w:i/>
          <w:sz w:val="20"/>
        </w:rPr>
        <w:t>Related Business Assets</w:t>
      </w:r>
      <w:r>
        <w:rPr>
          <w:rFonts w:ascii="Times New Roman" w:hAnsi="Times New Roman"/>
          <w:sz w:val="20"/>
        </w:rPr>
        <w:t xml:space="preserve">” means assets (other than cash or Cash Equivalents) used or useful in a Permitted Business and not classified as current assets under GAAP; </w:t>
      </w:r>
      <w:r>
        <w:rPr>
          <w:rFonts w:ascii="Times New Roman" w:hAnsi="Times New Roman"/>
          <w:i/>
          <w:sz w:val="20"/>
        </w:rPr>
        <w:t>provided</w:t>
      </w:r>
      <w:r>
        <w:rPr>
          <w:rFonts w:ascii="Times New Roman" w:hAnsi="Times New Roman"/>
          <w:sz w:val="20"/>
        </w:rPr>
        <w:t xml:space="preserve">, that assets received by the Company or a Subsidiary in exchange for assets transferred by the Company or a Restricted Subsidiary will not qualify as Related Business Assets if they consist of securities of a Person, unless upon receipt of such securities such Person becomes a Restricted Subsidiary of the Company.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shall mean, when used with respect to the Trustee, any officer within the Corporate Trust Office of the Trustee, including any vice president, assistant vice president, assistant secretary, assistant treasurer, trust officer, senior associate or any other officer of the Trustee who customarily performs functions similar to those performed by the Persons who at the time shall be such officers, respectively, and who shall have direct responsibility for the administration of this Indenture or to whom any corporate trust matter is referred because of such person’s knowledge of and familiarity with the particular subject. </w:t>
      </w:r>
    </w:p>
    <w:p>
      <w:pPr>
        <w:pStyle w:val="TextBody"/>
        <w:bidi w:val="0"/>
        <w:spacing w:before="240" w:after="0"/>
        <w:jc w:val="left"/>
        <w:rPr/>
      </w:pPr>
      <w:r>
        <w:rPr/>
        <w:t>“</w:t>
      </w:r>
      <w:r>
        <w:rPr>
          <w:rFonts w:ascii="Times New Roman" w:hAnsi="Times New Roman"/>
          <w:i/>
          <w:sz w:val="20"/>
        </w:rPr>
        <w:t>Restricted Definitive Note</w:t>
      </w:r>
      <w:r>
        <w:rPr>
          <w:rFonts w:ascii="Times New Roman" w:hAnsi="Times New Roman"/>
          <w:sz w:val="20"/>
        </w:rPr>
        <w:t xml:space="preserve">” means a Definitive Note bearing the Private Placement Legend. </w:t>
      </w:r>
    </w:p>
    <w:p>
      <w:pPr>
        <w:pStyle w:val="TextBody"/>
        <w:bidi w:val="0"/>
        <w:spacing w:before="240" w:after="0"/>
        <w:jc w:val="left"/>
        <w:rPr/>
      </w:pPr>
      <w:r>
        <w:rPr/>
        <w:t>“</w:t>
      </w:r>
      <w:r>
        <w:rPr>
          <w:rFonts w:ascii="Times New Roman" w:hAnsi="Times New Roman"/>
          <w:i/>
          <w:sz w:val="20"/>
        </w:rPr>
        <w:t>Restricted Global Note</w:t>
      </w:r>
      <w:r>
        <w:rPr>
          <w:rFonts w:ascii="Times New Roman" w:hAnsi="Times New Roman"/>
          <w:sz w:val="20"/>
        </w:rPr>
        <w:t xml:space="preserve">” means a Global Note bearing the Private Placement Legend. </w:t>
      </w:r>
    </w:p>
    <w:p>
      <w:pPr>
        <w:pStyle w:val="TextBody"/>
        <w:bidi w:val="0"/>
        <w:spacing w:before="240" w:after="0"/>
        <w:jc w:val="left"/>
        <w:rPr/>
      </w:pPr>
      <w:r>
        <w:rPr/>
        <w:t>“</w:t>
      </w:r>
      <w:r>
        <w:rPr>
          <w:rFonts w:ascii="Times New Roman" w:hAnsi="Times New Roman"/>
          <w:i/>
          <w:sz w:val="20"/>
        </w:rPr>
        <w:t>Restricted Investment</w:t>
      </w:r>
      <w:r>
        <w:rPr>
          <w:rFonts w:ascii="Times New Roman" w:hAnsi="Times New Roman"/>
          <w:sz w:val="20"/>
        </w:rPr>
        <w:t xml:space="preserve">” means an Investment other than a Permitted Investment. </w:t>
      </w:r>
    </w:p>
    <w:p>
      <w:pPr>
        <w:pStyle w:val="TextBody"/>
        <w:bidi w:val="0"/>
        <w:spacing w:before="240" w:after="0"/>
        <w:jc w:val="left"/>
        <w:rPr/>
      </w:pPr>
      <w:r>
        <w:rPr/>
        <w:t>“</w:t>
      </w:r>
      <w:r>
        <w:rPr>
          <w:rFonts w:ascii="Times New Roman" w:hAnsi="Times New Roman"/>
          <w:i/>
          <w:sz w:val="20"/>
        </w:rPr>
        <w:t>Restricted Period</w:t>
      </w:r>
      <w:r>
        <w:rPr>
          <w:rFonts w:ascii="Times New Roman" w:hAnsi="Times New Roman"/>
          <w:sz w:val="20"/>
        </w:rPr>
        <w:t xml:space="preserve">” means the 40-day distribution compliance period as defined in Regulation S.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any Subsidiary that is not an Unrestricted Subsidiary. </w:t>
      </w:r>
    </w:p>
    <w:p>
      <w:pPr>
        <w:pStyle w:val="TextBody"/>
        <w:bidi w:val="0"/>
        <w:spacing w:before="240" w:after="0"/>
        <w:jc w:val="left"/>
        <w:rPr/>
      </w:pPr>
      <w:r>
        <w:rPr/>
        <w:t>“</w:t>
      </w:r>
      <w:r>
        <w:rPr>
          <w:rFonts w:ascii="Times New Roman" w:hAnsi="Times New Roman"/>
          <w:i/>
          <w:sz w:val="20"/>
        </w:rPr>
        <w:t>Rule 144</w:t>
      </w:r>
      <w:r>
        <w:rPr>
          <w:rFonts w:ascii="Times New Roman" w:hAnsi="Times New Roman"/>
          <w:sz w:val="20"/>
        </w:rPr>
        <w:t xml:space="preserve">” means Rule 144 promulgated under the Securities Act. </w:t>
      </w:r>
    </w:p>
    <w:p>
      <w:pPr>
        <w:pStyle w:val="TextBody"/>
        <w:bidi w:val="0"/>
        <w:spacing w:before="240" w:after="0"/>
        <w:jc w:val="left"/>
        <w:rPr/>
      </w:pPr>
      <w:r>
        <w:rPr/>
        <w:t>“</w:t>
      </w:r>
      <w:r>
        <w:rPr>
          <w:rFonts w:ascii="Times New Roman" w:hAnsi="Times New Roman"/>
          <w:i/>
          <w:sz w:val="20"/>
        </w:rPr>
        <w:t>Rule 144A</w:t>
      </w:r>
      <w:r>
        <w:rPr>
          <w:rFonts w:ascii="Times New Roman" w:hAnsi="Times New Roman"/>
          <w:sz w:val="20"/>
        </w:rPr>
        <w:t xml:space="preserve">” means Rule 144A promulgated under the Securities Act. </w:t>
      </w:r>
    </w:p>
    <w:p>
      <w:pPr>
        <w:pStyle w:val="TextBody"/>
        <w:bidi w:val="0"/>
        <w:spacing w:before="240" w:after="0"/>
        <w:jc w:val="left"/>
        <w:rPr/>
      </w:pPr>
      <w:r>
        <w:rPr/>
        <w:t>“</w:t>
      </w:r>
      <w:r>
        <w:rPr>
          <w:rFonts w:ascii="Times New Roman" w:hAnsi="Times New Roman"/>
          <w:i/>
          <w:sz w:val="20"/>
        </w:rPr>
        <w:t>Rule 903</w:t>
      </w:r>
      <w:r>
        <w:rPr>
          <w:rFonts w:ascii="Times New Roman" w:hAnsi="Times New Roman"/>
          <w:sz w:val="20"/>
        </w:rPr>
        <w:t xml:space="preserve">” means Rule 903 promulgated under the Securities Act. </w:t>
      </w:r>
    </w:p>
    <w:p>
      <w:pPr>
        <w:pStyle w:val="TextBody"/>
        <w:bidi w:val="0"/>
        <w:spacing w:before="240" w:after="0"/>
        <w:jc w:val="left"/>
        <w:rPr/>
      </w:pPr>
      <w:r>
        <w:rPr/>
        <w:t>“</w:t>
      </w:r>
      <w:r>
        <w:rPr>
          <w:rFonts w:ascii="Times New Roman" w:hAnsi="Times New Roman"/>
          <w:i/>
          <w:sz w:val="20"/>
        </w:rPr>
        <w:t>Rule 904</w:t>
      </w:r>
      <w:r>
        <w:rPr>
          <w:rFonts w:ascii="Times New Roman" w:hAnsi="Times New Roman"/>
          <w:sz w:val="20"/>
        </w:rPr>
        <w:t xml:space="preserve">” means Rule 904 promulgated under the Securities Act. </w:t>
      </w:r>
    </w:p>
    <w:p>
      <w:pPr>
        <w:pStyle w:val="TextBody"/>
        <w:bidi w:val="0"/>
        <w:spacing w:before="240" w:after="0"/>
        <w:jc w:val="left"/>
        <w:rPr/>
      </w:pPr>
      <w:r>
        <w:rPr/>
        <w:t>“</w:t>
      </w:r>
      <w:r>
        <w:rPr>
          <w:rFonts w:ascii="Times New Roman" w:hAnsi="Times New Roman"/>
          <w:i/>
          <w:sz w:val="20"/>
        </w:rPr>
        <w:t>Sale and Leaseback Transaction</w:t>
      </w:r>
      <w:r>
        <w:rPr>
          <w:rFonts w:ascii="Times New Roman" w:hAnsi="Times New Roman"/>
          <w:sz w:val="20"/>
        </w:rPr>
        <w:t xml:space="preserve">” means any arrangement providing for the leasing by the Company or any of the Restricted Subsidiaries of any real or tangible personal property, which property has been or is to be sold or transferred by the Company or such Restricted Subsidiary to a third Person in contemplation of such leasing. </w:t>
      </w:r>
    </w:p>
    <w:p>
      <w:pPr>
        <w:pStyle w:val="TextBody"/>
        <w:bidi w:val="0"/>
        <w:spacing w:before="240" w:after="0"/>
        <w:jc w:val="left"/>
        <w:rPr/>
      </w:pPr>
      <w:r>
        <w:rPr/>
        <w:t>“</w:t>
      </w:r>
      <w:r>
        <w:rPr>
          <w:rFonts w:ascii="Times New Roman" w:hAnsi="Times New Roman"/>
          <w:i/>
          <w:sz w:val="20"/>
        </w:rPr>
        <w:t>Sanctioned Entity</w:t>
      </w:r>
      <w:r>
        <w:rPr>
          <w:rFonts w:ascii="Times New Roman" w:hAnsi="Times New Roman"/>
          <w:sz w:val="20"/>
        </w:rPr>
        <w:t xml:space="preserve">” means (i) an agency of the government of, (ii) an organization directly or indirectly controlled by, or (iii) a person resident in a country that is subject to a sanctions program identified on the list maintained by OFAC and available at http://www.treas.gov/offices/eotffc/ofac/sanctions/index.html, or as otherwise published from time to time as such program may be applicable to such agency, organization or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Sanctioned Person</w:t>
      </w:r>
      <w:r>
        <w:rPr>
          <w:rFonts w:ascii="Times New Roman" w:hAnsi="Times New Roman"/>
          <w:sz w:val="20"/>
        </w:rPr>
        <w:t xml:space="preserve">” means a person named on the list of Specially Designated Nationals or Blocked Persons maintained by OFAC available at http://www.treas.gov/offices/eotffc/ofac/sdn/index.html, or as otherwise published from time to time. </w:t>
      </w:r>
    </w:p>
    <w:p>
      <w:pPr>
        <w:pStyle w:val="TextBody"/>
        <w:bidi w:val="0"/>
        <w:spacing w:before="240" w:after="0"/>
        <w:jc w:val="left"/>
        <w:rPr/>
      </w:pPr>
      <w:r>
        <w:rPr/>
        <w:t>“</w:t>
      </w:r>
      <w:r>
        <w:rPr>
          <w:rFonts w:ascii="Times New Roman" w:hAnsi="Times New Roman"/>
          <w:i/>
          <w:sz w:val="20"/>
        </w:rPr>
        <w:t>Screened Affiliate</w:t>
      </w:r>
      <w:r>
        <w:rPr>
          <w:rFonts w:ascii="Times New Roman" w:hAnsi="Times New Roman"/>
          <w:sz w:val="20"/>
        </w:rPr>
        <w:t xml:space="preserv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Standard &amp; Poor’s Ratings Group.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Secured Indebtedness</w:t>
      </w:r>
      <w:r>
        <w:rPr>
          <w:rFonts w:ascii="Times New Roman" w:hAnsi="Times New Roman"/>
          <w:sz w:val="20"/>
        </w:rPr>
        <w:t xml:space="preserve">” means any Indebtedness secured by a Lien.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i/>
          <w:sz w:val="20"/>
        </w:rPr>
        <w:t>Security Agreement</w:t>
      </w:r>
      <w:r>
        <w:rPr>
          <w:rFonts w:ascii="Times New Roman" w:hAnsi="Times New Roman"/>
          <w:sz w:val="20"/>
        </w:rPr>
        <w:t xml:space="preserve">” means that certain Notes Security Agreement, dated October 19, 2026, among the Company, the Guarantors and the Notes Collateral Agent. </w:t>
      </w:r>
    </w:p>
    <w:p>
      <w:pPr>
        <w:pStyle w:val="TextBody"/>
        <w:bidi w:val="0"/>
        <w:spacing w:before="240" w:after="0"/>
        <w:jc w:val="left"/>
        <w:rPr/>
      </w:pPr>
      <w:r>
        <w:rPr/>
        <w:t>“</w:t>
      </w:r>
      <w:r>
        <w:rPr>
          <w:rFonts w:ascii="Times New Roman" w:hAnsi="Times New Roman"/>
          <w:i/>
          <w:sz w:val="20"/>
        </w:rPr>
        <w:t>Security Documents</w:t>
      </w:r>
      <w:r>
        <w:rPr>
          <w:rFonts w:ascii="Times New Roman" w:hAnsi="Times New Roman"/>
          <w:sz w:val="20"/>
        </w:rPr>
        <w:t xml:space="preserve">” means, collectively, the First Lien Intercreditor Agreement, the Security Agreement, the Pledge Agreement and other intercreditor agreements, security agreements, pledge agreements, collateral assignments and mortgages, relating to the Collateral (including financing statements under the Uniform Commercial Code of the relevant states applicable to the Collateral), each for the benefit of the Notes Collateral Agent, as amended, amended and restated, modified, renewed or replaced from time to time. </w:t>
      </w:r>
    </w:p>
    <w:p>
      <w:pPr>
        <w:pStyle w:val="TextBody"/>
        <w:bidi w:val="0"/>
        <w:spacing w:before="240" w:after="0"/>
        <w:jc w:val="left"/>
        <w:rPr/>
      </w:pPr>
      <w:r>
        <w:rPr/>
        <w:t>“</w:t>
      </w:r>
      <w:r>
        <w:rPr>
          <w:rFonts w:ascii="Times New Roman" w:hAnsi="Times New Roman"/>
          <w:i/>
          <w:sz w:val="20"/>
        </w:rPr>
        <w:t>Senior Credit Facility Obligations</w:t>
      </w:r>
      <w:r>
        <w:rPr>
          <w:rFonts w:ascii="Times New Roman" w:hAnsi="Times New Roman"/>
          <w:sz w:val="20"/>
        </w:rPr>
        <w:t xml:space="preserve">” means “Obligations” as defined in the Credit Agreement. </w:t>
      </w:r>
    </w:p>
    <w:p>
      <w:pPr>
        <w:pStyle w:val="TextBody"/>
        <w:bidi w:val="0"/>
        <w:spacing w:before="240" w:after="0"/>
        <w:jc w:val="left"/>
        <w:rPr/>
      </w:pPr>
      <w:r>
        <w:rPr/>
        <w:t>“</w:t>
      </w:r>
      <w:r>
        <w:rPr>
          <w:rFonts w:ascii="Times New Roman" w:hAnsi="Times New Roman"/>
          <w:i/>
          <w:sz w:val="20"/>
        </w:rPr>
        <w:t>Senior Credit Facility Secured Parties</w:t>
      </w:r>
      <w:r>
        <w:rPr>
          <w:rFonts w:ascii="Times New Roman" w:hAnsi="Times New Roman"/>
          <w:sz w:val="20"/>
        </w:rPr>
        <w:t xml:space="preserve">” means “Secured Parties” as defined in the Credit Agreement.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xml:space="preserve">” means (a) with respect to the First Lien Secured Parties, each of (i) the Senior Credit Facility Secured Parties (in their capacities as such), (ii) the Notes Secured Parties (in their capacity as such) and (iii) the Additional First Lien Secured Parties that become subject to the First Lien Intercreditor Agreement after the Issue Date that are represented by a common representative (in its capacity as such for such Additional First Lien Secured Parties) and (b) with respect to any First Lien Obligations, each of (i) the Senior Credit Facility Obligations, (ii) the First Lien Notes Obligations and (iii) the Additional First Lien Obligations incurred pursuant to any applicable agreement, which, pursuant to any joinder agreement, are to be represented under the First Lien Intercreditor Agreement by a common representative (in its capacity as such for such Additional First Lien Obligations). </w:t>
      </w:r>
    </w:p>
    <w:p>
      <w:pPr>
        <w:pStyle w:val="TextBody"/>
        <w:bidi w:val="0"/>
        <w:spacing w:before="240" w:after="0"/>
        <w:jc w:val="left"/>
        <w:rPr/>
      </w:pPr>
      <w:r>
        <w:rPr/>
        <w:t>“</w:t>
      </w:r>
      <w:r>
        <w:rPr>
          <w:rFonts w:ascii="Times New Roman" w:hAnsi="Times New Roman"/>
          <w:i/>
          <w:sz w:val="20"/>
        </w:rPr>
        <w:t>Short Derivative Instrument</w:t>
      </w:r>
      <w:r>
        <w:rPr>
          <w:rFonts w:ascii="Times New Roman" w:hAnsi="Times New Roman"/>
          <w:sz w:val="20"/>
        </w:rPr>
        <w:t xml:space="preserve">”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means any Restricted Subsidiary that would be a “significant subsidiary” as defined in Article 1, Rule 1-02(w)(2) of Regulation S-X, promulgated pursuant to the Securities Act, as such Regulation is in effect on the Issue Date. </w:t>
      </w:r>
    </w:p>
    <w:p>
      <w:pPr>
        <w:pStyle w:val="TextBody"/>
        <w:bidi w:val="0"/>
        <w:spacing w:before="240" w:after="0"/>
        <w:jc w:val="left"/>
        <w:rPr/>
      </w:pPr>
      <w:r>
        <w:rPr/>
        <w:t>“</w:t>
      </w:r>
      <w:r>
        <w:rPr>
          <w:rFonts w:ascii="Times New Roman" w:hAnsi="Times New Roman"/>
          <w:i/>
          <w:sz w:val="20"/>
        </w:rPr>
        <w:t>Special Purpose Receivables Subsidiary</w:t>
      </w:r>
      <w:r>
        <w:rPr>
          <w:rFonts w:ascii="Times New Roman" w:hAnsi="Times New Roman"/>
          <w:sz w:val="20"/>
        </w:rPr>
        <w:t xml:space="preserve">” shall mean a subsidiary of the Company or a Restricted Subsidiary established in connection with a Permitted Receivables Financing for the acquisition of Receivables Assets or interests therein, and which is organized in a manner intended to reduce the likelihood that it would be substantively consolidated with the Company or any of the subsidiaries (other than Special Purpose Receivables Subsidiaries) in the event the Company or any such subsidiary becomes subject to a proceeding under any debtor relief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Stated Maturity</w:t>
      </w:r>
      <w:r>
        <w:rPr>
          <w:rFonts w:ascii="Times New Roman" w:hAnsi="Times New Roman"/>
          <w:sz w:val="20"/>
        </w:rPr>
        <w:t xml:space="preserve">”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specified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(2) any partnership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before="240" w:after="0"/>
        <w:jc w:val="left"/>
        <w:rPr/>
      </w:pPr>
      <w:r>
        <w:rPr/>
        <w:t>“</w:t>
      </w:r>
      <w:r>
        <w:rPr>
          <w:rFonts w:ascii="Times New Roman" w:hAnsi="Times New Roman"/>
          <w:i/>
          <w:sz w:val="20"/>
        </w:rPr>
        <w:t>Swap Contract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(excluding, for the avoidance of doubt, any option imbedded in any Convertible Indebtedness),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i/>
          <w:sz w:val="20"/>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i/>
          <w:sz w:val="20"/>
        </w:rPr>
        <w:t>Swap Obligations</w:t>
      </w:r>
      <w:r>
        <w:rPr>
          <w:rFonts w:ascii="Times New Roman" w:hAnsi="Times New Roman"/>
          <w:sz w:val="20"/>
        </w:rPr>
        <w:t xml:space="preserve">” means with respect to any Guarantor any obligation to pay or perform under any agreement, contract or transaction that constitutes a “swap” within the meaning of Section 1a(47) of the Commodity Exchange Act. For the avoidance of doubt, no obligation under any Permitted Bond Hedge Transaction or Permitted Warrant Transaction shall constitute “Swap Obligations.” </w:t>
      </w:r>
    </w:p>
    <w:p>
      <w:pPr>
        <w:pStyle w:val="TextBody"/>
        <w:bidi w:val="0"/>
        <w:spacing w:before="240" w:after="0"/>
        <w:jc w:val="left"/>
        <w:rPr/>
      </w:pPr>
      <w:r>
        <w:rPr/>
        <w:t>“</w:t>
      </w:r>
      <w:r>
        <w:rPr>
          <w:rFonts w:ascii="Times New Roman" w:hAnsi="Times New Roman"/>
          <w:i/>
          <w:sz w:val="20"/>
        </w:rPr>
        <w:t>TIA</w:t>
      </w:r>
      <w:r>
        <w:rPr>
          <w:rFonts w:ascii="Times New Roman" w:hAnsi="Times New Roman"/>
          <w:sz w:val="20"/>
        </w:rPr>
        <w:t xml:space="preserve">” means the Trust Indenture Act of 1939, as amended (15 U.S.C. §§ 77aaa-77bbbb). </w:t>
      </w:r>
    </w:p>
    <w:p>
      <w:pPr>
        <w:pStyle w:val="TextBody"/>
        <w:bidi w:val="0"/>
        <w:spacing w:before="240" w:after="0"/>
        <w:jc w:val="left"/>
        <w:rPr/>
      </w:pPr>
      <w:r>
        <w:rPr/>
        <w:t>“</w:t>
      </w:r>
      <w:r>
        <w:rPr>
          <w:rFonts w:ascii="Times New Roman" w:hAnsi="Times New Roman"/>
          <w:i/>
          <w:sz w:val="20"/>
        </w:rPr>
        <w:t>Treasury Management Arrangement</w:t>
      </w:r>
      <w:r>
        <w:rPr>
          <w:rFonts w:ascii="Times New Roman" w:hAnsi="Times New Roman"/>
          <w:sz w:val="20"/>
        </w:rPr>
        <w:t xml:space="preserve">” means any agreement or other arrangement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cash pooling or netting or setting off arrangements and other cash management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Treasury Rate</w:t>
      </w:r>
      <w:r>
        <w:rPr>
          <w:rFonts w:ascii="Times New Roman" w:hAnsi="Times New Roman"/>
          <w:sz w:val="20"/>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November 1, 2029;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period from the redemption date to November 1, 2029 is less than one year, the weekly average yield on actively traded United States Treasury securities adjusted to a constant maturity of one year will be used.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Truist Bank, until a successor replaces it in accordance with the applicable provisions of this Indenture and thereafter means the successor serving hereunder. </w:t>
      </w:r>
    </w:p>
    <w:p>
      <w:pPr>
        <w:pStyle w:val="TextBody"/>
        <w:bidi w:val="0"/>
        <w:spacing w:before="240" w:after="0"/>
        <w:jc w:val="left"/>
        <w:rPr/>
      </w:pPr>
      <w:r>
        <w:rPr/>
        <w:t>“</w:t>
      </w:r>
      <w:r>
        <w:rPr>
          <w:rFonts w:ascii="Times New Roman" w:hAnsi="Times New Roman"/>
          <w:i/>
          <w:sz w:val="20"/>
        </w:rPr>
        <w:t>Unrestricted Definitive Note</w:t>
      </w:r>
      <w:r>
        <w:rPr>
          <w:rFonts w:ascii="Times New Roman" w:hAnsi="Times New Roman"/>
          <w:sz w:val="20"/>
        </w:rPr>
        <w:t xml:space="preserve">” means a Definitive Note that does not bear and is not required to bear the Private Placement Legend. “Unrestricted Global Note” means a Global Note that does not bear and is not required to bear the Private Placement Legend.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(i) any Subsidiary of the Company that is designated by the Company as an Unrestricted Subsidiary and (ii) any Subsidiary of an Unrestricted Subsidiary. The Company may designate any Subsidiary of the Company, (including any newly acquired or newly formed Subsidiary or a Person becoming a Subsidiary through merger, consolidation or other business combination transaction, or Investment therein), to be an Unrestricted Subsidiary only if: </w:t>
      </w:r>
    </w:p>
    <w:p>
      <w:pPr>
        <w:pStyle w:val="TextBody"/>
        <w:bidi w:val="0"/>
        <w:spacing w:before="120" w:after="0"/>
        <w:jc w:val="left"/>
        <w:rPr>
          <w:rFonts w:ascii="Times New Roman" w:hAnsi="Times New Roman"/>
          <w:sz w:val="20"/>
        </w:rPr>
      </w:pPr>
      <w:r>
        <w:rPr>
          <w:rFonts w:ascii="Times New Roman" w:hAnsi="Times New Roman"/>
          <w:sz w:val="20"/>
        </w:rPr>
        <w:t xml:space="preserve">(1) at the time of such designation, such Subsidiary or any of its Subsidiaries does not own any Capital Stock of the Company or any other Subsidiary of the Company which is not a Subsidiary of the Subsidiary to be so designated or otherwise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(2) such designation and the Investment, if any, of the Company in such Subsidiary complies with Section 4.07 hereof; </w:t>
      </w:r>
    </w:p>
    <w:p>
      <w:pPr>
        <w:pStyle w:val="TextBody"/>
        <w:bidi w:val="0"/>
        <w:spacing w:before="120" w:after="0"/>
        <w:jc w:val="left"/>
        <w:rPr>
          <w:rFonts w:ascii="Times New Roman" w:hAnsi="Times New Roman"/>
          <w:sz w:val="20"/>
        </w:rPr>
      </w:pPr>
      <w:r>
        <w:rPr>
          <w:rFonts w:ascii="Times New Roman" w:hAnsi="Times New Roman"/>
          <w:sz w:val="20"/>
        </w:rPr>
        <w:t xml:space="preserve">(3) at the time of such designation, such Subsidiary has not guaranteed or is otherwise directly or indirectly providing credit support for any Indebtedness of the Company or any of its Restricted Subsidiaries (other than through the pledge of Equity Interests of such Unrestricted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(4) at the time of designation, the aggregate LTM Consolidated EBITDA of all Unrestricted Subsidiaries shall not exceed ten percent (10.0%) of the LTM Consolidated EBITDA during such period of the Company and its consolidated Subsidiaries. </w:t>
      </w:r>
    </w:p>
    <w:p>
      <w:pPr>
        <w:pStyle w:val="TextBody"/>
        <w:bidi w:val="0"/>
        <w:spacing w:before="240" w:after="0"/>
        <w:jc w:val="left"/>
        <w:rPr/>
      </w:pPr>
      <w:r>
        <w:rPr/>
        <w:t>“</w:t>
      </w:r>
      <w:r>
        <w:rPr>
          <w:rFonts w:ascii="Times New Roman" w:hAnsi="Times New Roman"/>
          <w:i/>
          <w:sz w:val="20"/>
        </w:rPr>
        <w:t>U.S. Person</w:t>
      </w:r>
      <w:r>
        <w:rPr>
          <w:rFonts w:ascii="Times New Roman" w:hAnsi="Times New Roman"/>
          <w:sz w:val="20"/>
        </w:rPr>
        <w:t xml:space="preserve">” means a U.S. Person as defined in Rule 902(k) promulgated under the Securities Act.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of any date means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i/>
          <w:sz w:val="20"/>
        </w:rPr>
        <w:t>Weighted Average Life to Maturity</w:t>
      </w:r>
      <w:r>
        <w:rPr>
          <w:rFonts w:ascii="Times New Roman" w:hAnsi="Times New Roman"/>
          <w:sz w:val="20"/>
        </w:rPr>
        <w:t xml:space="preserve">” means, when applied to any Indebtedness at any date, the number of years obtained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(1) 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 </w:t>
      </w:r>
    </w:p>
    <w:p>
      <w:pPr>
        <w:pStyle w:val="TextBody"/>
        <w:bidi w:val="0"/>
        <w:spacing w:before="120" w:after="0"/>
        <w:jc w:val="left"/>
        <w:rPr>
          <w:rFonts w:ascii="Times New Roman" w:hAnsi="Times New Roman"/>
          <w:sz w:val="20"/>
        </w:rPr>
      </w:pPr>
      <w:r>
        <w:rPr>
          <w:rFonts w:ascii="Times New Roman" w:hAnsi="Times New Roman"/>
          <w:sz w:val="20"/>
        </w:rPr>
        <w:t xml:space="preserve">(2) the then outstanding principal amount of such Indebtedness. </w:t>
      </w:r>
    </w:p>
    <w:p>
      <w:pPr>
        <w:pStyle w:val="TextBody"/>
        <w:bidi w:val="0"/>
        <w:spacing w:before="240" w:after="0"/>
        <w:jc w:val="left"/>
        <w:rPr/>
      </w:pPr>
      <w:r>
        <w:rPr/>
        <w:t>“</w:t>
      </w:r>
      <w:r>
        <w:rPr>
          <w:rFonts w:ascii="Times New Roman" w:hAnsi="Times New Roman"/>
          <w:i/>
          <w:sz w:val="20"/>
        </w:rPr>
        <w:t>Wholly Owned Subsidiary</w:t>
      </w:r>
      <w:r>
        <w:rPr>
          <w:rFonts w:ascii="Times New Roman" w:hAnsi="Times New Roman"/>
          <w:sz w:val="20"/>
        </w:rPr>
        <w:t xml:space="preserve">” means, with respect to any Person, a Subsidiary of such Person, 100% of the outstanding Capital Stock or other ownership interest of which (other than directors’ qualifying shares or shares or interests required to be held by foreign nationals or other third parties to the extent required by applicable law) shall at the time be owned by such Person or by one or more Wholly Owned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5"/>
        <w:gridCol w:w="705"/>
        <w:gridCol w:w="1795"/>
      </w:tblGrid>
      <w:tr>
        <w:trPr/>
        <w:tc>
          <w:tcPr>
            <w:tcW w:w="7705" w:type="dxa"/>
            <w:tcBorders/>
            <w:vAlign w:val="center"/>
          </w:tcPr>
          <w:p>
            <w:pPr>
              <w:pStyle w:val="TableContents"/>
              <w:bidi w:val="0"/>
              <w:spacing w:before="0" w:after="283"/>
              <w:jc w:val="left"/>
              <w:rPr>
                <w:sz w:val="4"/>
                <w:szCs w:val="4"/>
              </w:rPr>
            </w:pPr>
            <w:r>
              <w:rPr>
                <w:sz w:val="4"/>
                <w:szCs w:val="4"/>
              </w:rPr>
            </w:r>
          </w:p>
        </w:tc>
        <w:tc>
          <w:tcPr>
            <w:tcW w:w="705" w:type="dxa"/>
            <w:tcBorders/>
            <w:vAlign w:val="bottom"/>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770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705" w:type="dxa"/>
            <w:tcBorders/>
            <w:vAlign w:val="bottom"/>
          </w:tcPr>
          <w:p>
            <w:pPr>
              <w:pStyle w:val="TableContents"/>
              <w:bidi w:val="0"/>
              <w:spacing w:before="0" w:after="283"/>
              <w:jc w:val="left"/>
              <w:rPr/>
            </w:pPr>
            <w:r>
              <w:rPr/>
              <w:t>  </w:t>
            </w:r>
          </w:p>
        </w:tc>
        <w:tc>
          <w:tcPr>
            <w:tcW w:w="1795" w:type="dxa"/>
            <w:tcBorders>
              <w:bottom w:val="single" w:sz="8" w:space="0" w:color="000000"/>
            </w:tcBorders>
            <w:tcMar>
              <w:bottom w:w="28" w:type="dxa"/>
            </w:tcMar>
            <w:vAlign w:val="bottom"/>
          </w:tcPr>
          <w:p>
            <w:pPr>
              <w:pStyle w:val="TableContents"/>
              <w:bidi w:val="0"/>
              <w:spacing w:before="0" w:after="283"/>
              <w:jc w:val="center"/>
              <w:rPr/>
            </w:pPr>
            <w:r>
              <w:rPr/>
              <w:t>Defined in Section</w:t>
            </w:r>
          </w:p>
        </w:tc>
      </w:tr>
      <w:tr>
        <w:trPr/>
        <w:tc>
          <w:tcPr>
            <w:tcW w:w="7705" w:type="dxa"/>
            <w:tcBorders/>
          </w:tcPr>
          <w:p>
            <w:pPr>
              <w:pStyle w:val="TableContents"/>
              <w:bidi w:val="0"/>
              <w:spacing w:before="0" w:after="0"/>
              <w:jc w:val="left"/>
              <w:rPr/>
            </w:pPr>
            <w:r>
              <w:rPr/>
              <w:t>“</w:t>
            </w:r>
            <w:r>
              <w:rPr>
                <w:rFonts w:ascii="Times New Roman" w:hAnsi="Times New Roman"/>
                <w:sz w:val="20"/>
              </w:rPr>
              <w:t>Acceptable Commitment”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Action”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12.07</w:t>
            </w:r>
          </w:p>
        </w:tc>
      </w:tr>
      <w:tr>
        <w:trPr/>
        <w:tc>
          <w:tcPr>
            <w:tcW w:w="7705" w:type="dxa"/>
            <w:tcBorders/>
          </w:tcPr>
          <w:p>
            <w:pPr>
              <w:pStyle w:val="TableContents"/>
              <w:bidi w:val="0"/>
              <w:spacing w:before="0" w:after="0"/>
              <w:jc w:val="left"/>
              <w:rPr/>
            </w:pPr>
            <w:r>
              <w:rPr/>
              <w:t>“</w:t>
            </w:r>
            <w:r>
              <w:rPr>
                <w:rFonts w:ascii="Times New Roman" w:hAnsi="Times New Roman"/>
                <w:sz w:val="20"/>
              </w:rPr>
              <w:t>Advance Offer”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Advance Portion”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Affiliate Transaction”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4.11</w:t>
            </w:r>
          </w:p>
        </w:tc>
      </w:tr>
      <w:tr>
        <w:trPr/>
        <w:tc>
          <w:tcPr>
            <w:tcW w:w="7705" w:type="dxa"/>
            <w:tcBorders/>
          </w:tcPr>
          <w:p>
            <w:pPr>
              <w:pStyle w:val="TableContents"/>
              <w:bidi w:val="0"/>
              <w:spacing w:before="0" w:after="0"/>
              <w:jc w:val="left"/>
              <w:rPr/>
            </w:pPr>
            <w:r>
              <w:rPr/>
              <w:t>“</w:t>
            </w:r>
            <w:r>
              <w:rPr>
                <w:rFonts w:ascii="Times New Roman" w:hAnsi="Times New Roman"/>
                <w:sz w:val="20"/>
              </w:rPr>
              <w:t>Applicable Premium Deficit”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8.04</w:t>
            </w:r>
          </w:p>
        </w:tc>
      </w:tr>
      <w:tr>
        <w:trPr/>
        <w:tc>
          <w:tcPr>
            <w:tcW w:w="7705" w:type="dxa"/>
            <w:tcBorders/>
          </w:tcPr>
          <w:p>
            <w:pPr>
              <w:pStyle w:val="TableContents"/>
              <w:bidi w:val="0"/>
              <w:spacing w:before="0" w:after="0"/>
              <w:jc w:val="left"/>
              <w:rPr/>
            </w:pPr>
            <w:r>
              <w:rPr/>
              <w:t>“</w:t>
            </w:r>
            <w:r>
              <w:rPr>
                <w:rFonts w:ascii="Times New Roman" w:hAnsi="Times New Roman"/>
                <w:sz w:val="20"/>
              </w:rPr>
              <w:t>Asset Sale Offer”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3.09</w:t>
            </w:r>
          </w:p>
        </w:tc>
      </w:tr>
      <w:tr>
        <w:trPr/>
        <w:tc>
          <w:tcPr>
            <w:tcW w:w="7705" w:type="dxa"/>
            <w:tcBorders/>
          </w:tcPr>
          <w:p>
            <w:pPr>
              <w:pStyle w:val="TableContents"/>
              <w:bidi w:val="0"/>
              <w:spacing w:before="0" w:after="0"/>
              <w:jc w:val="left"/>
              <w:rPr/>
            </w:pPr>
            <w:r>
              <w:rPr/>
              <w:t>“</w:t>
            </w:r>
            <w:r>
              <w:rPr>
                <w:rFonts w:ascii="Times New Roman" w:hAnsi="Times New Roman"/>
                <w:sz w:val="20"/>
              </w:rPr>
              <w:t>Authentication Order”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2.02</w:t>
            </w:r>
          </w:p>
        </w:tc>
      </w:tr>
      <w:tr>
        <w:trPr/>
        <w:tc>
          <w:tcPr>
            <w:tcW w:w="7705" w:type="dxa"/>
            <w:tcBorders/>
          </w:tcPr>
          <w:p>
            <w:pPr>
              <w:pStyle w:val="TableContents"/>
              <w:bidi w:val="0"/>
              <w:spacing w:before="0" w:after="0"/>
              <w:jc w:val="left"/>
              <w:rPr/>
            </w:pPr>
            <w:r>
              <w:rPr/>
              <w:t>“</w:t>
            </w:r>
            <w:r>
              <w:rPr>
                <w:rFonts w:ascii="Times New Roman" w:hAnsi="Times New Roman"/>
                <w:sz w:val="20"/>
              </w:rPr>
              <w:t>CERCLA”</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12.07</w:t>
            </w:r>
          </w:p>
        </w:tc>
      </w:tr>
      <w:tr>
        <w:trPr/>
        <w:tc>
          <w:tcPr>
            <w:tcW w:w="7705" w:type="dxa"/>
            <w:tcBorders/>
          </w:tcPr>
          <w:p>
            <w:pPr>
              <w:pStyle w:val="TableContents"/>
              <w:bidi w:val="0"/>
              <w:spacing w:before="0" w:after="0"/>
              <w:jc w:val="left"/>
              <w:rPr/>
            </w:pPr>
            <w:r>
              <w:rPr/>
              <w:t>“</w:t>
            </w:r>
            <w:r>
              <w:rPr>
                <w:rFonts w:ascii="Times New Roman" w:hAnsi="Times New Roman"/>
                <w:sz w:val="20"/>
              </w:rPr>
              <w:t>Change of Control Offer”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4.14</w:t>
            </w:r>
          </w:p>
        </w:tc>
      </w:tr>
      <w:tr>
        <w:trPr/>
        <w:tc>
          <w:tcPr>
            <w:tcW w:w="7705" w:type="dxa"/>
            <w:tcBorders/>
          </w:tcPr>
          <w:p>
            <w:pPr>
              <w:pStyle w:val="TableContents"/>
              <w:bidi w:val="0"/>
              <w:spacing w:before="0" w:after="0"/>
              <w:jc w:val="left"/>
              <w:rPr/>
            </w:pPr>
            <w:r>
              <w:rPr/>
              <w:t>“</w:t>
            </w:r>
            <w:r>
              <w:rPr>
                <w:rFonts w:ascii="Times New Roman" w:hAnsi="Times New Roman"/>
                <w:sz w:val="20"/>
              </w:rPr>
              <w:t>Change of Control Payment Date”</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4.14</w:t>
            </w:r>
          </w:p>
        </w:tc>
      </w:tr>
      <w:tr>
        <w:trPr/>
        <w:tc>
          <w:tcPr>
            <w:tcW w:w="7705" w:type="dxa"/>
            <w:tcBorders/>
          </w:tcPr>
          <w:p>
            <w:pPr>
              <w:pStyle w:val="TableContents"/>
              <w:bidi w:val="0"/>
              <w:spacing w:before="0" w:after="0"/>
              <w:jc w:val="left"/>
              <w:rPr/>
            </w:pPr>
            <w:r>
              <w:rPr/>
              <w:t>“</w:t>
            </w:r>
            <w:r>
              <w:rPr>
                <w:rFonts w:ascii="Times New Roman" w:hAnsi="Times New Roman"/>
                <w:sz w:val="20"/>
              </w:rPr>
              <w:t>Change of Control Payment”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4.14</w:t>
            </w:r>
          </w:p>
        </w:tc>
      </w:tr>
      <w:tr>
        <w:trPr/>
        <w:tc>
          <w:tcPr>
            <w:tcW w:w="7705" w:type="dxa"/>
            <w:tcBorders/>
          </w:tcPr>
          <w:p>
            <w:pPr>
              <w:pStyle w:val="TableContents"/>
              <w:bidi w:val="0"/>
              <w:spacing w:before="0" w:after="0"/>
              <w:jc w:val="left"/>
              <w:rPr/>
            </w:pPr>
            <w:r>
              <w:rPr/>
              <w:t>“</w:t>
            </w:r>
            <w:r>
              <w:rPr>
                <w:rFonts w:ascii="Times New Roman" w:hAnsi="Times New Roman"/>
                <w:sz w:val="20"/>
              </w:rPr>
              <w:t>Collateral Advance Offer”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Collateral Advance Portion”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Collateral Asset Sale Offer”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Collateral Excess Proceeds”</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Covenant Defeasance”</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8.03</w:t>
            </w:r>
          </w:p>
        </w:tc>
      </w:tr>
      <w:tr>
        <w:trPr/>
        <w:tc>
          <w:tcPr>
            <w:tcW w:w="7705" w:type="dxa"/>
            <w:tcBorders/>
          </w:tcPr>
          <w:p>
            <w:pPr>
              <w:pStyle w:val="TableContents"/>
              <w:bidi w:val="0"/>
              <w:spacing w:before="0" w:after="0"/>
              <w:jc w:val="left"/>
              <w:rPr/>
            </w:pPr>
            <w:r>
              <w:rPr/>
              <w:t>“</w:t>
            </w:r>
            <w:r>
              <w:rPr>
                <w:rFonts w:ascii="Times New Roman" w:hAnsi="Times New Roman"/>
                <w:sz w:val="20"/>
              </w:rPr>
              <w:t>Declined Collateral Proceeds”</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Declined Excess Proceeds”</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Directing Holder”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6.02</w:t>
            </w:r>
          </w:p>
        </w:tc>
      </w:tr>
      <w:tr>
        <w:trPr/>
        <w:tc>
          <w:tcPr>
            <w:tcW w:w="7705" w:type="dxa"/>
            <w:tcBorders/>
          </w:tcPr>
          <w:p>
            <w:pPr>
              <w:pStyle w:val="TableContents"/>
              <w:bidi w:val="0"/>
              <w:spacing w:before="0" w:after="0"/>
              <w:jc w:val="left"/>
              <w:rPr/>
            </w:pPr>
            <w:r>
              <w:rPr/>
              <w:t>“</w:t>
            </w:r>
            <w:r>
              <w:rPr>
                <w:rFonts w:ascii="Times New Roman" w:hAnsi="Times New Roman"/>
                <w:sz w:val="20"/>
              </w:rPr>
              <w:t>DTC”</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2.03</w:t>
            </w:r>
          </w:p>
        </w:tc>
      </w:tr>
      <w:tr>
        <w:trPr/>
        <w:tc>
          <w:tcPr>
            <w:tcW w:w="7705" w:type="dxa"/>
            <w:tcBorders/>
          </w:tcPr>
          <w:p>
            <w:pPr>
              <w:pStyle w:val="TableContents"/>
              <w:bidi w:val="0"/>
              <w:spacing w:before="0" w:after="0"/>
              <w:jc w:val="left"/>
              <w:rPr/>
            </w:pPr>
            <w:r>
              <w:rPr/>
              <w:t>“</w:t>
            </w:r>
            <w:r>
              <w:rPr>
                <w:rFonts w:ascii="Times New Roman" w:hAnsi="Times New Roman"/>
                <w:sz w:val="20"/>
              </w:rPr>
              <w:t>Event of Default”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6.01</w:t>
            </w:r>
          </w:p>
        </w:tc>
      </w:tr>
      <w:tr>
        <w:trPr/>
        <w:tc>
          <w:tcPr>
            <w:tcW w:w="7705" w:type="dxa"/>
            <w:tcBorders/>
          </w:tcPr>
          <w:p>
            <w:pPr>
              <w:pStyle w:val="TableContents"/>
              <w:bidi w:val="0"/>
              <w:spacing w:before="0" w:after="0"/>
              <w:jc w:val="left"/>
              <w:rPr/>
            </w:pPr>
            <w:r>
              <w:rPr/>
              <w:t>“</w:t>
            </w:r>
            <w:r>
              <w:rPr>
                <w:rFonts w:ascii="Times New Roman" w:hAnsi="Times New Roman"/>
                <w:sz w:val="20"/>
              </w:rPr>
              <w:t>Excess Proceeds”</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fixed baskets”</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1.06</w:t>
            </w:r>
          </w:p>
        </w:tc>
      </w:tr>
      <w:tr>
        <w:trPr/>
        <w:tc>
          <w:tcPr>
            <w:tcW w:w="7705" w:type="dxa"/>
            <w:tcBorders/>
          </w:tcPr>
          <w:p>
            <w:pPr>
              <w:pStyle w:val="TableContents"/>
              <w:bidi w:val="0"/>
              <w:spacing w:before="0" w:after="0"/>
              <w:jc w:val="left"/>
              <w:rPr/>
            </w:pPr>
            <w:r>
              <w:rPr/>
              <w:t>“</w:t>
            </w:r>
            <w:r>
              <w:rPr>
                <w:rFonts w:ascii="Times New Roman" w:hAnsi="Times New Roman"/>
                <w:sz w:val="20"/>
              </w:rPr>
              <w:t>Increased Amount”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4.12</w:t>
            </w:r>
          </w:p>
        </w:tc>
      </w:tr>
      <w:tr>
        <w:trPr/>
        <w:tc>
          <w:tcPr>
            <w:tcW w:w="7705" w:type="dxa"/>
            <w:tcBorders/>
          </w:tcPr>
          <w:p>
            <w:pPr>
              <w:pStyle w:val="TableContents"/>
              <w:bidi w:val="0"/>
              <w:spacing w:before="0" w:after="0"/>
              <w:jc w:val="left"/>
              <w:rPr/>
            </w:pPr>
            <w:r>
              <w:rPr/>
              <w:t>“</w:t>
            </w:r>
            <w:r>
              <w:rPr>
                <w:rFonts w:ascii="Times New Roman" w:hAnsi="Times New Roman"/>
                <w:sz w:val="20"/>
              </w:rPr>
              <w:t>incur”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4.09</w:t>
            </w:r>
          </w:p>
        </w:tc>
      </w:tr>
      <w:tr>
        <w:trPr/>
        <w:tc>
          <w:tcPr>
            <w:tcW w:w="7705" w:type="dxa"/>
            <w:tcBorders/>
          </w:tcPr>
          <w:p>
            <w:pPr>
              <w:pStyle w:val="TableContents"/>
              <w:bidi w:val="0"/>
              <w:spacing w:before="0" w:after="0"/>
              <w:jc w:val="left"/>
              <w:rPr/>
            </w:pPr>
            <w:r>
              <w:rPr/>
              <w:t>“</w:t>
            </w:r>
            <w:r>
              <w:rPr>
                <w:rFonts w:ascii="Times New Roman" w:hAnsi="Times New Roman"/>
                <w:sz w:val="20"/>
              </w:rPr>
              <w:t>Initial Default”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6.04</w:t>
            </w:r>
          </w:p>
        </w:tc>
      </w:tr>
      <w:tr>
        <w:trPr/>
        <w:tc>
          <w:tcPr>
            <w:tcW w:w="7705" w:type="dxa"/>
            <w:tcBorders/>
          </w:tcPr>
          <w:p>
            <w:pPr>
              <w:pStyle w:val="TableContents"/>
              <w:bidi w:val="0"/>
              <w:spacing w:before="0" w:after="0"/>
              <w:jc w:val="left"/>
              <w:rPr/>
            </w:pPr>
            <w:r>
              <w:rPr/>
              <w:t>“</w:t>
            </w:r>
            <w:r>
              <w:rPr>
                <w:rFonts w:ascii="Times New Roman" w:hAnsi="Times New Roman"/>
                <w:sz w:val="20"/>
              </w:rPr>
              <w:t>Initial Lien”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4.12</w:t>
            </w:r>
          </w:p>
        </w:tc>
      </w:tr>
      <w:tr>
        <w:trPr/>
        <w:tc>
          <w:tcPr>
            <w:tcW w:w="7705" w:type="dxa"/>
            <w:tcBorders/>
          </w:tcPr>
          <w:p>
            <w:pPr>
              <w:pStyle w:val="TableContents"/>
              <w:bidi w:val="0"/>
              <w:spacing w:before="0" w:after="0"/>
              <w:jc w:val="left"/>
              <w:rPr/>
            </w:pPr>
            <w:r>
              <w:rPr/>
              <w:t>“</w:t>
            </w:r>
            <w:r>
              <w:rPr>
                <w:rFonts w:ascii="Times New Roman" w:hAnsi="Times New Roman"/>
                <w:sz w:val="20"/>
              </w:rPr>
              <w:t>Investment Grade Status”</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4.18</w:t>
            </w:r>
          </w:p>
        </w:tc>
      </w:tr>
      <w:tr>
        <w:trPr/>
        <w:tc>
          <w:tcPr>
            <w:tcW w:w="7705" w:type="dxa"/>
            <w:tcBorders/>
          </w:tcPr>
          <w:p>
            <w:pPr>
              <w:pStyle w:val="TableContents"/>
              <w:bidi w:val="0"/>
              <w:spacing w:before="0" w:after="0"/>
              <w:jc w:val="left"/>
              <w:rPr/>
            </w:pPr>
            <w:r>
              <w:rPr/>
              <w:t>“</w:t>
            </w:r>
            <w:r>
              <w:rPr>
                <w:rFonts w:ascii="Times New Roman" w:hAnsi="Times New Roman"/>
                <w:sz w:val="20"/>
              </w:rPr>
              <w:t>LCT Election”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1.05</w:t>
            </w:r>
          </w:p>
        </w:tc>
      </w:tr>
      <w:tr>
        <w:trPr/>
        <w:tc>
          <w:tcPr>
            <w:tcW w:w="7705" w:type="dxa"/>
            <w:tcBorders/>
          </w:tcPr>
          <w:p>
            <w:pPr>
              <w:pStyle w:val="TableContents"/>
              <w:bidi w:val="0"/>
              <w:spacing w:before="0" w:after="0"/>
              <w:jc w:val="left"/>
              <w:rPr/>
            </w:pPr>
            <w:r>
              <w:rPr/>
              <w:t>“</w:t>
            </w:r>
            <w:r>
              <w:rPr>
                <w:rFonts w:ascii="Times New Roman" w:hAnsi="Times New Roman"/>
                <w:sz w:val="20"/>
              </w:rPr>
              <w:t>LCT Test Date”</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1.05</w:t>
            </w:r>
          </w:p>
        </w:tc>
      </w:tr>
      <w:tr>
        <w:trPr/>
        <w:tc>
          <w:tcPr>
            <w:tcW w:w="7705" w:type="dxa"/>
            <w:tcBorders/>
          </w:tcPr>
          <w:p>
            <w:pPr>
              <w:pStyle w:val="TableContents"/>
              <w:bidi w:val="0"/>
              <w:spacing w:before="0" w:after="0"/>
              <w:jc w:val="left"/>
              <w:rPr/>
            </w:pPr>
            <w:r>
              <w:rPr/>
              <w:t>“</w:t>
            </w:r>
            <w:r>
              <w:rPr>
                <w:rFonts w:ascii="Times New Roman" w:hAnsi="Times New Roman"/>
                <w:sz w:val="20"/>
              </w:rPr>
              <w:t>Legal Defeasance”</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8.02</w:t>
            </w:r>
          </w:p>
        </w:tc>
      </w:tr>
      <w:tr>
        <w:trPr/>
        <w:tc>
          <w:tcPr>
            <w:tcW w:w="7705" w:type="dxa"/>
            <w:tcBorders/>
          </w:tcPr>
          <w:p>
            <w:pPr>
              <w:pStyle w:val="TableContents"/>
              <w:bidi w:val="0"/>
              <w:spacing w:before="0" w:after="0"/>
              <w:jc w:val="left"/>
              <w:rPr/>
            </w:pPr>
            <w:r>
              <w:rPr/>
              <w:t>“</w:t>
            </w:r>
            <w:r>
              <w:rPr>
                <w:rFonts w:ascii="Times New Roman" w:hAnsi="Times New Roman"/>
                <w:sz w:val="20"/>
              </w:rPr>
              <w:t>Noteholder Direction”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6.02</w:t>
            </w:r>
          </w:p>
        </w:tc>
      </w:tr>
      <w:tr>
        <w:trPr/>
        <w:tc>
          <w:tcPr>
            <w:tcW w:w="7705" w:type="dxa"/>
            <w:tcBorders/>
          </w:tcPr>
          <w:p>
            <w:pPr>
              <w:pStyle w:val="TableContents"/>
              <w:bidi w:val="0"/>
              <w:spacing w:before="0" w:after="0"/>
              <w:jc w:val="left"/>
              <w:rPr/>
            </w:pPr>
            <w:r>
              <w:rPr/>
              <w:t>“</w:t>
            </w:r>
            <w:r>
              <w:rPr>
                <w:rFonts w:ascii="Times New Roman" w:hAnsi="Times New Roman"/>
                <w:sz w:val="20"/>
              </w:rPr>
              <w:t>Notice”</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13.12</w:t>
            </w:r>
          </w:p>
        </w:tc>
      </w:tr>
      <w:tr>
        <w:trPr/>
        <w:tc>
          <w:tcPr>
            <w:tcW w:w="7705" w:type="dxa"/>
            <w:tcBorders/>
          </w:tcPr>
          <w:p>
            <w:pPr>
              <w:pStyle w:val="TableContents"/>
              <w:bidi w:val="0"/>
              <w:spacing w:before="0" w:after="0"/>
              <w:jc w:val="left"/>
              <w:rPr/>
            </w:pPr>
            <w:r>
              <w:rPr/>
              <w:t>“</w:t>
            </w:r>
            <w:r>
              <w:rPr>
                <w:rFonts w:ascii="Times New Roman" w:hAnsi="Times New Roman"/>
                <w:sz w:val="20"/>
              </w:rPr>
              <w:t>Offer Amount”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3.09</w:t>
            </w:r>
          </w:p>
        </w:tc>
      </w:tr>
      <w:tr>
        <w:trPr/>
        <w:tc>
          <w:tcPr>
            <w:tcW w:w="7705" w:type="dxa"/>
            <w:tcBorders/>
          </w:tcPr>
          <w:p>
            <w:pPr>
              <w:pStyle w:val="TableContents"/>
              <w:bidi w:val="0"/>
              <w:spacing w:before="0" w:after="0"/>
              <w:jc w:val="left"/>
              <w:rPr/>
            </w:pPr>
            <w:r>
              <w:rPr/>
              <w:t>“</w:t>
            </w:r>
            <w:r>
              <w:rPr>
                <w:rFonts w:ascii="Times New Roman" w:hAnsi="Times New Roman"/>
                <w:sz w:val="20"/>
              </w:rPr>
              <w:t>Offer Period”</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3.09</w:t>
            </w:r>
          </w:p>
        </w:tc>
      </w:tr>
      <w:tr>
        <w:trPr/>
        <w:tc>
          <w:tcPr>
            <w:tcW w:w="7705" w:type="dxa"/>
            <w:tcBorders/>
          </w:tcPr>
          <w:p>
            <w:pPr>
              <w:pStyle w:val="TableContents"/>
              <w:bidi w:val="0"/>
              <w:spacing w:before="0" w:after="0"/>
              <w:jc w:val="left"/>
              <w:rPr/>
            </w:pPr>
            <w:r>
              <w:rPr/>
              <w:t>“</w:t>
            </w:r>
            <w:r>
              <w:rPr>
                <w:rFonts w:ascii="Times New Roman" w:hAnsi="Times New Roman"/>
                <w:sz w:val="20"/>
              </w:rPr>
              <w:t>Paying Agent”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2.03</w:t>
            </w:r>
          </w:p>
        </w:tc>
      </w:tr>
      <w:tr>
        <w:trPr/>
        <w:tc>
          <w:tcPr>
            <w:tcW w:w="7705" w:type="dxa"/>
            <w:tcBorders/>
          </w:tcPr>
          <w:p>
            <w:pPr>
              <w:pStyle w:val="TableContents"/>
              <w:bidi w:val="0"/>
              <w:spacing w:before="0" w:after="0"/>
              <w:jc w:val="left"/>
              <w:rPr/>
            </w:pPr>
            <w:r>
              <w:rPr/>
              <w:t>“</w:t>
            </w:r>
            <w:r>
              <w:rPr>
                <w:rFonts w:ascii="Times New Roman" w:hAnsi="Times New Roman"/>
                <w:sz w:val="20"/>
              </w:rPr>
              <w:t>Payment Default”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6.01</w:t>
            </w:r>
          </w:p>
        </w:tc>
      </w:tr>
      <w:tr>
        <w:trPr/>
        <w:tc>
          <w:tcPr>
            <w:tcW w:w="7705" w:type="dxa"/>
            <w:tcBorders/>
          </w:tcPr>
          <w:p>
            <w:pPr>
              <w:pStyle w:val="TableContents"/>
              <w:bidi w:val="0"/>
              <w:spacing w:before="0" w:after="0"/>
              <w:jc w:val="left"/>
              <w:rPr/>
            </w:pPr>
            <w:r>
              <w:rPr/>
              <w:t>“</w:t>
            </w:r>
            <w:r>
              <w:rPr>
                <w:rFonts w:ascii="Times New Roman" w:hAnsi="Times New Roman"/>
                <w:sz w:val="20"/>
              </w:rPr>
              <w:t>Permitted Debt”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4.09</w:t>
            </w:r>
          </w:p>
        </w:tc>
      </w:tr>
      <w:tr>
        <w:trPr/>
        <w:tc>
          <w:tcPr>
            <w:tcW w:w="7705" w:type="dxa"/>
            <w:tcBorders/>
          </w:tcPr>
          <w:p>
            <w:pPr>
              <w:pStyle w:val="TableContents"/>
              <w:bidi w:val="0"/>
              <w:spacing w:before="0" w:after="0"/>
              <w:jc w:val="left"/>
              <w:rPr/>
            </w:pPr>
            <w:r>
              <w:rPr/>
              <w:t>“</w:t>
            </w:r>
            <w:r>
              <w:rPr>
                <w:rFonts w:ascii="Times New Roman" w:hAnsi="Times New Roman"/>
                <w:sz w:val="20"/>
              </w:rPr>
              <w:t>Position Representation”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6.02</w:t>
            </w:r>
          </w:p>
        </w:tc>
      </w:tr>
      <w:tr>
        <w:trPr/>
        <w:tc>
          <w:tcPr>
            <w:tcW w:w="7705" w:type="dxa"/>
            <w:tcBorders/>
          </w:tcPr>
          <w:p>
            <w:pPr>
              <w:pStyle w:val="TableContents"/>
              <w:bidi w:val="0"/>
              <w:spacing w:before="0" w:after="0"/>
              <w:jc w:val="left"/>
              <w:rPr/>
            </w:pPr>
            <w:r>
              <w:rPr/>
              <w:t>“</w:t>
            </w:r>
            <w:r>
              <w:rPr>
                <w:rFonts w:ascii="Times New Roman" w:hAnsi="Times New Roman"/>
                <w:sz w:val="20"/>
              </w:rPr>
              <w:t>Proceeds Application Period”</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4.10</w:t>
            </w:r>
          </w:p>
        </w:tc>
      </w:tr>
      <w:tr>
        <w:trPr/>
        <w:tc>
          <w:tcPr>
            <w:tcW w:w="7705" w:type="dxa"/>
            <w:tcBorders/>
          </w:tcPr>
          <w:p>
            <w:pPr>
              <w:pStyle w:val="TableContents"/>
              <w:bidi w:val="0"/>
              <w:spacing w:before="0" w:after="0"/>
              <w:jc w:val="left"/>
              <w:rPr/>
            </w:pPr>
            <w:r>
              <w:rPr/>
              <w:t>“</w:t>
            </w:r>
            <w:r>
              <w:rPr>
                <w:rFonts w:ascii="Times New Roman" w:hAnsi="Times New Roman"/>
                <w:sz w:val="20"/>
              </w:rPr>
              <w:t>Purchase Date”</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3.09</w:t>
            </w:r>
          </w:p>
        </w:tc>
      </w:tr>
      <w:tr>
        <w:trPr/>
        <w:tc>
          <w:tcPr>
            <w:tcW w:w="7705" w:type="dxa"/>
            <w:tcBorders/>
          </w:tcPr>
          <w:p>
            <w:pPr>
              <w:pStyle w:val="TableContents"/>
              <w:bidi w:val="0"/>
              <w:spacing w:before="0" w:after="0"/>
              <w:jc w:val="left"/>
              <w:rPr/>
            </w:pPr>
            <w:r>
              <w:rPr/>
              <w:t>“</w:t>
            </w:r>
            <w:r>
              <w:rPr>
                <w:rFonts w:ascii="Times New Roman" w:hAnsi="Times New Roman"/>
                <w:sz w:val="20"/>
              </w:rPr>
              <w:t>ratio-based basket”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1.06</w:t>
            </w:r>
          </w:p>
        </w:tc>
      </w:tr>
      <w:tr>
        <w:trPr/>
        <w:tc>
          <w:tcPr>
            <w:tcW w:w="7705" w:type="dxa"/>
            <w:tcBorders/>
          </w:tcPr>
          <w:p>
            <w:pPr>
              <w:pStyle w:val="TableContents"/>
              <w:bidi w:val="0"/>
              <w:spacing w:before="0" w:after="0"/>
              <w:jc w:val="left"/>
              <w:rPr/>
            </w:pPr>
            <w:r>
              <w:rPr/>
              <w:t>“</w:t>
            </w:r>
            <w:r>
              <w:rPr>
                <w:rFonts w:ascii="Times New Roman" w:hAnsi="Times New Roman"/>
                <w:sz w:val="20"/>
              </w:rPr>
              <w:t>Registrar”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2.03</w:t>
            </w:r>
          </w:p>
        </w:tc>
      </w:tr>
      <w:tr>
        <w:trPr/>
        <w:tc>
          <w:tcPr>
            <w:tcW w:w="7705" w:type="dxa"/>
            <w:tcBorders/>
          </w:tcPr>
          <w:p>
            <w:pPr>
              <w:pStyle w:val="TableContents"/>
              <w:bidi w:val="0"/>
              <w:spacing w:before="0" w:after="0"/>
              <w:jc w:val="left"/>
              <w:rPr/>
            </w:pPr>
            <w:r>
              <w:rPr/>
              <w:t>“</w:t>
            </w:r>
            <w:r>
              <w:rPr>
                <w:rFonts w:ascii="Times New Roman" w:hAnsi="Times New Roman"/>
                <w:sz w:val="20"/>
              </w:rPr>
              <w:t>Related Person”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12.07</w:t>
            </w:r>
          </w:p>
        </w:tc>
      </w:tr>
      <w:tr>
        <w:trPr/>
        <w:tc>
          <w:tcPr>
            <w:tcW w:w="7705" w:type="dxa"/>
            <w:tcBorders/>
          </w:tcPr>
          <w:p>
            <w:pPr>
              <w:pStyle w:val="TableContents"/>
              <w:bidi w:val="0"/>
              <w:spacing w:before="0" w:after="0"/>
              <w:jc w:val="left"/>
              <w:rPr/>
            </w:pPr>
            <w:r>
              <w:rPr/>
              <w:t>“</w:t>
            </w:r>
            <w:r>
              <w:rPr>
                <w:rFonts w:ascii="Times New Roman" w:hAnsi="Times New Roman"/>
                <w:sz w:val="20"/>
              </w:rPr>
              <w:t>Relevant Transaction”</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1.06</w:t>
            </w:r>
          </w:p>
        </w:tc>
      </w:tr>
      <w:tr>
        <w:trPr/>
        <w:tc>
          <w:tcPr>
            <w:tcW w:w="7705" w:type="dxa"/>
            <w:tcBorders/>
          </w:tcPr>
          <w:p>
            <w:pPr>
              <w:pStyle w:val="TableContents"/>
              <w:bidi w:val="0"/>
              <w:spacing w:before="0" w:after="0"/>
              <w:jc w:val="left"/>
              <w:rPr/>
            </w:pPr>
            <w:r>
              <w:rPr/>
              <w:t>“</w:t>
            </w:r>
            <w:r>
              <w:rPr>
                <w:rFonts w:ascii="Times New Roman" w:hAnsi="Times New Roman"/>
                <w:sz w:val="20"/>
              </w:rPr>
              <w:t>Reserved Indebtedness Amount”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4.09</w:t>
            </w:r>
          </w:p>
        </w:tc>
      </w:tr>
      <w:tr>
        <w:trPr/>
        <w:tc>
          <w:tcPr>
            <w:tcW w:w="7705" w:type="dxa"/>
            <w:tcBorders/>
          </w:tcPr>
          <w:p>
            <w:pPr>
              <w:pStyle w:val="TableContents"/>
              <w:bidi w:val="0"/>
              <w:spacing w:before="0" w:after="0"/>
              <w:jc w:val="left"/>
              <w:rPr/>
            </w:pPr>
            <w:r>
              <w:rPr/>
              <w:t>“</w:t>
            </w:r>
            <w:r>
              <w:rPr>
                <w:rFonts w:ascii="Times New Roman" w:hAnsi="Times New Roman"/>
                <w:sz w:val="20"/>
              </w:rPr>
              <w:t>Restricted Payments”</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4.07</w:t>
            </w:r>
          </w:p>
        </w:tc>
      </w:tr>
      <w:tr>
        <w:trPr/>
        <w:tc>
          <w:tcPr>
            <w:tcW w:w="7705" w:type="dxa"/>
            <w:tcBorders/>
          </w:tcPr>
          <w:p>
            <w:pPr>
              <w:pStyle w:val="TableContents"/>
              <w:bidi w:val="0"/>
              <w:spacing w:before="0" w:after="0"/>
              <w:jc w:val="left"/>
              <w:rPr/>
            </w:pPr>
            <w:r>
              <w:rPr/>
              <w:t>“</w:t>
            </w:r>
            <w:r>
              <w:rPr>
                <w:rFonts w:ascii="Times New Roman" w:hAnsi="Times New Roman"/>
                <w:sz w:val="20"/>
              </w:rPr>
              <w:t>Reversion Date”</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4.18</w:t>
            </w:r>
          </w:p>
        </w:tc>
      </w:tr>
      <w:tr>
        <w:trPr/>
        <w:tc>
          <w:tcPr>
            <w:tcW w:w="7705" w:type="dxa"/>
            <w:tcBorders/>
          </w:tcPr>
          <w:p>
            <w:pPr>
              <w:pStyle w:val="TableContents"/>
              <w:bidi w:val="0"/>
              <w:spacing w:before="0" w:after="0"/>
              <w:jc w:val="left"/>
              <w:rPr/>
            </w:pPr>
            <w:r>
              <w:rPr/>
              <w:t>“</w:t>
            </w:r>
            <w:r>
              <w:rPr>
                <w:rFonts w:ascii="Times New Roman" w:hAnsi="Times New Roman"/>
                <w:sz w:val="20"/>
              </w:rPr>
              <w:t>Security Document Order”</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12.07</w:t>
            </w:r>
          </w:p>
        </w:tc>
      </w:tr>
      <w:tr>
        <w:trPr/>
        <w:tc>
          <w:tcPr>
            <w:tcW w:w="7705" w:type="dxa"/>
            <w:tcBorders/>
          </w:tcPr>
          <w:p>
            <w:pPr>
              <w:pStyle w:val="TableContents"/>
              <w:bidi w:val="0"/>
              <w:spacing w:before="0" w:after="0"/>
              <w:jc w:val="left"/>
              <w:rPr/>
            </w:pPr>
            <w:r>
              <w:rPr/>
              <w:t>“</w:t>
            </w:r>
            <w:r>
              <w:rPr>
                <w:rFonts w:ascii="Times New Roman" w:hAnsi="Times New Roman"/>
                <w:sz w:val="20"/>
              </w:rPr>
              <w:t>Suspended Covenants”</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4.18</w:t>
            </w:r>
          </w:p>
        </w:tc>
      </w:tr>
      <w:tr>
        <w:trPr/>
        <w:tc>
          <w:tcPr>
            <w:tcW w:w="7705" w:type="dxa"/>
            <w:tcBorders/>
          </w:tcPr>
          <w:p>
            <w:pPr>
              <w:pStyle w:val="TableContents"/>
              <w:bidi w:val="0"/>
              <w:spacing w:before="0" w:after="0"/>
              <w:jc w:val="left"/>
              <w:rPr/>
            </w:pPr>
            <w:r>
              <w:rPr/>
              <w:t>“</w:t>
            </w:r>
            <w:r>
              <w:rPr>
                <w:rFonts w:ascii="Times New Roman" w:hAnsi="Times New Roman"/>
                <w:sz w:val="20"/>
              </w:rPr>
              <w:t>Suspension Period”</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4.18</w:t>
            </w:r>
          </w:p>
        </w:tc>
      </w:tr>
      <w:tr>
        <w:trPr/>
        <w:tc>
          <w:tcPr>
            <w:tcW w:w="7705" w:type="dxa"/>
            <w:tcBorders/>
          </w:tcPr>
          <w:p>
            <w:pPr>
              <w:pStyle w:val="TableContents"/>
              <w:bidi w:val="0"/>
              <w:spacing w:before="0" w:after="0"/>
              <w:jc w:val="left"/>
              <w:rPr/>
            </w:pPr>
            <w:r>
              <w:rPr/>
              <w:t>“</w:t>
            </w:r>
            <w:r>
              <w:rPr>
                <w:rFonts w:ascii="Times New Roman" w:hAnsi="Times New Roman"/>
                <w:sz w:val="20"/>
              </w:rPr>
              <w:t>Verification Covenant”</w:t>
            </w:r>
          </w:p>
        </w:tc>
        <w:tc>
          <w:tcPr>
            <w:tcW w:w="70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center"/>
              <w:rPr/>
            </w:pPr>
            <w:r>
              <w:rPr/>
              <w:t>6.02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Inapplicability of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provisions of the TIA are incorporated by reference in or made a part of this Indenture unless explicitly incorporated by reference. Unless specifically provided in this Indenture, no terms that are defined under the TIA have such meanings for purposes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(2)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(3)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(4) the term “including” is not limiting; </w:t>
      </w:r>
    </w:p>
    <w:p>
      <w:pPr>
        <w:pStyle w:val="TextBody"/>
        <w:bidi w:val="0"/>
        <w:spacing w:before="120" w:after="0"/>
        <w:jc w:val="left"/>
        <w:rPr>
          <w:rFonts w:ascii="Times New Roman" w:hAnsi="Times New Roman"/>
          <w:sz w:val="20"/>
        </w:rPr>
      </w:pPr>
      <w:r>
        <w:rPr>
          <w:rFonts w:ascii="Times New Roman" w:hAnsi="Times New Roman"/>
          <w:sz w:val="20"/>
        </w:rPr>
        <w:t xml:space="preserve">(5)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(6) “will” shall be interpreted to express a command; </w:t>
      </w:r>
    </w:p>
    <w:p>
      <w:pPr>
        <w:pStyle w:val="TextBody"/>
        <w:bidi w:val="0"/>
        <w:spacing w:before="120" w:after="0"/>
        <w:jc w:val="left"/>
        <w:rPr>
          <w:rFonts w:ascii="Times New Roman" w:hAnsi="Times New Roman"/>
          <w:sz w:val="20"/>
        </w:rPr>
      </w:pPr>
      <w:r>
        <w:rPr>
          <w:rFonts w:ascii="Times New Roman" w:hAnsi="Times New Roman"/>
          <w:sz w:val="20"/>
        </w:rPr>
        <w:t xml:space="preserve">(7) provisions apply to successive events and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(8) references to sections of or rules under the Securities Act will be deemed to include substitute, replacement or successor sections or rules adopted by the SEC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i/>
          <w:sz w:val="20"/>
        </w:rPr>
        <w:t>Limited Condition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issuance or assumption of Indebtedness, Disqualified Stock and the use of proceeds thereof, the incurrence or creation of Liens, repayments, Restricted Payments and Asset Sales), in each case, at the option of the Company (the Company’s election to exercise such option, an “</w:t>
      </w:r>
      <w:r>
        <w:rPr>
          <w:rFonts w:ascii="Times New Roman" w:hAnsi="Times New Roman"/>
          <w:i/>
          <w:sz w:val="20"/>
        </w:rPr>
        <w:t>LCT Election</w:t>
      </w:r>
      <w:r>
        <w:rPr>
          <w:rFonts w:ascii="Times New Roman" w:hAnsi="Times New Roman"/>
          <w:sz w:val="20"/>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hAnsi="Times New Roman"/>
          <w:i/>
          <w:sz w:val="20"/>
        </w:rPr>
        <w:t>LCT Test Date</w:t>
      </w:r>
      <w:r>
        <w:rPr>
          <w:rFonts w:ascii="Times New Roman" w:hAnsi="Times New Roman"/>
          <w:sz w:val="20"/>
        </w:rPr>
        <w:t xml:space="preserve">”) the definitive agreement for such Limited Condition Transaction is entered into (or, if applicable, the date of delivery of an irrevocable declaration of a Restricted Payment or similar event) if, after giving pro forma effect to the Limited Condition Transaction and any actions or transactions related thereto (including acquisitions, Investments, the incurrence, issuance or assumption of Indebtedness, Disqualified Stock and the use of proceeds thereof, the incurrence or creation of Liens, repayments, Restricted Payments and Asset Sales)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 w:hAnsi="Times New Roman"/>
          <w:i/>
          <w:sz w:val="20"/>
        </w:rPr>
        <w:t>provided</w:t>
      </w:r>
      <w:r>
        <w:rPr>
          <w:rFonts w:ascii="Times New Roman" w:hAnsi="Times New Roman"/>
          <w:sz w:val="20"/>
        </w:rPr>
        <w:t xml:space="preserve">, that (a)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Sales) and (c) consolidated interest expense for purposes of the Fixed Charge Coverage Ratio will be calculated using an assumed interest rate as reasonably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Company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LTM Consolidated EBITDA of the Company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giving pro forma effect to such Limited Condition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i/>
          <w:sz w:val="20"/>
        </w:rPr>
        <w:t>Certain Compliance Calculations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any baskets, thresholds or exceptions determined by reference to a fixed currency amount or a percentage of LTM Consolidated EBITDA (“</w:t>
      </w:r>
      <w:r>
        <w:rPr>
          <w:rFonts w:ascii="Times New Roman" w:hAnsi="Times New Roman"/>
          <w:i/>
          <w:sz w:val="20"/>
        </w:rPr>
        <w:t>fixed baskets</w:t>
      </w:r>
      <w:r>
        <w:rPr>
          <w:rFonts w:ascii="Times New Roman" w:hAnsi="Times New Roman"/>
          <w:sz w:val="20"/>
        </w:rPr>
        <w:t>”) are intended to be utilized together with any baskets, thresholds or exceptions determined by reference to the Consolidated Total Net Leverage Ratio, the Consolidated Secured Net Leverage Ratio, the Fixed Charge Coverage Ratio or any other financial ratio or metric (a “</w:t>
      </w:r>
      <w:r>
        <w:rPr>
          <w:rFonts w:ascii="Times New Roman" w:hAnsi="Times New Roman"/>
          <w:i/>
          <w:sz w:val="20"/>
        </w:rPr>
        <w:t>ratio-based basket</w:t>
      </w:r>
      <w:r>
        <w:rPr>
          <w:rFonts w:ascii="Times New Roman" w:hAnsi="Times New Roman"/>
          <w:sz w:val="20"/>
        </w:rPr>
        <w:t>”) in a single transaction or action or series of related transactions or actions (for the purposes of this paragraph, a “</w:t>
      </w:r>
      <w:r>
        <w:rPr>
          <w:rFonts w:ascii="Times New Roman" w:hAnsi="Times New Roman"/>
          <w:i/>
          <w:sz w:val="20"/>
        </w:rPr>
        <w:t>Relevant Transaction</w:t>
      </w:r>
      <w:r>
        <w:rPr>
          <w:rFonts w:ascii="Times New Roman" w:hAnsi="Times New Roman"/>
          <w:sz w:val="20"/>
        </w:rPr>
        <w:t xml:space="preserve">”): (x) amounts available to be incurred under the applicable ratio-based baskets shall be calculated without giving effect to amounts to be incurred under the applicable fixed baskets in connection with such Relevant Transaction and (y) full pro forma effect shall be given to all increases to LTM Consolidated EBITDA and repayments or discharges of Indebtedness in connection with such Relevant Transaction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If (x) a proposed action, matter, transaction or amount (or a portion thereof) is incurred or entered into pursuant to a fixed basket or the grower component of any other basket and (y) at a later time would subsequently be permitted under a ratio based basket, unless otherwise elected by the Company, such action, matter, transaction or amount (or a portion thereof) shall automatically be reclassified to such ratio based basket. </w:t>
      </w:r>
    </w:p>
    <w:p>
      <w:pPr>
        <w:pStyle w:val="TextBody"/>
        <w:bidi w:val="0"/>
        <w:spacing w:before="240" w:after="0"/>
        <w:jc w:val="left"/>
        <w:rPr>
          <w:rFonts w:ascii="Times New Roman" w:hAnsi="Times New Roman"/>
          <w:sz w:val="20"/>
        </w:rPr>
      </w:pPr>
      <w:r>
        <w:rPr>
          <w:rFonts w:ascii="Times New Roman" w:hAnsi="Times New Roman"/>
          <w:sz w:val="20"/>
        </w:rPr>
        <w:t xml:space="preserve">If (x) any transaction is entered into between (A) the Company or any Restricted Subsidiary and (B) any other Person which is not a Restricted Subsidiary on the date of such transaction; (y) such transaction is permitted pursuant to a fixed basket or an incurrence-based basket; and (z) following such transaction, such other Person becomes a Restricted Subsidiary, such transaction shall be deemed to be reallocated to any applicable basket allowing transactions of such type to be entered into on an unlimited basis between the Company and a Restricted Subsidiary or between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If a proposed action, matter, transaction or amount (or a portion thereof) meets the criteria of more than one applicable basket, permission or threshold within such covenant under this Indenture, the Company shall be entitled to divide or classify or later divide or reclassify (based on circumstances existing on the date of such reclassification) such action, matter or amount (or a portion thereof) between such baskets, permissions or thresholds within such covenant as it shall elect from time to time, provided that Indebtedness under the Credit Agreement outstanding on the Issue Date shall at all times be classified as incurred under Section 4.09(b)(1) and may not be reclassified.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The Notes and the Trustee’s certificate of authentication will be substantially in the form of Exhibit A hereto. The Notes may have notations, legends or endorsements required by law, stock exchange rule or usage; </w:t>
      </w:r>
      <w:r>
        <w:rPr>
          <w:rFonts w:ascii="Times New Roman" w:hAnsi="Times New Roman"/>
          <w:i/>
          <w:sz w:val="20"/>
        </w:rPr>
        <w:t>provided</w:t>
      </w:r>
      <w:r>
        <w:rPr>
          <w:rFonts w:ascii="Times New Roman" w:hAnsi="Times New Roman"/>
          <w:sz w:val="20"/>
        </w:rPr>
        <w:t xml:space="preserve"> that any such notations, legends or endorsements are in a form reasonably acceptable to the Company. Each Note will be dated the date of its authentication. The Notes shall be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will constitute, and are hereby expressly made, a part of this Indenture and the Company, the Guarantors, the Trustee and the Notes Collateral Agent,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Global Notes</w:t>
      </w:r>
      <w:r>
        <w:rPr>
          <w:rFonts w:ascii="Times New Roman" w:hAnsi="Times New Roman"/>
          <w:sz w:val="20"/>
        </w:rPr>
        <w:t xml:space="preserve">. Notes issued in global form will be substantially in the form of Exhibit A hereto (including the Global Note Legend 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 hereof.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Euroclear and Clearstream Procedures Applicable</w:t>
      </w:r>
      <w:r>
        <w:rPr>
          <w:rFonts w:ascii="Times New Roman" w:hAnsi="Times New Roman"/>
          <w:sz w:val="20"/>
        </w:rPr>
        <w:t xml:space="preserve">. The provisions of the “Operating Procedures of the Euroclear System” and “Terms 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Execution and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least one Officer must sign the Notes for the Company by manual, electronic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Note no longer holds that office at the time a Note is authenticated, the Note will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Note will not be valid until authenticated by the manual signature of an authorized signatory of the Trustee. The signature will be conclusive evidence that the Note has been duly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sz w:val="20"/>
        </w:rPr>
        <w:t>The Trustee will, upon receipt of a written order of the Company signed by an Officer of the Company (an “</w:t>
      </w:r>
      <w:r>
        <w:rPr>
          <w:rFonts w:ascii="Times New Roman" w:hAnsi="Times New Roman"/>
          <w:i/>
          <w:sz w:val="20"/>
        </w:rPr>
        <w:t>Authentication Order</w:t>
      </w:r>
      <w:r>
        <w:rPr>
          <w:rFonts w:ascii="Times New Roman" w:hAnsi="Times New Roman"/>
          <w:sz w:val="20"/>
        </w:rPr>
        <w:t xml:space="preserve">”), authenticate Notes for original issue, of which (a) $450,000,000 in aggregate principal amount will be issued on the Issue Date and (b) any Additional Notes may be issued in the future as more fully set forth in Section 2.14. The aggregate principal amount of Notes outstanding at any time may not exceed the aggregate principal amount of Notes authorized for issuance by the Company pursuant to one or more Authentication Orders, except as provided in Section 2.07 hereof. The Initial Notes and any Additional Notes shall be treated as a single class, in each case for all purposes under this Indenture, including without limitation, waivers, amendments, redemptions and offers to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Registrar and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maintain an office or agency where Notes may be presented for registration of transfer or for exchange (“</w:t>
      </w:r>
      <w:r>
        <w:rPr>
          <w:rFonts w:ascii="Times New Roman" w:hAnsi="Times New Roman"/>
          <w:i/>
          <w:sz w:val="20"/>
        </w:rPr>
        <w:t>Registrar</w:t>
      </w:r>
      <w:r>
        <w:rPr>
          <w:rFonts w:ascii="Times New Roman" w:hAnsi="Times New Roman"/>
          <w:sz w:val="20"/>
        </w:rPr>
        <w:t>”) and an office or agency where Notes may be presented for payment (“</w:t>
      </w:r>
      <w:r>
        <w:rPr>
          <w:rFonts w:ascii="Times New Roman" w:hAnsi="Times New Roman"/>
          <w:i/>
          <w:sz w:val="20"/>
        </w:rPr>
        <w:t>Paying Agent</w:t>
      </w:r>
      <w:r>
        <w:rPr>
          <w:rFonts w:ascii="Times New Roman" w:hAnsi="Times New Roman"/>
          <w:sz w:val="20"/>
        </w:rPr>
        <w:t xml:space="preserve">”).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Restricted Subsidiaries may act as Paying Agent or Registrar. </w:t>
      </w:r>
    </w:p>
    <w:p>
      <w:pPr>
        <w:pStyle w:val="TextBody"/>
        <w:bidi w:val="0"/>
        <w:spacing w:before="240" w:after="0"/>
        <w:jc w:val="left"/>
        <w:rPr>
          <w:rFonts w:ascii="Times New Roman" w:hAnsi="Times New Roman"/>
          <w:sz w:val="20"/>
        </w:rPr>
      </w:pPr>
      <w:r>
        <w:rPr>
          <w:rFonts w:ascii="Times New Roman" w:hAnsi="Times New Roman"/>
          <w:sz w:val="20"/>
        </w:rPr>
        <w:t>The Company initially appoints The Depository Trust Company (“</w:t>
      </w:r>
      <w:r>
        <w:rPr>
          <w:rFonts w:ascii="Times New Roman" w:hAnsi="Times New Roman"/>
          <w:i/>
          <w:sz w:val="20"/>
        </w:rPr>
        <w:t>DTC</w:t>
      </w:r>
      <w:r>
        <w:rPr>
          <w:rFonts w:ascii="Times New Roman" w:hAnsi="Times New Roman"/>
          <w:sz w:val="20"/>
        </w:rPr>
        <w:t xml:space="preserve">”) to act as Depositary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to act as the Registrar and Paying Agent and to act as Custodian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Paying Agent to Hold Money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require each Paying Agent other than the Trustee to agree in writing that the Paying Agent will hold in trust for the benefit of Holders or the Trustee all money held by the Paying Agent for the payment of principal of, premium on, if any, and interest, if any,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Transfer and Exchange of Global Notes</w:t>
      </w:r>
      <w:r>
        <w:rPr>
          <w:rFonts w:ascii="Times New Roman" w:hAnsi="Times New Roman"/>
          <w:sz w:val="20"/>
        </w:rPr>
        <w:t xml:space="preserve">.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Company in its sole discretion determines, subject to the procedures of the Depositary, that the Global Notes (in whole but not in part) should be exchanged for Definitive Notes and delivers a written notice to such effect to the Trustee; </w:t>
      </w:r>
      <w:r>
        <w:rPr>
          <w:rFonts w:ascii="Times New Roman" w:hAnsi="Times New Roman"/>
          <w:i/>
          <w:sz w:val="20"/>
        </w:rPr>
        <w:t>provided</w:t>
      </w:r>
      <w:r>
        <w:rPr>
          <w:rFonts w:ascii="Times New Roman" w:hAnsi="Times New Roman"/>
          <w:sz w:val="20"/>
        </w:rPr>
        <w:t xml:space="preserve"> that in no event shall the Regulation S Global Note be exchanged by the Company for Definitive Notes prior to the expiration of the Restricted Period; or </w:t>
      </w:r>
    </w:p>
    <w:p>
      <w:pPr>
        <w:pStyle w:val="TextBody"/>
        <w:bidi w:val="0"/>
        <w:spacing w:before="120" w:after="0"/>
        <w:jc w:val="left"/>
        <w:rPr>
          <w:rFonts w:ascii="Times New Roman" w:hAnsi="Times New Roman"/>
          <w:sz w:val="20"/>
        </w:rPr>
      </w:pPr>
      <w:r>
        <w:rPr>
          <w:rFonts w:ascii="Times New Roman" w:hAnsi="Times New Roman"/>
          <w:sz w:val="20"/>
        </w:rPr>
        <w:t xml:space="preserve">(3) there has occurred and is continuing a Default or Event of Default with respect to the Notes and the Beneficial Owners thereof have requested such exchange.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(d) or (f)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 and Exchange of Beneficial Interests in the Global Notes</w:t>
      </w:r>
      <w:r>
        <w:rPr>
          <w:rFonts w:ascii="Times New Roman" w:hAnsi="Times New Roman"/>
          <w:sz w:val="20"/>
        </w:rPr>
        <w:t xml:space="preserve">. The transfer and exchange of beneficial interests in the Global Notes will be effected through the Depositary, in accordance with the provisions of this Indenture and the Applicable Procedures. None of the Company, Trustee, Paying Agent, nor any Agent of the Company shall have any responsibility or liability for any aspect of the records relating to or payment made on account of beneficial ownership interests in a Global Note, or for maintaining, supervising or reviewing any records relating to such beneficial ownership interests.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Transfer of Beneficial Interests in the Same Global Note</w:t>
      </w:r>
      <w:r>
        <w:rPr>
          <w:rFonts w:ascii="Times New Roman" w:hAnsi="Times New Roman"/>
          <w:sz w:val="20"/>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prior to the expiration of the Restricted Period, transfers of beneficial interests in the Regulation S Global Note may not be made to a U.S. Person or for the account or benefit of a U.S. Person (other than the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that are not subject to Section 2.06(b)(1) above, the transferor of such beneficial interest must deliver to the Registrar either: </w:t>
      </w:r>
    </w:p>
    <w:p>
      <w:pPr>
        <w:pStyle w:val="TextBody"/>
        <w:bidi w:val="0"/>
        <w:spacing w:before="120" w:after="0"/>
        <w:jc w:val="left"/>
        <w:rPr>
          <w:rFonts w:ascii="Times New Roman" w:hAnsi="Times New Roman"/>
          <w:sz w:val="20"/>
        </w:rPr>
      </w:pPr>
      <w:r>
        <w:rPr>
          <w:rFonts w:ascii="Times New Roman" w:hAnsi="Times New Roman"/>
          <w:sz w:val="20"/>
        </w:rPr>
        <w:t xml:space="preserve">(A) both: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instructions given in accordance with the Applicable Procedures containing information regarding the Participant account to be credited with such increase; or </w:t>
      </w:r>
    </w:p>
    <w:p>
      <w:pPr>
        <w:pStyle w:val="TextBody"/>
        <w:bidi w:val="0"/>
        <w:spacing w:before="120" w:after="0"/>
        <w:jc w:val="left"/>
        <w:rPr>
          <w:rFonts w:ascii="Times New Roman" w:hAnsi="Times New Roman"/>
          <w:sz w:val="20"/>
        </w:rPr>
      </w:pPr>
      <w:r>
        <w:rPr>
          <w:rFonts w:ascii="Times New Roman" w:hAnsi="Times New Roman"/>
          <w:sz w:val="20"/>
        </w:rPr>
        <w:t xml:space="preserve">(B) both: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cause to be issued a Definitive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(ii) instructions given by the Depositary to the Registrar containing information regarding the Person in whose name such Definitive Note shall be registered to effect the transfer or exchange referred to in (1) above;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no event shall Definitive Notes be issued upon the transfer or exchange of beneficial interests in the Regulation S Global Note prior to the expiration of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Upon satisfaction of all of the requirements for transfer or exchange of beneficial interests in Global Notes contained in this Indenture and the Notes, the Trustee shall adjust the principal amount of the relevant Global Note(s) pursuant to Section 2.06(h) hereof.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Transfer of Beneficial Interests to Another Restricted Global Note</w:t>
      </w:r>
      <w:r>
        <w:rPr>
          <w:rFonts w:ascii="Times New Roman" w:hAnsi="Times New Roman"/>
          <w:sz w:val="20"/>
        </w:rPr>
        <w:t xml:space="preserve">. A beneficial interest in any Restricted Global Note may be transferred to a Person who takes delivery thereof in the form of a beneficial interest in another Restricted Global Note if the transfer complies with the requirements of Section 2.06(b)(2) above and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transferee will take delivery in the form of a beneficial interest in the 144A Global Note, then the transferor must deliver a certificate in the form of Exhibit B hereto, including the certifications in item (I) thereof, or </w:t>
      </w:r>
    </w:p>
    <w:p>
      <w:pPr>
        <w:pStyle w:val="TextBody"/>
        <w:bidi w:val="0"/>
        <w:spacing w:before="120" w:after="0"/>
        <w:jc w:val="left"/>
        <w:rPr>
          <w:rFonts w:ascii="Times New Roman" w:hAnsi="Times New Roman"/>
          <w:sz w:val="20"/>
        </w:rPr>
      </w:pPr>
      <w:r>
        <w:rPr>
          <w:rFonts w:ascii="Times New Roman" w:hAnsi="Times New Roman"/>
          <w:sz w:val="20"/>
        </w:rPr>
        <w:t xml:space="preserve">(B) if the transferee will take delivery in the form of a beneficial interest in the Regulation S Global Note, then the transferor must deliver a certificate in the form of Exhibit B hereto,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Transfer and Exchange of Beneficial Interests in a Restricted Global Note for Beneficial Interests in an Unrestricted Global Note</w:t>
      </w:r>
      <w:r>
        <w:rPr>
          <w:rFonts w:ascii="Times New Roman" w:hAnsi="Times New Roman"/>
          <w:sz w:val="20"/>
        </w:rPr>
        <w:t xml:space="preserv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w:t>
      </w:r>
    </w:p>
    <w:p>
      <w:pPr>
        <w:pStyle w:val="TextBody"/>
        <w:bidi w:val="0"/>
        <w:spacing w:before="120" w:after="0"/>
        <w:jc w:val="left"/>
        <w:rPr>
          <w:rFonts w:ascii="Times New Roman" w:hAnsi="Times New Roman"/>
          <w:sz w:val="20"/>
        </w:rPr>
      </w:pPr>
      <w:r>
        <w:rPr>
          <w:rFonts w:ascii="Times New Roman" w:hAnsi="Times New Roman"/>
          <w:sz w:val="20"/>
        </w:rPr>
        <w:t xml:space="preserve">(A) any such transfer is effected pursuant to an effective registration statement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(B)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if the holder of such beneficial interest in a Restricted Global Note proposes to exchange such beneficial interest for a beneficial interest in an Unrestricted Global Note, a certificate from such holder substantially in the form of Exhibit C hereto, including the certifications in item (1)(a) thereof; or </w:t>
      </w:r>
    </w:p>
    <w:p>
      <w:pPr>
        <w:pStyle w:val="TextBody"/>
        <w:bidi w:val="0"/>
        <w:spacing w:before="120" w:after="0"/>
        <w:jc w:val="left"/>
        <w:rPr>
          <w:rFonts w:ascii="Times New Roman" w:hAnsi="Times New Roman"/>
          <w:sz w:val="20"/>
        </w:rPr>
      </w:pPr>
      <w:r>
        <w:rPr>
          <w:rFonts w:ascii="Times New Roman" w:hAnsi="Times New Roman"/>
          <w:sz w:val="20"/>
        </w:rPr>
        <w:t xml:space="preserve">(ii) if the holder of such beneficial interest in a Restricted Global Note proposes to transfer such beneficial interest to a Person who shall take delivery thereof in the form of a beneficial interest in an Unrestricted Global Note, a certificate from such holder substantially in the form of Exhibit B hereto, including the certifications in item (4)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 each such case set forth in this subparagraph (B),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any such exchange or transfer is effected pursuant to subparagraph (A) or (B)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exchanged or transferred pursuant to subparagraph (A) or (B) above.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an Unrestricted Global Note cannot be exchanged for, or transferred to Persons who take delivery thereof in the form of, a beneficial interest in a Restricted Global Note.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or Exchange of Beneficial Interests for Definitive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Beneficial Interests in Restricted Global Notes to Restricted Definitive Notes</w:t>
      </w:r>
      <w:r>
        <w:rPr>
          <w:rFonts w:ascii="Times New Roman" w:hAnsi="Times New Roman"/>
          <w:sz w:val="20"/>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beneficial interest in a Restricted Global Note proposes to exchange such beneficial interest for a Restricted Definitive Note, a certificate from such holder substantially in the form of Exhibit C hereto, including the certifications in item (2)(a) thereof; </w:t>
      </w:r>
    </w:p>
    <w:p>
      <w:pPr>
        <w:pStyle w:val="TextBody"/>
        <w:bidi w:val="0"/>
        <w:spacing w:before="120" w:after="0"/>
        <w:jc w:val="left"/>
        <w:rPr>
          <w:rFonts w:ascii="Times New Roman" w:hAnsi="Times New Roman"/>
          <w:sz w:val="20"/>
        </w:rPr>
      </w:pPr>
      <w:r>
        <w:rPr>
          <w:rFonts w:ascii="Times New Roman" w:hAnsi="Times New Roman"/>
          <w:sz w:val="20"/>
        </w:rPr>
        <w:t xml:space="preserve">(B) if such beneficial interest is being transferred to a QIB in accordance with Rule 144A, a certificate to the effect set forth in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(C) if such beneficial interest is being transferred to a Non-U.S. Person in an offshore transaction in accordance with Rule 903 or Rule 904, a certificate to the effect set forth in Exhibit B hereto,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(D) if such beneficial interest is being transferred pursuant to an exemption from the registration requirements of the Securities Act in accordance with Rule 144, a certificate to the effect set forth in Exhibit B hereto, including the certifications in item (3)(a) thereof; </w:t>
      </w:r>
    </w:p>
    <w:p>
      <w:pPr>
        <w:pStyle w:val="TextBody"/>
        <w:bidi w:val="0"/>
        <w:spacing w:before="120" w:after="0"/>
        <w:jc w:val="left"/>
        <w:rPr>
          <w:rFonts w:ascii="Times New Roman" w:hAnsi="Times New Roman"/>
          <w:sz w:val="20"/>
        </w:rPr>
      </w:pPr>
      <w:r>
        <w:rPr>
          <w:rFonts w:ascii="Times New Roman" w:hAnsi="Times New Roman"/>
          <w:sz w:val="20"/>
        </w:rPr>
        <w:t xml:space="preserve">(E) 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w:t>
      </w:r>
    </w:p>
    <w:p>
      <w:pPr>
        <w:pStyle w:val="TextBody"/>
        <w:bidi w:val="0"/>
        <w:spacing w:before="120" w:after="0"/>
        <w:jc w:val="left"/>
        <w:rPr>
          <w:rFonts w:ascii="Times New Roman" w:hAnsi="Times New Roman"/>
          <w:sz w:val="20"/>
        </w:rPr>
      </w:pPr>
      <w:r>
        <w:rPr>
          <w:rFonts w:ascii="Times New Roman" w:hAnsi="Times New Roman"/>
          <w:sz w:val="20"/>
        </w:rPr>
        <w:t xml:space="preserve">(F) if such beneficial interest is being transferred to the Company or any of its Subsidiaries, a certificate to the effect set forth in Exhibit B hereto, including the certifications in item (3)(b)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such beneficial interest is being transferred pursuant to an effective registration statement under the Securities Act, a certificate to the effect set forth in Exhibit B hereto, including the certifications in item (3)(c) thereof, 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Beneficial Interests in Regulation S Global Note to Definitive Notes</w:t>
      </w:r>
      <w:r>
        <w:rPr>
          <w:rFonts w:ascii="Times New Roman" w:hAnsi="Times New Roman"/>
          <w:sz w:val="20"/>
        </w:rPr>
        <w:t xml:space="preserve">. Notwithstanding Section 2.06(c)(1)(A) and (C) hereof, a beneficial interest in the Regulation S Global Note may not be exchanged for a Definitive Note or transferred to a Person who takes delivery thereof in the form of a Definitive Note prior to the expiration of the Restricted Period, except in the case of a transfer pursuant to an exemption from the registration requirements of the Securities Act other than Rule 903 or Rule 904.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Beneficial Interests in Restricted Global Notes to Unrestricted Definitive Notes</w:t>
      </w:r>
      <w:r>
        <w:rPr>
          <w:rFonts w:ascii="Times New Roman" w:hAnsi="Times New Roman"/>
          <w:sz w:val="20"/>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if: </w:t>
      </w:r>
    </w:p>
    <w:p>
      <w:pPr>
        <w:pStyle w:val="TextBody"/>
        <w:bidi w:val="0"/>
        <w:spacing w:before="120" w:after="0"/>
        <w:jc w:val="left"/>
        <w:rPr>
          <w:rFonts w:ascii="Times New Roman" w:hAnsi="Times New Roman"/>
          <w:sz w:val="20"/>
        </w:rPr>
      </w:pPr>
      <w:r>
        <w:rPr>
          <w:rFonts w:ascii="Times New Roman" w:hAnsi="Times New Roman"/>
          <w:sz w:val="20"/>
        </w:rPr>
        <w:t xml:space="preserve">(A) any such transfer is effected pursuant to an effective registration statement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(B)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if the holder of such beneficial interest in a Restricted Global Note proposes to exchange such beneficial interest for an Unrestricted Definitive Note, a certificate from such holder substantially in the form of Exhibit C hereto, including the certifications in item (1)(b) thereof; or </w:t>
      </w:r>
    </w:p>
    <w:p>
      <w:pPr>
        <w:pStyle w:val="TextBody"/>
        <w:bidi w:val="0"/>
        <w:spacing w:before="120" w:after="0"/>
        <w:jc w:val="left"/>
        <w:rPr>
          <w:rFonts w:ascii="Times New Roman" w:hAnsi="Times New Roman"/>
          <w:sz w:val="20"/>
        </w:rPr>
      </w:pPr>
      <w:r>
        <w:rPr>
          <w:rFonts w:ascii="Times New Roman" w:hAnsi="Times New Roman"/>
          <w:sz w:val="20"/>
        </w:rPr>
        <w:t xml:space="preserve">(ii) 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 </w:t>
      </w:r>
    </w:p>
    <w:p>
      <w:pPr>
        <w:pStyle w:val="TextBody"/>
        <w:bidi w:val="0"/>
        <w:spacing w:before="240" w:after="0"/>
        <w:jc w:val="left"/>
        <w:rPr>
          <w:rFonts w:ascii="Times New Roman" w:hAnsi="Times New Roman"/>
          <w:sz w:val="20"/>
        </w:rPr>
      </w:pPr>
      <w:r>
        <w:rPr>
          <w:rFonts w:ascii="Times New Roman" w:hAnsi="Times New Roman"/>
          <w:sz w:val="20"/>
        </w:rPr>
        <w:t xml:space="preserve">and, in each such case set forth in this subparagraph (B),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Beneficial Interests in Unrestricted Global Notes to Unrestricted Definitive Notes</w:t>
      </w:r>
      <w:r>
        <w:rPr>
          <w:rFonts w:ascii="Times New Roman" w:hAnsi="Times New Roman"/>
          <w:sz w:val="20"/>
        </w:rPr>
        <w:t xml:space="preserve">.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Unrestricted Global Note to be reduced accordingly pursuant to Section 2.06(h) hereof, and the Company will execute and the Trustee will authenticate and deliver to the Person designated in the instructions a Definitive Note in the appropriate principal amount. Any Definitive Note issued in exchange for a beneficial interest pursuant to this Section 2.06(c)(4)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2.06(c)(4) will not bear the Private Placement Legend.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 and Exchange of Definitive Notes for Beneficial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Restricted Definitive Notes to Beneficial Interests in Restricted Global Notes.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(A) if the Holder of such Restricted Definitive Note proposes to exchange such Note for a beneficial interest in a Restricted Global Note, a certificate from such Holder in the form of Exhibit C hereto, including the certifications in item (2)(b) thereof; </w:t>
      </w:r>
    </w:p>
    <w:p>
      <w:pPr>
        <w:pStyle w:val="TextBody"/>
        <w:bidi w:val="0"/>
        <w:spacing w:before="120" w:after="0"/>
        <w:jc w:val="left"/>
        <w:rPr>
          <w:rFonts w:ascii="Times New Roman" w:hAnsi="Times New Roman"/>
          <w:sz w:val="20"/>
        </w:rPr>
      </w:pPr>
      <w:r>
        <w:rPr>
          <w:rFonts w:ascii="Times New Roman" w:hAnsi="Times New Roman"/>
          <w:sz w:val="20"/>
        </w:rPr>
        <w:t xml:space="preserve">(B) if such Restricted Definitive Note is being transferred to a QIB in accordance with Rule 144A, a certificate to the effect set forth in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(C) if such Restricted Definitive Note is being transferred to a Non-U.S. Person in an offshore transaction in accordance with Rule 903 or Rule 904, a certificate to the effect set forth in Exhibit B hereto, including the certifications in item (2) thereof; </w:t>
      </w:r>
    </w:p>
    <w:p>
      <w:pPr>
        <w:pStyle w:val="TextBody"/>
        <w:bidi w:val="0"/>
        <w:spacing w:before="120" w:after="0"/>
        <w:jc w:val="left"/>
        <w:rPr>
          <w:rFonts w:ascii="Times New Roman" w:hAnsi="Times New Roman"/>
          <w:sz w:val="20"/>
        </w:rPr>
      </w:pPr>
      <w:r>
        <w:rPr>
          <w:rFonts w:ascii="Times New Roman" w:hAnsi="Times New Roman"/>
          <w:sz w:val="20"/>
        </w:rPr>
        <w:t xml:space="preserve">(D) if such Restricted Definitive Note is being transferred pursuant to an exemption from the registration requirements of the Securities Act in accordance with Rule 144, a certificate to the effect set forth in Exhibit B hereto, including the certifications in item (3) (a) thereof; </w:t>
      </w:r>
    </w:p>
    <w:p>
      <w:pPr>
        <w:pStyle w:val="TextBody"/>
        <w:bidi w:val="0"/>
        <w:spacing w:before="120" w:after="0"/>
        <w:jc w:val="left"/>
        <w:rPr>
          <w:rFonts w:ascii="Times New Roman" w:hAnsi="Times New Roman"/>
          <w:sz w:val="20"/>
        </w:rPr>
      </w:pPr>
      <w:r>
        <w:rPr>
          <w:rFonts w:ascii="Times New Roman" w:hAnsi="Times New Roman"/>
          <w:sz w:val="20"/>
        </w:rPr>
        <w:t xml:space="preserve">(E) 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 </w:t>
      </w:r>
    </w:p>
    <w:p>
      <w:pPr>
        <w:pStyle w:val="TextBody"/>
        <w:bidi w:val="0"/>
        <w:spacing w:before="120" w:after="0"/>
        <w:jc w:val="left"/>
        <w:rPr>
          <w:rFonts w:ascii="Times New Roman" w:hAnsi="Times New Roman"/>
          <w:sz w:val="20"/>
        </w:rPr>
      </w:pPr>
      <w:r>
        <w:rPr>
          <w:rFonts w:ascii="Times New Roman" w:hAnsi="Times New Roman"/>
          <w:sz w:val="20"/>
        </w:rPr>
        <w:t xml:space="preserve">(F) if such Restricted Definitive Note is being transferred to the Company or any of its Subsidiaries, a certificate to the effect set forth in Exhibit B hereto, including the certifications in item (3)(b) thereof; or </w:t>
      </w:r>
    </w:p>
    <w:p>
      <w:pPr>
        <w:pStyle w:val="TextBody"/>
        <w:bidi w:val="0"/>
        <w:spacing w:before="120" w:after="0"/>
        <w:jc w:val="left"/>
        <w:rPr>
          <w:rFonts w:ascii="Times New Roman" w:hAnsi="Times New Roman"/>
          <w:sz w:val="20"/>
        </w:rPr>
      </w:pPr>
      <w:r>
        <w:rPr>
          <w:rFonts w:ascii="Times New Roman" w:hAnsi="Times New Roman"/>
          <w:sz w:val="20"/>
        </w:rPr>
        <w:t xml:space="preserve">(G) if such Restricted Definitive Note is being transferred pursuant to an effective registration statement under the Securities Act, a certificate to the effect set forth in Exhibit B hereto, including the certifications in item (3)(c)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cancel the Restricted Definitive Note, increase or cause to be increased the aggregate principal amount of, in the case of clause (A) above, the appropriate Restricted Global Note, in the case of clause (B) above, the 144A Global Note, and in the case of clause (C) above, the Regulation S Global Note.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Restricted Definitive Notes to Beneficial Interests in Unrestricted Global Notes</w:t>
      </w:r>
      <w:r>
        <w:rPr>
          <w:rFonts w:ascii="Times New Roman" w:hAnsi="Times New Roman"/>
          <w:sz w:val="20"/>
        </w:rPr>
        <w:t xml:space="preserve">.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w:t>
      </w:r>
    </w:p>
    <w:p>
      <w:pPr>
        <w:pStyle w:val="TextBody"/>
        <w:bidi w:val="0"/>
        <w:spacing w:before="120" w:after="0"/>
        <w:jc w:val="left"/>
        <w:rPr>
          <w:rFonts w:ascii="Times New Roman" w:hAnsi="Times New Roman"/>
          <w:sz w:val="20"/>
        </w:rPr>
      </w:pPr>
      <w:r>
        <w:rPr>
          <w:rFonts w:ascii="Times New Roman" w:hAnsi="Times New Roman"/>
          <w:sz w:val="20"/>
        </w:rPr>
        <w:t xml:space="preserve">(A) any such transfer is effected pursuant to an effective registration statement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(B)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if the Holder of such Definitive Notes proposes to exchange such Notes for a beneficial interest in the Unrestricted Global Note, a certificate from such Holder substantially in the form of Exhibit C hereto, including the certifications in item (1)(c)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Holder of such Definitive Notes proposes to transfer such Notes to a Person who shall take delivery thereof in the form of a beneficial interest in the Unrestricted Global Note, a certificate from such Holder substantially in the form of Exhibit B hereto, including the certifications in item (4) thereof; </w:t>
      </w:r>
    </w:p>
    <w:p>
      <w:pPr>
        <w:pStyle w:val="TextBody"/>
        <w:bidi w:val="0"/>
        <w:spacing w:before="240" w:after="0"/>
        <w:jc w:val="left"/>
        <w:rPr>
          <w:rFonts w:ascii="Times New Roman" w:hAnsi="Times New Roman"/>
          <w:sz w:val="20"/>
        </w:rPr>
      </w:pPr>
      <w:r>
        <w:rPr>
          <w:rFonts w:ascii="Times New Roman" w:hAnsi="Times New Roman"/>
          <w:sz w:val="20"/>
        </w:rPr>
        <w:t xml:space="preserve">and, in each such case set forth in this subparagraph (B),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Upon satisfaction of the conditions of any of the subparagraphs in this Section 2.06(d)(2), the Trustee will cancel the Definitive Notes and increase or cause to be increased the aggregate principal amount of the Unrestricted Global Note.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Unrestricted Definitive Notes to Beneficial Interests in Unrestricted Global Notes</w:t>
      </w:r>
      <w:r>
        <w:rPr>
          <w:rFonts w:ascii="Times New Roman" w:hAnsi="Times New Roman"/>
          <w:sz w:val="20"/>
        </w:rPr>
        <w:t xml:space="preserve">.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 </w:t>
      </w:r>
    </w:p>
    <w:p>
      <w:pPr>
        <w:pStyle w:val="TextBody"/>
        <w:bidi w:val="0"/>
        <w:spacing w:before="240" w:after="0"/>
        <w:jc w:val="left"/>
        <w:rPr>
          <w:rFonts w:ascii="Times New Roman" w:hAnsi="Times New Roman"/>
          <w:sz w:val="20"/>
        </w:rPr>
      </w:pPr>
      <w:r>
        <w:rPr>
          <w:rFonts w:ascii="Times New Roman" w:hAnsi="Times New Roman"/>
          <w:sz w:val="20"/>
        </w:rPr>
        <w:t xml:space="preserve">If any such exchange or transfer from a Definitive Note to a beneficial interest is effected pursuant to subparagraphs (2)(B), (2)(D) or (3) 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 and Exchange of Definitive Notes for Definitive Notes</w:t>
      </w:r>
      <w:r>
        <w:rPr>
          <w:rFonts w:ascii="Times New Roman" w:hAnsi="Times New Roman"/>
          <w:sz w:val="20"/>
        </w:rPr>
        <w:t xml:space="preserve">. Upon request by a Holder of Definitive Notes and such 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Restricted Definitive Notes to Restricted Definitive Notes</w:t>
      </w:r>
      <w:r>
        <w:rPr>
          <w:rFonts w:ascii="Times New Roman" w:hAnsi="Times New Roman"/>
          <w:sz w:val="20"/>
        </w:rPr>
        <w:t xml:space="preserve">. Any Restricted Definitive Note may be transferred to and registered in the name of Persons who take delivery thereof in the form of a Restricted Definitive Note if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the transfer will be made to a QIB in accordance with Rule 144A, then the transferor must deliver a certificate substantially in the form of Exhibit B hereto, including the certifications in item (1) thereof; </w:t>
      </w:r>
    </w:p>
    <w:p>
      <w:pPr>
        <w:pStyle w:val="TextBody"/>
        <w:bidi w:val="0"/>
        <w:spacing w:before="120" w:after="0"/>
        <w:jc w:val="left"/>
        <w:rPr>
          <w:rFonts w:ascii="Times New Roman" w:hAnsi="Times New Roman"/>
          <w:sz w:val="20"/>
        </w:rPr>
      </w:pPr>
      <w:r>
        <w:rPr>
          <w:rFonts w:ascii="Times New Roman" w:hAnsi="Times New Roman"/>
          <w:sz w:val="20"/>
        </w:rPr>
        <w:t xml:space="preserve">(B) if the transfer will be made pursuant to Rule 903 or Rule 904, then the transferor must deliver a certificate in the form of Exhibit B hereto, including the certifications in item (2) thereof; and </w:t>
      </w:r>
    </w:p>
    <w:p>
      <w:pPr>
        <w:pStyle w:val="TextBody"/>
        <w:bidi w:val="0"/>
        <w:spacing w:before="120" w:after="0"/>
        <w:jc w:val="left"/>
        <w:rPr>
          <w:rFonts w:ascii="Times New Roman" w:hAnsi="Times New Roman"/>
          <w:sz w:val="20"/>
        </w:rPr>
      </w:pPr>
      <w:r>
        <w:rPr>
          <w:rFonts w:ascii="Times New Roman" w:hAnsi="Times New Roman"/>
          <w:sz w:val="20"/>
        </w:rPr>
        <w:t xml:space="preserve">(C) 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Restricted Definitive Notes to Unrestricted Definitive Notes</w:t>
      </w:r>
      <w:r>
        <w:rPr>
          <w:rFonts w:ascii="Times New Roman" w:hAnsi="Times New Roman"/>
          <w:sz w:val="20"/>
        </w:rPr>
        <w:t xml:space="preserve">. Any Restricted Definitive Note may be exchanged by the Holder thereof for an Unrestricted Definitive Note or transferred to a Person or Persons who take delivery thereof in the form of an Unrestricted Definitive Note if: </w:t>
      </w:r>
    </w:p>
    <w:p>
      <w:pPr>
        <w:pStyle w:val="TextBody"/>
        <w:bidi w:val="0"/>
        <w:spacing w:before="120" w:after="0"/>
        <w:jc w:val="left"/>
        <w:rPr>
          <w:rFonts w:ascii="Times New Roman" w:hAnsi="Times New Roman"/>
          <w:sz w:val="20"/>
        </w:rPr>
      </w:pPr>
      <w:r>
        <w:rPr>
          <w:rFonts w:ascii="Times New Roman" w:hAnsi="Times New Roman"/>
          <w:sz w:val="20"/>
        </w:rPr>
        <w:t xml:space="preserve">(A) any such transfer is effected pursuant to an effective registration statement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(B) the Registrar receives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if the Holder of such Restricted Definitive Notes proposes to exchange such Notes for an Unrestricted Definitive Note, a certificate from such Holder in the form of Exhibit C hereto, including the certifications in item (1)(d) thereof; or </w:t>
      </w:r>
    </w:p>
    <w:p>
      <w:pPr>
        <w:pStyle w:val="TextBody"/>
        <w:bidi w:val="0"/>
        <w:spacing w:before="120" w:after="0"/>
        <w:jc w:val="left"/>
        <w:rPr>
          <w:rFonts w:ascii="Times New Roman" w:hAnsi="Times New Roman"/>
          <w:sz w:val="20"/>
        </w:rPr>
      </w:pPr>
      <w:r>
        <w:rPr>
          <w:rFonts w:ascii="Times New Roman" w:hAnsi="Times New Roman"/>
          <w:sz w:val="20"/>
        </w:rPr>
        <w:t xml:space="preserve">(ii) 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 </w:t>
      </w:r>
    </w:p>
    <w:p>
      <w:pPr>
        <w:pStyle w:val="TextBody"/>
        <w:bidi w:val="0"/>
        <w:spacing w:before="240" w:after="0"/>
        <w:jc w:val="left"/>
        <w:rPr>
          <w:rFonts w:ascii="Times New Roman" w:hAnsi="Times New Roman"/>
          <w:sz w:val="20"/>
        </w:rPr>
      </w:pPr>
      <w:r>
        <w:rPr>
          <w:rFonts w:ascii="Times New Roman" w:hAnsi="Times New Roman"/>
          <w:sz w:val="20"/>
        </w:rPr>
        <w:t xml:space="preserve">and, in each such case set forth in this subparagraph (B), if the Company so requests,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Unrestricted Definitive Notes to Unrestricted Definitive Notes</w:t>
      </w:r>
      <w:r>
        <w:rPr>
          <w:rFonts w:ascii="Times New Roman" w:hAnsi="Times New Roman"/>
          <w:sz w:val="20"/>
        </w:rPr>
        <w:t xml:space="preserve">.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Legends</w:t>
      </w:r>
      <w:r>
        <w:rPr>
          <w:rFonts w:ascii="Times New Roman" w:hAnsi="Times New Roman"/>
          <w:sz w:val="20"/>
        </w:rPr>
        <w:t xml:space="preserve">. The following legends will appear on the face of all Global Notes and Definitive Notes issued under this Indenture unless specifically stated otherwise in the applicable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 Private Placement Legend. </w:t>
      </w:r>
    </w:p>
    <w:p>
      <w:pPr>
        <w:pStyle w:val="TextBody"/>
        <w:bidi w:val="0"/>
        <w:spacing w:before="120" w:after="0"/>
        <w:jc w:val="left"/>
        <w:rPr>
          <w:rFonts w:ascii="Times New Roman" w:hAnsi="Times New Roman"/>
          <w:sz w:val="20"/>
        </w:rPr>
      </w:pPr>
      <w:r>
        <w:rPr>
          <w:rFonts w:ascii="Times New Roman" w:hAnsi="Times New Roman"/>
          <w:sz w:val="20"/>
        </w:rPr>
        <w:t xml:space="preserve">(A) Except as permitted by subparagraph (B) below, each Global Note and each Definitive Note (and all Notes issued in exchange therefor or substitution thereof) shall bear the legend in substantially the following form: </w:t>
      </w:r>
    </w:p>
    <w:p>
      <w:pPr>
        <w:pStyle w:val="TextBody"/>
        <w:bidi w:val="0"/>
        <w:spacing w:before="120" w:after="0"/>
        <w:jc w:val="left"/>
        <w:rPr/>
      </w:pPr>
      <w:r>
        <w:rPr/>
        <w:t>“</w:t>
      </w:r>
      <w:r>
        <w:rPr>
          <w:rFonts w:ascii="Times New Roman" w:hAnsi="Times New Roman"/>
          <w:sz w:val="20"/>
        </w:rPr>
        <w:t xml:space="preserve">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REGISTRATION. THE HOLDER OF THIS SECURITY, BY ITS ACCEPTANCE HEREOF (1) REPRESENTS THAT (A) IT IS A “QUALIFIED INSTITUTIONAL BUYER” (AS DEFINED IN RULE 144A PROMULGATED UNDER THE SECURITIES ACT), (B) IT IS A NON-U.S. PERSON AND IS ACQUIRING THIS SECURITY IN AN OFFSHORE TRANSACTION WITHIN THE MEANING OF REGULATION S PROMULGATED UNDER THE SECURITIES ACT AND IN ACCORDANCE WITH THE LAWS APPLICABLE TO IT IN THE JURISDICTION IN WHICH SUCH PURCHASE IS MADE, OR (C) IT IS AN “ACCREDITED INVESTOR” WITHIN THE MEANING OF REGULATION D PROMULGATED UNDER THE SECURITIES ACT AND (2) AGREES TO OFFER, SELL OR OTHERWISE TRANSFER SUCH SECURITY, PRIOR TO THE DATE THAT IS [IN THE CASE OF RULE 144A NOTES: ONE YEAR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LATER OF THE ORIGINAL ISSUE DATE HEREOF, THE ORIGINAL ISSUE DATE OF THE ISSUANCE OF ANY ADDITIONAL NOTES AND THE LAST DATE ON WHICH THE COMPANY OR ANY AFFILIATE OF THE COMPANY WAS THE OWNER OF THIS SECURITY (OR ANY PREDECESSOR OF SUCH SECURITY),]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 THEREOF, (B) FOR SO LONG AS THE SECURITIES ARE ELIGIBLE FOR RESALE PURSUANT TO RULE 144A, TO A PERSON IT REASONABLY BELIEVES IS A “QUALIFIED INSTITUTIONAL BUYER” (AS DEFINED IN RULE 144A PROMULGATED UNDER THE SECURITIES ACT) THAT PURCHASES FOR ITS OWN ACCOUNT OR FOR THE ACCOUNT OF A QUALIFIED INSTITUTIONAL BUYER TO WHICH NOTICE IS GIVEN THAT THE TRANSFER IS BEING MADE IN RELIANCE ON RULE 144A, (C) PURSUANT TO OFFERS AND SALES TO NON-U.S. PERSONS THAT OCCUR OUTSIDE THE UNITED STATES IN OFFSHORE TRANSACTIONS WITHIN THE MEANING OF REGULATION S AND IN ACCORDANCE WITH THE LAWS APPLICABLE TO IT IN THE JURISDICTION IN WHICH SUCH PURCHASE IS MADE, (D) TO AN “ACCREDITED INVESTOR” WITHIN THE MEANING OF REGULATION D THAT IS ACQUIRING THE SECURITY FOR ITS OWN ACCOUNT, OR FOR THE ACCOUNT OF SUCH AN ACCREDITED INVESTOR, FOR INVESTMENT PURPOSES AND NOT WITH A VIEW TO, OR FOR OFFER OR SALE IN CONNECTION WITH, ANY DISTRIBUTION IN VIOLATION OF THE SECURITIES ACT, (E) PURSUANT TO A REGISTRATION STATEMENT WHICH HAS BEEN DECLARED EFFECTIVE UNDER THE SECURITIES ACT OR (F) PURSUANT TO ANOTHER AVAILABLE EXEMPTION FROM THE REGISTRATION REQUIREMENTS OF THE SECURITIES ACT, SUBJECT TO THE COMPANY’S AND THE TRUSTEE’S, OR REGISTRAR’S, AS APPLICABLE, RIGHT PRIOR TO ANY SUCH OFFER, SALE OR TRANSFER PURSUANT TO CLAUSE (C), (D) OR (F) TO REQUIRE THE DELIVERY OF A CERTIFICATE OF TRANSFER IN THE FORM APPEARING ON THE OTHER SIDE OF THIS SECURITY IS COMPLETED AND DELIVERED BY THE TRANSFEROR TO THE TRUSTEE OR REGISTRAR. THIS LEGEND WILL BE REMOVED UPON THE REQUEST OF THE HOLDER AFTER THE EXPIRATION OF THE APPLICABLE HOLDING PERIOD WITH RESPECT TO RESTRICTED SECURITIES SET FORTH IN RULE 144.”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any Global Note or Definitive Note issued pursuant to subparagraphs (b)(4), (c)(3), (c)(4), (d)(2), (d)(3), (e)(2) or (e)(3) of this Section 2.06 (and all Notes issued in exchange therefor or substitution thereof) will not bear the Private Placement Legend.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Global Note Legend</w:t>
      </w:r>
      <w:r>
        <w:rPr>
          <w:rFonts w:ascii="Times New Roman" w:hAnsi="Times New Roman"/>
          <w:sz w:val="20"/>
        </w:rPr>
        <w:t xml:space="preserve">. Each Global Note will bear a legend in substantially the following form: </w:t>
      </w:r>
    </w:p>
    <w:p>
      <w:pPr>
        <w:pStyle w:val="TextBody"/>
        <w:bidi w:val="0"/>
        <w:spacing w:before="120" w:after="0"/>
        <w:jc w:val="left"/>
        <w:rPr/>
      </w:pPr>
      <w:r>
        <w:rPr/>
        <w:t>“</w:t>
      </w:r>
      <w:r>
        <w:rPr>
          <w:rFonts w:ascii="Times New Roman" w:hAnsi="Times New Roman"/>
          <w:sz w:val="20"/>
        </w:rPr>
        <w:t xml:space="preserve">THIS GLOBAL NOTE IS HELD BY OR ON BEHALF OF THE DEPOSITARY (AS DEFINED IN THIS INDENTURE GOVERNING THIS NOTE) OR ITS NOMINEE IN CUSTODY FOR THE BENEFIT OF THE BENEFICIAL OWNERS HEREOF, AND IS NOT TRANSFERABLE TO ANY PERSON UNDER ANY CIRCUMSTANCES EXCEPT THAT (1) THE TRUSTEE MAY MAKE SUCH NOTATIONS HEREON AS MAY BE REQUIRED PURSUANT TO SECTION 2.06 OF THIS INDENTURE, (2) THIS GLOBAL NOTE MAY BE EXCHANGED IN WHOLE BUT NOT IN PART PURSUANT TO SECTION 2.06(a) OF THIS INDENTURE, (3) THIS GLOBAL NOTE MAY BE DELIVERED TO THE TRUSTEE FOR CANCELLATION PURSUANT TO SECTION 2.11 OF THIS INDENTURE AND (4) THIS GLOBAL NOTE MAY BE TRANSFERRED TO A SUCCESSOR DEPOSITARY WITH THE PRIOR WRITTEN CONSENT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Cancellation and/or Adjustment of Global Notes</w:t>
      </w:r>
      <w:r>
        <w:rPr>
          <w:rFonts w:ascii="Times New Roman" w:hAnsi="Times New Roman"/>
          <w:sz w:val="20"/>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Custodian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Custodian at the direction of the Trustee to reflect such increase.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 Provisions Relating to Transfers and Exchanges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To permit registrations of transfers and exchanges, the Company will execute and the Trustee will authenticate Global Notes and Definitive Notes upon receipt of an Authentication Order in accordance with Section 2.02 hereof or at the Registrar’s request. </w:t>
      </w:r>
    </w:p>
    <w:p>
      <w:pPr>
        <w:pStyle w:val="TextBody"/>
        <w:bidi w:val="0"/>
        <w:spacing w:before="120" w:after="0"/>
        <w:jc w:val="left"/>
        <w:rPr>
          <w:rFonts w:ascii="Times New Roman" w:hAnsi="Times New Roman"/>
          <w:sz w:val="20"/>
        </w:rPr>
      </w:pPr>
      <w:r>
        <w:rPr>
          <w:rFonts w:ascii="Times New Roman" w:hAnsi="Times New Roman"/>
          <w:sz w:val="20"/>
        </w:rPr>
        <w:t xml:space="preserve">(2) 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3.09, 4.10, 4.14 and 9.05 hereof). </w:t>
      </w:r>
    </w:p>
    <w:p>
      <w:pPr>
        <w:pStyle w:val="TextBody"/>
        <w:bidi w:val="0"/>
        <w:spacing w:before="120" w:after="0"/>
        <w:jc w:val="left"/>
        <w:rPr>
          <w:rFonts w:ascii="Times New Roman" w:hAnsi="Times New Roman"/>
          <w:sz w:val="20"/>
        </w:rPr>
      </w:pPr>
      <w:r>
        <w:rPr>
          <w:rFonts w:ascii="Times New Roman" w:hAnsi="Times New Roman"/>
          <w:sz w:val="20"/>
        </w:rPr>
        <w:t xml:space="preserve">(3) [Reserved]. </w:t>
      </w:r>
    </w:p>
    <w:p>
      <w:pPr>
        <w:pStyle w:val="TextBody"/>
        <w:bidi w:val="0"/>
        <w:spacing w:before="120" w:after="0"/>
        <w:jc w:val="left"/>
        <w:rPr>
          <w:rFonts w:ascii="Times New Roman" w:hAnsi="Times New Roman"/>
          <w:sz w:val="20"/>
        </w:rPr>
      </w:pPr>
      <w:r>
        <w:rPr>
          <w:rFonts w:ascii="Times New Roman" w:hAnsi="Times New Roman"/>
          <w:sz w:val="20"/>
        </w:rPr>
        <w:t xml:space="preserve">(4) 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(5) Neither the Registrar nor the Company will be required: </w:t>
      </w:r>
    </w:p>
    <w:p>
      <w:pPr>
        <w:pStyle w:val="TextBody"/>
        <w:bidi w:val="0"/>
        <w:spacing w:before="120" w:after="0"/>
        <w:jc w:val="left"/>
        <w:rPr>
          <w:rFonts w:ascii="Times New Roman" w:hAnsi="Times New Roman"/>
          <w:sz w:val="20"/>
        </w:rPr>
      </w:pPr>
      <w:r>
        <w:rPr>
          <w:rFonts w:ascii="Times New Roman" w:hAnsi="Times New Roman"/>
          <w:sz w:val="20"/>
        </w:rPr>
        <w:t xml:space="preserve">(A) to issue, to register the transfer of, or to exchange any Notes during a period beginning at the opening of business 15 days before the day of any selection of Notes for redemption under Section 3.02 hereof and ending at the close of business on the day of selection;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register the transfer of or to exchange any Note selected for redemption in whole or in part, except the unredeemed portion of any Note being redeemed in part; or </w:t>
      </w:r>
    </w:p>
    <w:p>
      <w:pPr>
        <w:pStyle w:val="TextBody"/>
        <w:bidi w:val="0"/>
        <w:spacing w:before="120" w:after="0"/>
        <w:jc w:val="left"/>
        <w:rPr>
          <w:rFonts w:ascii="Times New Roman" w:hAnsi="Times New Roman"/>
          <w:sz w:val="20"/>
        </w:rPr>
      </w:pPr>
      <w:r>
        <w:rPr>
          <w:rFonts w:ascii="Times New Roman" w:hAnsi="Times New Roman"/>
          <w:sz w:val="20"/>
        </w:rPr>
        <w:t xml:space="preserve">(C) to register the transfer of or to exchange a Note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of the Notes) interest on such Notes and for all other purposes, and none of the Trustee, any Agent or the Company shall be affected by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(7) The Trustee will authenticate Global Notes and Definitive Notes in accordance with the provisions of Section 2.02 hereof. </w:t>
      </w:r>
    </w:p>
    <w:p>
      <w:pPr>
        <w:pStyle w:val="TextBody"/>
        <w:bidi w:val="0"/>
        <w:spacing w:before="120" w:after="0"/>
        <w:jc w:val="left"/>
        <w:rPr>
          <w:rFonts w:ascii="Times New Roman" w:hAnsi="Times New Roman"/>
          <w:sz w:val="20"/>
        </w:rPr>
      </w:pPr>
      <w:r>
        <w:rPr>
          <w:rFonts w:ascii="Times New Roman" w:hAnsi="Times New Roman"/>
          <w:sz w:val="20"/>
        </w:rPr>
        <w:t xml:space="preserve">(8) All certifications, certificates and Opinions of Counsel required to be submitted to the Registrar pursuant to this Section 2.06 to effect a registration of transfer or exchange may be submitted by facsimile.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Replacement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Note has become due and payable, the Company in its sole discretion may, instead of issuing a new Note, pay such Note.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Note under this Section 2.07, the Company may require the payment of a sum sufficient to cover any tax, assessment, fee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Note issued pursuant to this Section 2.07 in exchange for any mutilated Note or in lieu of any destroyed, lost, or stolen Note will constitute an original additional contractual obligation of the Company, whether or not the mutilated, destroyed, lost, or stolen Note shall be at any time enforceable by anyone, and will be entitled to all the benefits of this Indenture equally and proportionately with any and all other Notes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2.07 are exclusive and will preclude (to the extent lawful) all other rights and remedies with respect to the replacement or payment of mutilated, destroyed, lost, or stolen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Outstanding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outstanding at any time are all the Notes authenticated by the Trustee except for those canceled by it, those delivered to the Company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w:t>
      </w:r>
    </w:p>
    <w:p>
      <w:pPr>
        <w:pStyle w:val="TextBody"/>
        <w:bidi w:val="0"/>
        <w:spacing w:before="240" w:after="0"/>
        <w:jc w:val="left"/>
        <w:rPr>
          <w:rFonts w:ascii="Times New Roman" w:hAnsi="Times New Roman"/>
          <w:sz w:val="20"/>
        </w:rPr>
      </w:pPr>
      <w:r>
        <w:rPr>
          <w:rFonts w:ascii="Times New Roman" w:hAnsi="Times New Roman"/>
          <w:sz w:val="20"/>
        </w:rPr>
        <w:t xml:space="preserve">If a Note is replaced pursuant to Section 2.07 hereof, it ceases to be outstanding unless the Trustee receives proof satisfactory to it that the replaced Note is held by a bona fide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principal amount of any Note is considered paid under Section 4.01 hereof, it ceases to be outstanding and interest on it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Treasury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a Responsible Officer of the Trustee actually knows are so owned will be so disregarded.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Temporary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temporary Notes will be entitled to all of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at any time may deliver Notes to the Trustee for cancellation. The Registrar and Paying Agent will forward to the Trustee for cancellation any Notes surrendered to them for registration of transfer, exchange or payment. The Trustee and no one else will cancel all Notes surrendered for registration of transfer, exchange, payment, replacement or cancellation and will dispose of canceled Notes in accordance with its customary procedures (subject to the record retention requirements of the Exchange Act). Certification of the disposition of all canceled Notes will be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not issue new Notes to replace Notes that it has paid or that have been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Defaulted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w:t>
      </w:r>
      <w:r>
        <w:rPr>
          <w:rFonts w:ascii="Times New Roman" w:hAnsi="Times New Roman"/>
          <w:i/>
          <w:sz w:val="20"/>
        </w:rPr>
        <w:t>provided</w:t>
      </w:r>
      <w:r>
        <w:rPr>
          <w:rFonts w:ascii="Times New Roman" w:hAnsi="Times New Roman"/>
          <w:sz w:val="20"/>
        </w:rPr>
        <w:t xml:space="preserve"> that if the Company pays the defaulted interest prior to the date that is 30 days after the date of default in payment of interest, payment shall be to the Holders as of the original record date. The Company will notify the Trustee in writing of the amount of defaulted interest proposed to be paid on each Note and the date of the proposed payment. If such default in interest continues for 30 days, the Company will fix or cause to be fixed each such special record date and payment date; </w:t>
      </w:r>
      <w:r>
        <w:rPr>
          <w:rFonts w:ascii="Times New Roman" w:hAnsi="Times New Roman"/>
          <w:i/>
          <w:sz w:val="20"/>
        </w:rPr>
        <w:t>provided</w:t>
      </w:r>
      <w:r>
        <w:rPr>
          <w:rFonts w:ascii="Times New Roman" w:hAnsi="Times New Roman"/>
          <w:sz w:val="20"/>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2.13. </w:t>
      </w:r>
      <w:r>
        <w:rPr>
          <w:rFonts w:ascii="Times New Roman" w:hAnsi="Times New Roman"/>
          <w:i/>
          <w:sz w:val="20"/>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Notes may use “CUSIP” numbers (if then generally in use) and, if so, the Trustee shall use “CUSIP” numbers in notices of redemption as a convenience to Holders; </w:t>
      </w:r>
      <w:r>
        <w:rPr>
          <w:rFonts w:ascii="Times New Roman" w:hAnsi="Times New Roman"/>
          <w:i/>
          <w:sz w:val="20"/>
        </w:rPr>
        <w:t>provided</w:t>
      </w:r>
      <w:r>
        <w:rPr>
          <w:rFonts w:ascii="Times New Roman" w:hAnsi="Times New Roman"/>
          <w:sz w:val="20"/>
        </w:rPr>
        <w:t xml:space="preserve">,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redemption shall not be affected by any defect in or omission of such numbers. The Company will as promptly as practicable notify the Trustee in writing of any change in “CUSIP” numbers.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i/>
          <w:sz w:val="20"/>
        </w:rPr>
        <w:t>Additional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entitled, subject to its compliance with Sections 4.09 and 4.12 hereof, to issue Additional Notes under this Indenture in an unlimited aggregate principal amount, each of which shall have identical terms as the Initial Notes, other than with respect to the date of issuance and issue price and first payment of interest (and, if such Additional Notes shall be issued in the form of Restricted Global Notes or Restricted Definitive Notes, other than with respect to transfer restrictions, any registration rights agreement and additional interest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Additional Notes, the Company shall set forth in a resolution of its Board of Directors and an Officer’s Certificate, a copy of each which shall be delivered to the Trustee,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such Additional Notes to be authenticated and delivered pursuant to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(b) the issue price, the issue date and the “CUSIP” number(s) of such Additional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Additional Notes are not fungible with the Initial Notes for U.S. federal income tax purposes or if the Company otherwise determines that any Additional Notes should be differentiated from the Initial Notes, such Additional Notes shall not have the same “CUSIP” number as the Initial Notes </w:t>
      </w:r>
      <w:r>
        <w:rPr>
          <w:rFonts w:ascii="Times New Roman" w:hAnsi="Times New Roman"/>
          <w:i/>
          <w:sz w:val="20"/>
        </w:rPr>
        <w:t>provided</w:t>
      </w:r>
      <w:r>
        <w:rPr>
          <w:rFonts w:ascii="Times New Roman" w:hAnsi="Times New Roman"/>
          <w:sz w:val="20"/>
        </w:rPr>
        <w:t xml:space="preserve"> that, for the avoidance of doubt, such Additional Notes will still constitute a single class with all Initial Notes issued under this Indenture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i/>
          <w:sz w:val="20"/>
        </w:rPr>
        <w:t>Repurchases.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and from time to time, directly or indirectly (regardless of whether such Notes are surrendered to the Company), repurchase Notes in the open market or through privately negotiated transactions (which may be done on a non-pro rata basis), a private or public tender or exchange offer or through counterparties to private agreements, including by cash-settled swaps or other derivatives, in each case, without the consent of or prior notice to the Holders, and upon such terms and at such prices as well as with such consideration as the Company or any of its Subsidiaries may determine. Any such purchase or exchange offer may be privately negotiated with one or more Holders on a non-pro rata basis. The Company may cause any Notes so repurchased (other than Notes repurchased pursuant to cash-settled swaps or other derivatives) to be surrendered to the Trustee for cancellation, and any Notes so surrendered and cancelled will no longer be considered “outstanding” under this Indenture upon their repurchase.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AND PREPAYMENT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Notices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Notes pursuant to the optional redemption provisions of Section 3.07 hereof, it must furnish to the Trustee, at least 10 days (or such shorter period acceptable to the Trustee) but not more than 60 days before a redemption date, an Officer’s Certificate setting forth: </w:t>
      </w:r>
    </w:p>
    <w:p>
      <w:pPr>
        <w:pStyle w:val="TextBody"/>
        <w:bidi w:val="0"/>
        <w:spacing w:before="120" w:after="0"/>
        <w:jc w:val="left"/>
        <w:rPr>
          <w:rFonts w:ascii="Times New Roman" w:hAnsi="Times New Roman"/>
          <w:sz w:val="20"/>
        </w:rPr>
      </w:pPr>
      <w:r>
        <w:rPr>
          <w:rFonts w:ascii="Times New Roman" w:hAnsi="Times New Roman"/>
          <w:sz w:val="20"/>
        </w:rPr>
        <w:t xml:space="preserve">(1) the clause of this Indenture pursuant to which the redemption shall occur;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(3) the principal amount of Notes to be redeemed; and </w:t>
      </w:r>
    </w:p>
    <w:p>
      <w:pPr>
        <w:pStyle w:val="TextBody"/>
        <w:bidi w:val="0"/>
        <w:spacing w:before="120" w:after="0"/>
        <w:jc w:val="left"/>
        <w:rPr>
          <w:rFonts w:ascii="Times New Roman" w:hAnsi="Times New Roman"/>
          <w:sz w:val="20"/>
        </w:rPr>
      </w:pPr>
      <w:r>
        <w:rPr>
          <w:rFonts w:ascii="Times New Roman" w:hAnsi="Times New Roman"/>
          <w:sz w:val="20"/>
        </w:rPr>
        <w:t xml:space="preserve">(4) the redemption price, if then ascertainable. </w:t>
      </w:r>
    </w:p>
    <w:p>
      <w:pPr>
        <w:pStyle w:val="TextBody"/>
        <w:bidi w:val="0"/>
        <w:spacing w:before="240" w:after="0"/>
        <w:jc w:val="left"/>
        <w:rPr>
          <w:rFonts w:ascii="Times New Roman" w:hAnsi="Times New Roman"/>
          <w:sz w:val="20"/>
        </w:rPr>
      </w:pPr>
      <w:r>
        <w:rPr>
          <w:rFonts w:ascii="Times New Roman" w:hAnsi="Times New Roman"/>
          <w:sz w:val="20"/>
        </w:rPr>
        <w:t xml:space="preserve">and stating that all conditions to such redemption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Selection of Notes to Be Redeemed or Purchased.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are to be redeemed or purchased in an offer to purchase at any time, the Trustee (subject to Section 4.10, as applicable) will select Notes for redemption or purchase on a </w:t>
      </w:r>
      <w:r>
        <w:rPr>
          <w:rFonts w:ascii="Times New Roman" w:hAnsi="Times New Roman"/>
          <w:i/>
          <w:sz w:val="20"/>
        </w:rPr>
        <w:t>pro rata</w:t>
      </w:r>
      <w:r>
        <w:rPr>
          <w:rFonts w:ascii="Times New Roman" w:hAnsi="Times New Roman"/>
          <w:sz w:val="20"/>
        </w:rPr>
        <w:t xml:space="preserve"> basis, by lot or by such method as it shall deem fair and appropriate in accordance with DTC procedures or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partial redemption or purchase, the particular Notes to be redeemed or purchased will be selected, unless otherwise provided herein, not less than 10 nor more than 60 days prior to the redemption or purchase date by the Trustee from the outstanding Notes not previously called for redemption or purchase.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promptly notify the Company in writing of the Notes selected for redemption or purchase and, in the case of any Note selected for partial redemption or purchase, the principal amount thereof to be redeemed or purchased. Notes and portions of Notes selected will be in amounts of $2,000 or whole multiples of $1,000 in excess thereof; except that if all of the Notes of a Holder are to be redeemed or purchased, the entire outstanding amount of Notes held by such Holder shall be redeemed or purchased; </w:t>
      </w:r>
      <w:r>
        <w:rPr>
          <w:rFonts w:ascii="Times New Roman" w:hAnsi="Times New Roman"/>
          <w:i/>
          <w:sz w:val="20"/>
        </w:rPr>
        <w:t>provided</w:t>
      </w:r>
      <w:r>
        <w:rPr>
          <w:rFonts w:ascii="Times New Roman" w:hAnsi="Times New Roman"/>
          <w:sz w:val="20"/>
        </w:rPr>
        <w:t xml:space="preserve">, that the unredeemed or unpurchased portion of a Note must be in a minimum denomination of $2,000. Except as provided in the preceding sentence, provisions of this Indenture that apply to Notes called for redemption or purchase also apply to portions of Notes called for redemption or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3.09 hereof, at least 10 days but not more than 60 days before the redemption date, the Company will mail or cause to be mailed, by first class mail, a notice of redemption to each Holder whose Notes are to be redeemed at its registered address or otherwise in accordance with the applicable procedures of DTC, except that redemption notices may be mailed more than 60 days prior to a redemption date if the notice is issued in connection with a defeasance of the Notes or a satisfaction and discharge of this Indenture pursuant to Articles 8 or 11 hereof. Any notice of redemption may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The notice will identify the Notes to be redeemed and will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price, or if not then ascertainable, the manner of calculation thereof; </w:t>
      </w:r>
    </w:p>
    <w:p>
      <w:pPr>
        <w:pStyle w:val="TextBody"/>
        <w:bidi w:val="0"/>
        <w:spacing w:before="120" w:after="0"/>
        <w:jc w:val="left"/>
        <w:rPr>
          <w:rFonts w:ascii="Times New Roman" w:hAnsi="Times New Roman"/>
          <w:sz w:val="20"/>
        </w:rPr>
      </w:pPr>
      <w:r>
        <w:rPr>
          <w:rFonts w:ascii="Times New Roman" w:hAnsi="Times New Roman"/>
          <w:sz w:val="20"/>
        </w:rPr>
        <w:t xml:space="preserve">(3) 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 </w:t>
      </w:r>
    </w:p>
    <w:p>
      <w:pPr>
        <w:pStyle w:val="TextBody"/>
        <w:bidi w:val="0"/>
        <w:spacing w:before="120" w:after="0"/>
        <w:jc w:val="left"/>
        <w:rPr>
          <w:rFonts w:ascii="Times New Roman" w:hAnsi="Times New Roman"/>
          <w:sz w:val="20"/>
        </w:rPr>
      </w:pPr>
      <w:r>
        <w:rPr>
          <w:rFonts w:ascii="Times New Roman" w:hAnsi="Times New Roman"/>
          <w:sz w:val="20"/>
        </w:rPr>
        <w:t xml:space="preserve">(4) the name and address of the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that Notes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(6) that, unless the Company defaults in making such redemption payment, interest on Notes called for redemption ceases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(7) the paragraph of the Notes and/or Section of this Indenture pursuant to which the Notes called for redemption are being redeemed; </w:t>
      </w:r>
    </w:p>
    <w:p>
      <w:pPr>
        <w:pStyle w:val="TextBody"/>
        <w:bidi w:val="0"/>
        <w:spacing w:before="120" w:after="0"/>
        <w:jc w:val="left"/>
        <w:rPr>
          <w:rFonts w:ascii="Times New Roman" w:hAnsi="Times New Roman"/>
          <w:sz w:val="20"/>
        </w:rPr>
      </w:pPr>
      <w:r>
        <w:rPr>
          <w:rFonts w:ascii="Times New Roman" w:hAnsi="Times New Roman"/>
          <w:sz w:val="20"/>
        </w:rPr>
        <w:t xml:space="preserve">(8) that no representation is made as to the correctness or accuracy of the CUSIP number, if any, listed in such notice or printed on the Notes; and </w:t>
      </w:r>
    </w:p>
    <w:p>
      <w:pPr>
        <w:pStyle w:val="TextBody"/>
        <w:bidi w:val="0"/>
        <w:spacing w:before="120" w:after="0"/>
        <w:jc w:val="left"/>
        <w:rPr>
          <w:rFonts w:ascii="Times New Roman" w:hAnsi="Times New Roman"/>
          <w:sz w:val="20"/>
        </w:rPr>
      </w:pPr>
      <w:r>
        <w:rPr>
          <w:rFonts w:ascii="Times New Roman" w:hAnsi="Times New Roman"/>
          <w:sz w:val="20"/>
        </w:rPr>
        <w:t xml:space="preserve">(9) any condition to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will give the notice of redemption in the Company’s name and at its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has delivered to the Trustee, at least 10 days prior to the redemption date (or such shorter period as is acceptable to the Trustee), an Officer’s Certificate requesting that the Trustee give such notice and setting forth the information to be stated in such notice as provided in the preceding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Effect of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notice of redemption is mailed in accordance with Section 3.03 hereof, Notes called for redemption become irrevocably due and payable on the redemption date at the redemption price, subject to the satisfaction of any conditions precedent provided in such notice. The notice, if mailed in a manner herein provided shall be conclusively presumed to have been given, whether or not the Holder receives such notice. In any case, failure to give such notice by mail or any defect in the notice to the Holder of any Note designated for redemption in whole or in part shall not affect the validity of the proceedings for the redemption of any other Note. Subject to Section 3.05 hereof, on and after the redemption date, interest will cease to accrue on the Notes or portion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Deposit of Redemption or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10:00 a.m. Eastern Time on the redemption or purchase date, the Company will deposit with the Trustee or with the Paying Agent money sufficient to pay the redemption or purchase price of, and accrued interest,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if any, on all Notes to be redeemed or purchased.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complies with the provisions of the preceding paragraph, on and after the redemption or purchase date, interest will cease to accrue on the Notes or the portions of Notes called for redemption or purchase.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 In the case of a Global Note, an appropriate notation will be made on such Global Note to decrease the principal amount thereof to an amount equal to the unredeemed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i/>
          <w:sz w:val="20"/>
        </w:rPr>
        <w:t>Notes Redeemed or Purchased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November 1, 2029, the Company may on any one or more occasions redeem up to 40% of the aggregate principal amount of Notes issued under this Indenture, upon not less than 10 nor more than 60 days’ notice, at a redemption price equal to 109.500% of the principal amount of the Notes redeemed, </w:t>
      </w:r>
      <w:r>
        <w:rPr>
          <w:rFonts w:ascii="Times New Roman" w:hAnsi="Times New Roman"/>
          <w:i/>
          <w:sz w:val="20"/>
        </w:rPr>
        <w:t>plus</w:t>
      </w:r>
      <w:r>
        <w:rPr>
          <w:rFonts w:ascii="Times New Roman" w:hAnsi="Times New Roman"/>
          <w:sz w:val="20"/>
        </w:rPr>
        <w:t xml:space="preserve"> accrued and unpaid interest, if any, to, but excluding, the date of redemption (subject to the rights of Holders of Notes on a relevant record date to receive interest on an interest payment date occurring on or prior to the redemption date) with the net cash proceeds of an Equity Offering;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at least 50% of the aggregate principal amount of Notes originally issued under this Indenture (excluding Notes held by the Company, any direct or indirect parent of the Company and its Affiliates) remains outstanding immediately after the occurrence of such redemption, unless all such Notes are redeemed substantially concurrently; and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occurs within 180 days of the date of the closing of such Equity Offering. </w:t>
      </w:r>
    </w:p>
    <w:p>
      <w:pPr>
        <w:pStyle w:val="TextBody"/>
        <w:bidi w:val="0"/>
        <w:spacing w:before="240" w:after="0"/>
        <w:jc w:val="left"/>
        <w:rPr>
          <w:rFonts w:ascii="Times New Roman" w:hAnsi="Times New Roman"/>
          <w:sz w:val="20"/>
        </w:rPr>
      </w:pPr>
      <w:r>
        <w:rPr>
          <w:rFonts w:ascii="Times New Roman" w:hAnsi="Times New Roman"/>
          <w:sz w:val="20"/>
        </w:rPr>
        <w:t xml:space="preserve">(b) At any time prior to November 1, 2029, the Company may on any one or more occasions redeem all or a part of the Notes, upon not less than 10 nor more than 60 days’ notice, at a redemption price equal to 100% of the principal amount of the Notes redeemed, plus the Applicable Premium as of, and accrued and unpaid interest, if any, to, but excluding, the applicable date of redemption, subject to the rights of Holders on a relevant record date to receive interest due on an interest payment date occurring on or prior to the redemption date. Promptly after the calculation of the redemption price under this clause (b), the Company shall give the Trustee notice thereof and the Trustee shall have no responsibility for such calculation and need not confirm or investigate the accuracy of the calculation or other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(c) Except pursuant to the preceding paragraphs (a) and (b), the Notes will not be redeemable at the Company’s option prior to November 1, 2029. </w:t>
      </w:r>
    </w:p>
    <w:p>
      <w:pPr>
        <w:pStyle w:val="TextBody"/>
        <w:bidi w:val="0"/>
        <w:spacing w:before="240" w:after="0"/>
        <w:jc w:val="left"/>
        <w:rPr>
          <w:rFonts w:ascii="Times New Roman" w:hAnsi="Times New Roman"/>
          <w:sz w:val="20"/>
        </w:rPr>
      </w:pPr>
      <w:r>
        <w:rPr>
          <w:rFonts w:ascii="Times New Roman" w:hAnsi="Times New Roman"/>
          <w:sz w:val="20"/>
        </w:rPr>
        <w:t xml:space="preserve">(d) On or after November 1, 2029, the Company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12-month period beginning on November 1 of each of the years indicated below, subject to the rights of Holders on a relevant record date to receive interest on an interest payment date occurring on or prior to the redemption date: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5"/>
        <w:gridCol w:w="402"/>
        <w:gridCol w:w="79"/>
        <w:gridCol w:w="1133"/>
        <w:gridCol w:w="280"/>
      </w:tblGrid>
      <w:tr>
        <w:trPr/>
        <w:tc>
          <w:tcPr>
            <w:tcW w:w="504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402"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104.750</w:t>
            </w:r>
          </w:p>
        </w:tc>
        <w:tc>
          <w:tcPr>
            <w:tcW w:w="280" w:type="dxa"/>
            <w:tcBorders/>
            <w:shd w:fill="CCEEFF" w:val="clear"/>
            <w:vAlign w:val="bottom"/>
          </w:tcPr>
          <w:p>
            <w:pPr>
              <w:pStyle w:val="TableContents"/>
              <w:bidi w:val="0"/>
              <w:spacing w:before="0" w:after="283"/>
              <w:jc w:val="left"/>
              <w:rPr/>
            </w:pPr>
            <w:r>
              <w:rPr/>
              <w:t>% </w:t>
            </w:r>
          </w:p>
        </w:tc>
      </w:tr>
      <w:tr>
        <w:trPr/>
        <w:tc>
          <w:tcPr>
            <w:tcW w:w="5045"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0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102.375</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4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100.000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in connection with any tender offer for the Notes, including a Change of Control Offer, Collateral Advance Offer, Collateral Asset Sale Offer or Asset Sale Offer, if Holders of not less than 90% in aggregate principal amount of the outstanding Notes validly tender and do not withdraw such Notes in such tender offer and the Company, or any third party making such tender offer in lieu of the Company, purchases all of the Notes validly tendered and not withdrawn by such Holders, the Company or such third party will have the right upon not less than 10 nor more than 60 days’ prior notice, given not more than 30 days following such purchase date, to redeem all Notes that remain outstanding following such purchase at a redemption price equal to the price offered to each other Holder (excluding any early tender or incentive fee) in such tender offer </w:t>
      </w:r>
      <w:r>
        <w:rPr>
          <w:rFonts w:ascii="Times New Roman" w:hAnsi="Times New Roman"/>
          <w:i/>
          <w:sz w:val="20"/>
        </w:rPr>
        <w:t>plus</w:t>
      </w:r>
      <w:r>
        <w:rPr>
          <w:rFonts w:ascii="Times New Roman" w:hAnsi="Times New Roman"/>
          <w:sz w:val="20"/>
        </w:rPr>
        <w:t xml:space="preserve">, to the extent not included in the tender offer payment, accrued and unpaid interest, if any, thereon, to, but excluding, the date of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(f) Unless the Company defaults in the payment of the redemption price, interest will cease to accrue on the Notes or portions thereof called for redemption on the applicable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Any redemption pursuant to this Section 3.07 shall be made pursuant to the provisions of Sections 3.01 through 3.06 hereof. In connection with any redemption of Notes pursuant to this Section 3.07 (including with the net cash proceeds of an Equity Offering), any such redemption may, at the Company’s discretion, be given prior to the completion of a transaction (including an Equity Offering, an incurrence of Indebtedness, a Change of Control or other transaction) and any redemption notice may, at the Company’s discretion, be subject to one or more conditions precedent including, but not limited to, completion of a related transaction, and may include multiple amounts of notes that may be redeemed and the conditions precedent applicable to such amounts. If such redemption is so subject to satisfaction of one or more conditions precedent, such notice shall describe each such condition, and if applicable, shall state that, in the Company’s discretion, the redemption date may be delayed until such time (including more than 60 days after the date the notice of redemption was mailed or delivered, including by electronic transmission) as any or all such conditions shall be satisfied, or such redemption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(h) If the optional redemption date is on or after a record date and on or before the corresponding interest payment date, the accrued and unpaid interest to, but excluding, the redemption date will be paid on the redemption date to the Holder in whose name the Note is registered at the close of business on such record date in accordance with the applicable procedures of DTC, and no additional interest will be payable to Holders whose Notes will be subject to redemption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i/>
          <w:sz w:val="20"/>
        </w:rPr>
        <w:t>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required to make mandatory redemption or sinking fund payments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i/>
          <w:sz w:val="20"/>
        </w:rPr>
        <w:t>Offer to Purchase by Application of Collateral Excess Proceeds or Excess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pursuant to Section 4.10 hereof, the Company is required to commence a Collateral Asset Sale Offer or an Asset Sale Offer, as applicable, it will follow the procedures specified below. </w:t>
      </w:r>
    </w:p>
    <w:p>
      <w:pPr>
        <w:pStyle w:val="TextBody"/>
        <w:bidi w:val="0"/>
        <w:spacing w:before="240" w:after="0"/>
        <w:jc w:val="left"/>
        <w:rPr>
          <w:rFonts w:ascii="Times New Roman" w:hAnsi="Times New Roman"/>
          <w:sz w:val="20"/>
        </w:rPr>
      </w:pPr>
      <w:r>
        <w:rPr>
          <w:rFonts w:ascii="Times New Roman" w:hAnsi="Times New Roman"/>
          <w:sz w:val="20"/>
        </w:rPr>
        <w:t>The Collateral Asset Sale Offer or Asset Sale Offer, as applicable, will remain open for a period of at least 20 Business Days following its commencement and not more than 30 Business Days, except to the extent that a longer period is required by applicable law (the “</w:t>
      </w:r>
      <w:r>
        <w:rPr>
          <w:rFonts w:ascii="Times New Roman" w:hAnsi="Times New Roman"/>
          <w:i/>
          <w:sz w:val="20"/>
        </w:rPr>
        <w:t>Offer Period</w:t>
      </w:r>
      <w:r>
        <w:rPr>
          <w:rFonts w:ascii="Times New Roman" w:hAnsi="Times New Roman"/>
          <w:sz w:val="20"/>
        </w:rPr>
        <w:t>”). Promptly after the termination of the Offer Period (the “</w:t>
      </w:r>
      <w:r>
        <w:rPr>
          <w:rFonts w:ascii="Times New Roman" w:hAnsi="Times New Roman"/>
          <w:i/>
          <w:sz w:val="20"/>
        </w:rPr>
        <w:t>Purchase Date</w:t>
      </w:r>
      <w:r>
        <w:rPr>
          <w:rFonts w:ascii="Times New Roman" w:hAnsi="Times New Roman"/>
          <w:sz w:val="20"/>
        </w:rPr>
        <w:t>”), the Company will apply all Collateral Excess Proceeds or Excess Proceeds, as applicable (the “</w:t>
      </w:r>
      <w:r>
        <w:rPr>
          <w:rFonts w:ascii="Times New Roman" w:hAnsi="Times New Roman"/>
          <w:i/>
          <w:sz w:val="20"/>
        </w:rPr>
        <w:t>Offer Amount</w:t>
      </w:r>
      <w:r>
        <w:rPr>
          <w:rFonts w:ascii="Times New Roman" w:hAnsi="Times New Roman"/>
          <w:sz w:val="20"/>
        </w:rPr>
        <w:t xml:space="preserve">”) to the purchase of Notes and such other Indebtedness to be purchased in accordance with Section 4.10 (to be purchased on a pro rata basis based on the principal amount of Notes and such other Indebtedness tendered or required to be repaid or redeemed, and thereafter, the Trustee will select the Notes to be purchased on a pro rata basis based on the amount tendered (with, in each case, such adjustments as may be deemed appropriate by the Company or the Trustee, as applicable, so that only Notes in denominations of $1,000, or an integral multiple of $1,000 in excess thereof, will be purchased, provided that any unpurchased portion of a Note must be in a minimum denomination of $2,000)) or, if less than the Offer Amount has been tendered, all Notes and other Indebtedness tendered in response to the Collateral Asset Sale Offer or Asset Sale Offer, as applicable. Payment for any Notes so purchased will be made in the same manner as principal and interest payments are made. </w:t>
      </w:r>
    </w:p>
    <w:p>
      <w:pPr>
        <w:pStyle w:val="TextBody"/>
        <w:bidi w:val="0"/>
        <w:spacing w:before="240" w:after="0"/>
        <w:jc w:val="left"/>
        <w:rPr>
          <w:rFonts w:ascii="Times New Roman" w:hAnsi="Times New Roman"/>
          <w:sz w:val="20"/>
        </w:rPr>
      </w:pPr>
      <w:r>
        <w:rPr>
          <w:rFonts w:ascii="Times New Roman" w:hAnsi="Times New Roman"/>
          <w:sz w:val="20"/>
        </w:rPr>
        <w:t xml:space="preserve">If the Purchase Date is on or after an interest record date and on or before the related interest payment date, any accrued and unpaid interest, if any, will be paid to the Person in whose name a Note is registered at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Upon the commencement of a Collateral Asset Sale Offer or Asset Sale Offer, as applicable, the Company will send, by first class mail, a notice to the Trustee and each of the Holders, with a copy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notice will contain all instructions and materials necessary to enable such Holders to tender Notes pursuant to the Collateral Asset Sale Offer or Asset Sale Offer, as applicable. The notice, which will govern the terms of the Collateral Asset Sale Offer or Asset Sale Offer, as applicable, will state: </w:t>
      </w:r>
    </w:p>
    <w:p>
      <w:pPr>
        <w:pStyle w:val="TextBody"/>
        <w:bidi w:val="0"/>
        <w:spacing w:before="120" w:after="0"/>
        <w:jc w:val="left"/>
        <w:rPr>
          <w:rFonts w:ascii="Times New Roman" w:hAnsi="Times New Roman"/>
          <w:sz w:val="20"/>
        </w:rPr>
      </w:pPr>
      <w:r>
        <w:rPr>
          <w:rFonts w:ascii="Times New Roman" w:hAnsi="Times New Roman"/>
          <w:sz w:val="20"/>
        </w:rPr>
        <w:t xml:space="preserve">(1) that the Collateral Asset Sale Offer or Asset Sale Offer, as applicable, is being made pursuant to this Section 3.09 and Section 4.10 hereof and the length of time the Collateral Asset Sale Offer or Asset Sale Offer, as applicable, will remain open; </w:t>
      </w:r>
    </w:p>
    <w:p>
      <w:pPr>
        <w:pStyle w:val="TextBody"/>
        <w:bidi w:val="0"/>
        <w:spacing w:before="120" w:after="0"/>
        <w:jc w:val="left"/>
        <w:rPr>
          <w:rFonts w:ascii="Times New Roman" w:hAnsi="Times New Roman"/>
          <w:sz w:val="20"/>
        </w:rPr>
      </w:pPr>
      <w:r>
        <w:rPr>
          <w:rFonts w:ascii="Times New Roman" w:hAnsi="Times New Roman"/>
          <w:sz w:val="20"/>
        </w:rPr>
        <w:t xml:space="preserve">(2) the Offer Amount, the purchase price and the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(3) that any Note not tendered or accepted for payment will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Company defaults in making such payment, any Note accepted for payment pursuant to the Collateral Asset Sale Offer or Asset Sale Offer, as applicable, will cease to accrue interest after the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electing to have a Note purchased pursuant to a Collateral Asset Sale Offer or Asset Sale Offer, as applicable, may elect to have Notes purchased in denominations of $1,000 or an integral multiple of $1,000 in excess thereof; provided that any unpurchased portion of a Note must be in a minimum denomination of $2,000); </w:t>
      </w:r>
    </w:p>
    <w:p>
      <w:pPr>
        <w:pStyle w:val="TextBody"/>
        <w:bidi w:val="0"/>
        <w:spacing w:before="120" w:after="0"/>
        <w:jc w:val="left"/>
        <w:rPr>
          <w:rFonts w:ascii="Times New Roman" w:hAnsi="Times New Roman"/>
          <w:sz w:val="20"/>
        </w:rPr>
      </w:pPr>
      <w:r>
        <w:rPr>
          <w:rFonts w:ascii="Times New Roman" w:hAnsi="Times New Roman"/>
          <w:sz w:val="20"/>
        </w:rPr>
        <w:t xml:space="preserve">(6) that Holders electing to have Notes purchased pursuant to any Collateral Asset Sale Offer or Asset Sale Offer, as applicable,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Business Days before the Purchase Date; </w:t>
      </w:r>
    </w:p>
    <w:p>
      <w:pPr>
        <w:pStyle w:val="TextBody"/>
        <w:bidi w:val="0"/>
        <w:spacing w:before="120" w:after="0"/>
        <w:jc w:val="left"/>
        <w:rPr>
          <w:rFonts w:ascii="Times New Roman" w:hAnsi="Times New Roman"/>
          <w:sz w:val="20"/>
        </w:rPr>
      </w:pPr>
      <w:r>
        <w:rPr>
          <w:rFonts w:ascii="Times New Roman" w:hAnsi="Times New Roman"/>
          <w:sz w:val="20"/>
        </w:rPr>
        <w:t xml:space="preserve">(7) that Holders will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 </w:t>
      </w:r>
    </w:p>
    <w:p>
      <w:pPr>
        <w:pStyle w:val="TextBody"/>
        <w:bidi w:val="0"/>
        <w:spacing w:before="120" w:after="0"/>
        <w:jc w:val="left"/>
        <w:rPr>
          <w:rFonts w:ascii="Times New Roman" w:hAnsi="Times New Roman"/>
          <w:sz w:val="20"/>
        </w:rPr>
      </w:pPr>
      <w:r>
        <w:rPr>
          <w:rFonts w:ascii="Times New Roman" w:hAnsi="Times New Roman"/>
          <w:sz w:val="20"/>
        </w:rPr>
        <w:t xml:space="preserve">(8) that, if the aggregate principal amount of Notes and other Indebtedness to be purchased in accordance with Section 4.10 surrendered by holders thereof exceeds the Offer Amount, the Company will select the Notes and other Indebtedness to be purchased on a pro rata basis based on the principal amount of Notes and such other pari passu Indebtedness tendered or required to be prepaid or redeemed, and thereafter the Trustee will select the Notes to be purchased on a pro rata basis based on the amount tendered (with, in each case, such adjustments as may be deemed appropriate by the Company or the Trustee, as applicable, so that only Notes in denominations of $1,000, or an integral multiple of $1,000 in excess thereof, will be purchased; provided that any unpurchased portion of a Note must be in a minimum denomination of $2,000); and </w:t>
      </w:r>
    </w:p>
    <w:p>
      <w:pPr>
        <w:pStyle w:val="TextBody"/>
        <w:bidi w:val="0"/>
        <w:spacing w:before="120" w:after="0"/>
        <w:jc w:val="left"/>
        <w:rPr>
          <w:rFonts w:ascii="Times New Roman" w:hAnsi="Times New Roman"/>
          <w:sz w:val="20"/>
        </w:rPr>
      </w:pPr>
      <w:r>
        <w:rPr>
          <w:rFonts w:ascii="Times New Roman" w:hAnsi="Times New Roman"/>
          <w:sz w:val="20"/>
        </w:rPr>
        <w:t xml:space="preserve">(9) that Holders whose Notes were purchased only in part will be issued new Notes equal in principal amount to the unpurchased portion of the Notes surrendered (or transferred by book-entry transfer).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Purchase Date, the Company will, to the extent lawful, accept for payment, on a pro rata basis to the extent necessary, the Offer Amount of Notes or portions thereof tendered pursuant to such Collateral Asset Sale Offer or Asset Sale Offer, as applicable,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mail or deliver to each tendering Holder an amount equal to the purchase price of the Notes tendered by such Holder and accepted by the Company for purchase, and the Company will promptly issue a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 and the Trustee, upon written request from the Company, will authenticate and mail or deliver (or cause to be transferred by book entry) such new Note to such Holder, in a principal amount equal to any unpurchased portion of the Note surrendered. Any Note not so accepted shall be promptly mailed or delivered by the Company to the Holder thereof. The Company will publicly announce the results of the Collateral Asset Sale Offer or Asset Sale Offer, as applicable, on the Purchase Date. </w:t>
      </w:r>
    </w:p>
    <w:p>
      <w:pPr>
        <w:pStyle w:val="TextBody"/>
        <w:bidi w:val="0"/>
        <w:spacing w:before="240" w:after="0"/>
        <w:jc w:val="left"/>
        <w:rPr>
          <w:rFonts w:ascii="Times New Roman" w:hAnsi="Times New Roman"/>
          <w:sz w:val="20"/>
        </w:rPr>
      </w:pPr>
      <w:r>
        <w:rPr>
          <w:rFonts w:ascii="Times New Roman" w:hAnsi="Times New Roman"/>
          <w:sz w:val="20"/>
        </w:rPr>
        <w:t xml:space="preserve">Other than as specifically provided in this Section 3.09, any purchase pursuant to this Section 3.09 shall be made pursuant to the provisions of Sections 3.01 through 3.06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Payment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or cause to be paid the principal of, premium on, if any, and interest, if any, on, the Notes on the dates and in the manner provided in the Notes. Principal, premium, if any, and interest, if any, will be considered paid on the date due if the Paying Agent, if other than the Company or a Subsidiary thereof, holds as of 11:00 a.m. Eastern Time on the due date money deposited by the Company in immediately available funds and designated for and sufficient to pay all principal, premium, if any, and interest, if any, then due.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 to furnish the Trustee with the address thereof, such presentations, surrenders, notices and demands may be made or served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designates the Corporate Trust Office of the Trustee as one such office or agency of the Company in accordance with Section 2.03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required by the rules and regulations of the SEC, so long as any Notes are outstanding, the Company will furnish to the Trustee (or file with the SEC for public availability) within 15 days after the time periods specified in the SEC’s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(1) all financial information that would be required to be contained in quarterly and annual reports that would be required to be filed with the SEC on Forms 10-Q and 10-K if the Company were required to file such reports, including a “Management’s Discussion and Analysis of Financial Condition and Results of Operations” and, with respect to the annual information only, a report thereon by the Company’s certified independent accountants;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all current reports that would be required to be filed with the SEC on Form 8-K if the Company were required to file such reports. </w:t>
      </w:r>
    </w:p>
    <w:p>
      <w:pPr>
        <w:pStyle w:val="TextBody"/>
        <w:bidi w:val="0"/>
        <w:spacing w:before="240" w:after="0"/>
        <w:jc w:val="left"/>
        <w:rPr>
          <w:rFonts w:ascii="Times New Roman" w:hAnsi="Times New Roman"/>
          <w:sz w:val="20"/>
        </w:rPr>
      </w:pPr>
      <w:r>
        <w:rPr>
          <w:rFonts w:ascii="Times New Roman" w:hAnsi="Times New Roman"/>
          <w:sz w:val="20"/>
        </w:rPr>
        <w:t xml:space="preserve">All such information will be prepared in all material respects in accordance with all of the rules and regulations applicable to such reports indicated above except as otherwise set forth above. To the extent any such information is not filed or furnished within the time periods specified above and such information is subsequently filed or furnished (including upon becoming publicly available, by filing such information with the SEC), the Company shall be deemed to have satisfied its obligations with respect thereto as such time and any Default or Event of Default with respect thereto shall be deemed to have been cured. Any subsequent restatement of any financial information or any amendment to such report shall be deemed to not have resulted in a failure to satisfy clauses (1) or (2) above.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satisfy its obligations in this Section 4.03 with respect to financial information relating to the Company by furnishing financial information relating to a direct or indirect parent entity; </w:t>
      </w:r>
      <w:r>
        <w:rPr>
          <w:rFonts w:ascii="Times New Roman" w:hAnsi="Times New Roman"/>
          <w:i/>
          <w:sz w:val="20"/>
        </w:rPr>
        <w:t>provided</w:t>
      </w:r>
      <w:r>
        <w:rPr>
          <w:rFonts w:ascii="Times New Roman" w:hAnsi="Times New Roman"/>
          <w:sz w:val="20"/>
        </w:rPr>
        <w:t xml:space="preserve"> that the same is accompanied by consolidating information that explains in reasonable detail the differences between the information relating to such parent entity (and other parent entities included in such information, if any), on the one hand, and the information relating to the Company and its Subsidiaries on a standalone basis, on the other hand. For the avoidance of doubt, the consolidating information referred to in this Section 4.03 need not be audited.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above, if the Company or any direct or indirect parent entity has furnished the Holders of Notes or filed with the SEC the reports described in this Section 4.03 with respect to the Company or any direct or indirect parent entity, the Company shall be deemed to be in compliance with the provisions of this Section 4.03. </w:t>
      </w:r>
    </w:p>
    <w:p>
      <w:pPr>
        <w:pStyle w:val="TextBody"/>
        <w:bidi w:val="0"/>
        <w:spacing w:before="240" w:after="0"/>
        <w:jc w:val="left"/>
        <w:rPr>
          <w:rFonts w:ascii="Times New Roman" w:hAnsi="Times New Roman"/>
          <w:sz w:val="20"/>
        </w:rPr>
      </w:pPr>
      <w:r>
        <w:rPr>
          <w:rFonts w:ascii="Times New Roman" w:hAnsi="Times New Roman"/>
          <w:sz w:val="20"/>
        </w:rPr>
        <w:t xml:space="preserve">(b) For so long as any Notes remain outstanding, if at any time the Company and the Guarantors are not required to file with the SEC the reports required by paragraph (a) of this Section 4.03, the Company and the Guarantors will furnish to the Holders and to securities analysts and prospective investors, upon their request, the information required to be delivered pursuant to Rule 144A(d)(4)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deliver to the Trustee, within 120 days after the end of each fiscal year, an Officer’s Certificate stating that in the course of the performance by the signers of their duties as Officers of the Company they would normally have knowledge of any Default or Event of Default and whether or not the signers knew of any Default or Event of Default that occurred during such period (and, if a Default or Event of Default has occurred, describing all such Defaults or Events of Default of which he or she may have knowledge and what action the Company or the Guarantors are taking or propose to take with respect thereto) and that to his or her knowledge no event has occurred and remains in existence by reason of which payments on account of the principal of, premium on, if any, or interest, if any, on the Notes is prohibited or if such event has occurred, a description of the event and what action the Company is taking or proposing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So long as any of the Notes are outstanding, the Company will promptly (which shall be no more than five (5) Business Days) deliver to the Trustee, upon any Officer becoming aware of any Default or Event of Default, an Officer’s Certificate specifying such Default or Event of Default and what action the Company or the Guarantors are taking or propose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Stay, Extension and Usury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the Company and each of the Guarantors (to the extent that it may lawfully do so) hereby expressly waive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i/>
          <w:sz w:val="20"/>
        </w:rPr>
        <w:t>Restricted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not, and will not permit any of its Restricted Subsidiaries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(1) Declare or pay any dividend or make any other payment or distribution on account of the Company’s or any of its Restricted Subsidiaries’ Equity Interests other than (a) dividends, payments or distributions payable in Equity Interests (other than Disqualified Stock) of the Company, and (b) dividends, payments or distributions payable to the Company or a Restricted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 Purchase, redeem or otherwise acquire or retire for value (including in connection with any merger or consolidation involving the Company) any Equity Interests of the Company or any direct or indirect parent of the Company held by Persons other than the Company or a Restricted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(3) Make any voluntary or optional payment on or with respect to, or purchase, redeem, defease or otherwise acquire or retire for value, any Indebtedness of the Company or any Guarantor that is contractually subordinated in right of payment to the Notes or to any Note Guarantee (excluding any intercompany Indebtedness between or among the Company and any of its Restricted Subsidiaries), except a payment of interest when due or principal at the Stated Maturity thereof or the purchase, redemption, repurchase, defeasance, acquisition or retirement for value of any such Indebtedness within 365 days of the Stated Maturity thereof; or </w:t>
      </w:r>
    </w:p>
    <w:p>
      <w:pPr>
        <w:pStyle w:val="TextBody"/>
        <w:bidi w:val="0"/>
        <w:spacing w:before="120" w:after="0"/>
        <w:jc w:val="left"/>
        <w:rPr>
          <w:rFonts w:ascii="Times New Roman" w:hAnsi="Times New Roman"/>
          <w:sz w:val="20"/>
        </w:rPr>
      </w:pPr>
      <w:r>
        <w:rPr>
          <w:rFonts w:ascii="Times New Roman" w:hAnsi="Times New Roman"/>
          <w:sz w:val="20"/>
        </w:rPr>
        <w:t>(4) Make any Restricted Investment (all such payments and other actions set forth in these clauses (1) through (4) above being collectively referred to as “</w:t>
      </w:r>
      <w:r>
        <w:rPr>
          <w:rFonts w:ascii="Times New Roman" w:hAnsi="Times New Roman"/>
          <w:i/>
          <w:sz w:val="20"/>
        </w:rPr>
        <w:t>Restricted Payments</w:t>
      </w:r>
      <w:r>
        <w:rPr>
          <w:rFonts w:ascii="Times New Roman" w:hAnsi="Times New Roman"/>
          <w:sz w:val="20"/>
        </w:rPr>
        <w:t xml:space="preserve">”), unless, at the time of and after giving effect to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(x) no Event of Default has occurred and is Continuing or would occur as a consequence of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(y) the Company would, at the time of such Restricted Payment and after giving pro forma effect thereto as if such Restricted Payment had been made at the beginning of the applicable four-quarter period, have been permitted to incur at least $1.00 of additional Indebtedness pursuant to Section 4.09(a) hereof; and </w:t>
      </w:r>
    </w:p>
    <w:p>
      <w:pPr>
        <w:pStyle w:val="TextBody"/>
        <w:bidi w:val="0"/>
        <w:spacing w:before="120" w:after="0"/>
        <w:jc w:val="left"/>
        <w:rPr>
          <w:rFonts w:ascii="Times New Roman" w:hAnsi="Times New Roman"/>
          <w:sz w:val="20"/>
        </w:rPr>
      </w:pPr>
      <w:r>
        <w:rPr>
          <w:rFonts w:ascii="Times New Roman" w:hAnsi="Times New Roman"/>
          <w:sz w:val="20"/>
        </w:rPr>
        <w:t xml:space="preserve">(z) such Restricted Payment, together with the aggregate amount of all other Restricted Payments made by the Company or the Company’s Restricted Subsidiaries since the Issue Date (including Restricted Payments permitted by clauses (1) and (10) of Section 4.07(b) and excluding Restricted Payments permitted by all other clauses of Section 4.07(b); </w:t>
      </w:r>
      <w:r>
        <w:rPr>
          <w:rFonts w:ascii="Times New Roman" w:hAnsi="Times New Roman"/>
          <w:i/>
          <w:sz w:val="20"/>
        </w:rPr>
        <w:t>provided</w:t>
      </w:r>
      <w:r>
        <w:rPr>
          <w:rFonts w:ascii="Times New Roman" w:hAnsi="Times New Roman"/>
          <w:sz w:val="20"/>
        </w:rPr>
        <w:t xml:space="preserve"> that the calculation of Restricted Payments shall exclude the amounts paid or distributed pursuant to clause (1) of Section 4.07(b) to the extent that the declaration of such dividend or other distribution shall have previously been included as a Restricted Payment), is less than the sum, without duplication,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50% of the Consolidated Net Income of the Company for the period (taken as one accounting period) from the first day of the fiscal quarter in which the Issue Date occurs to the end of the most recently ended fiscal quarter for which internal financial statements are available at the time of such Restricted Payment (or, if such Consolidated Net Income for such period is a deficit, less 100% of such deficit);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100% of the aggregate net proceeds, including cash and Fair Market Value of property other than cash (as determined in accordance with Section 4.07(d) hereof), received by the Company since the Issue Date as a contribution to its common equity capital or from the issue or sale of Qualifying Equity Interests of the Company or any direct or indirect parent of the Company (excluding, without duplication, Designated Preferred Stock), or from the issue or sale of Disqualified Stock of the Company or debt securities of the Company, in each case that have been converted into or exchanged for Qualifying Equity Interests of the Company (other than Qualifying Equity Interests and convertible or exchangeable Disqualified Stock or debt securities sold to a Subsidiary of the Company); </w:t>
      </w:r>
      <w:r>
        <w:rPr>
          <w:rFonts w:ascii="Times New Roman" w:hAnsi="Times New Roman"/>
          <w:i/>
          <w:sz w:val="20"/>
        </w:rPr>
        <w:t>plus</w:t>
      </w:r>
      <w:r>
        <w:rPr>
          <w:rFonts w:ascii="Times New Roman" w:hAnsi="Times New Roman"/>
          <w:sz w:val="20"/>
        </w:rPr>
        <w:t xml:space="preserve">, without duplication, the amount of any cash, and the Fair Market Value of property or assets or marketable securities, received by the Company or any Restricted Subsidiary upon such conversion or exchange;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100% of the aggregate amount of cash and the Fair Market Value of property other than cash (as determined in accordance with Section 4.07 hereof) received by the Company or a Restricted Subsidiary of the Company from (A) the sale or disposition (other than to the Company or a Restricted Subsidiary of the Company) of, or other returns on Investment from, Restricted Investments made after the Issue Date and from repurchases and redemptions of or cash distributions or cash interest received in respect of, such Restricted Investments from the Company and its Restricted Subsidiaries by any Person (other than the Company or its Restricted Subsidiaries) and from repayments of loans or advances, and releases of guarantees, which constituted Restricted Investments made after the Issue Date; (B) the sale (other than to the Company and its Restricted Subsidiaries) of the Capital Stock of an Unrestricted Subsidiary; (C) a distribution or dividend from an Unrestricted Subsidiary or a dividend from a Person that is not a Restricted Subsidiary after the Issue Date, in each case, to the extent that such amounts were not otherwise included in the Consolidated Net Income of the Company for such period; and (D) any Restricted Investment that was made after the Issue Date in a Person that is not a subsidiary at such time that subsequently becomes a Restricted Subsidiary of the Company; </w:t>
      </w:r>
      <w:r>
        <w:rPr>
          <w:rFonts w:ascii="Times New Roman" w:hAnsi="Times New Roman"/>
          <w:i/>
          <w:sz w:val="20"/>
        </w:rPr>
        <w:t>provided</w:t>
      </w:r>
      <w:r>
        <w:rPr>
          <w:rFonts w:ascii="Times New Roman" w:hAnsi="Times New Roman"/>
          <w:sz w:val="20"/>
        </w:rPr>
        <w:t xml:space="preserve"> that such amount will not exceed the amount of the Restricted Investment initially made;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any Unrestricted Subsidiary of the Company designated as such after the Issue Date is redesignated as a Restricted Subsidiary or has been merged or consolidated with or into or transfers or conveys its assets to, or is liquidated into, the Company or a Restricted Subsidiary of the Company, in each case after the Issue Date, the Fair Market Value of the Company’s Investment in such Subsidiary (as determined in accordance with Section 4.07 hereof) as of the date of such redesignation, combination or transfer (or of the assets transferred or conveyed, as applicable), after deducting any Indebtedness associated with the Unrestricted Subsidiary so designated or combined or any Indebtedness associated with the assets so transferred or conveyed (other than in each case to the extent that the designation of such Subsidiary as an Unrestricted Subsidiary was made pursuant to Section 4.07(b)(4) hereof or constituted a Permitted Investment).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Section 4.07(a) hereof will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(1) The payment of any dividend or distribution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making of any Restricted Payment in exchange for, or out of or with the net cash proceeds of the sale (other than to a Restricted Subsidiary of the Company) of, Equity Interests of the Company (other than Disqualified Stock) or from the contribution of common equity capital to the Company within the prior 90 days; </w:t>
      </w:r>
      <w:r>
        <w:rPr>
          <w:rFonts w:ascii="Times New Roman" w:hAnsi="Times New Roman"/>
          <w:i/>
          <w:sz w:val="20"/>
        </w:rPr>
        <w:t>provided</w:t>
      </w:r>
      <w:r>
        <w:rPr>
          <w:rFonts w:ascii="Times New Roman" w:hAnsi="Times New Roman"/>
          <w:sz w:val="20"/>
        </w:rPr>
        <w:t xml:space="preserve"> that the amount of any such net cash proceeds that are utilized for any such Restricted Payment will not be considered to be net proceeds of Qualifying Equity Interests for purposes of Section 4.07(a)(z)(B) hereof; </w:t>
      </w:r>
    </w:p>
    <w:p>
      <w:pPr>
        <w:pStyle w:val="TextBody"/>
        <w:bidi w:val="0"/>
        <w:spacing w:before="120" w:after="0"/>
        <w:jc w:val="left"/>
        <w:rPr>
          <w:rFonts w:ascii="Times New Roman" w:hAnsi="Times New Roman"/>
          <w:sz w:val="20"/>
        </w:rPr>
      </w:pPr>
      <w:r>
        <w:rPr>
          <w:rFonts w:ascii="Times New Roman" w:hAnsi="Times New Roman"/>
          <w:sz w:val="20"/>
        </w:rPr>
        <w:t xml:space="preserve">(3) The Company may make payments to employees in the ordinary course of business related to equity-based compensation issued to employees; </w:t>
      </w:r>
    </w:p>
    <w:p>
      <w:pPr>
        <w:pStyle w:val="TextBody"/>
        <w:bidi w:val="0"/>
        <w:spacing w:before="120" w:after="0"/>
        <w:jc w:val="left"/>
        <w:rPr>
          <w:rFonts w:ascii="Times New Roman" w:hAnsi="Times New Roman"/>
          <w:sz w:val="20"/>
        </w:rPr>
      </w:pPr>
      <w:r>
        <w:rPr>
          <w:rFonts w:ascii="Times New Roman" w:hAnsi="Times New Roman"/>
          <w:sz w:val="20"/>
        </w:rPr>
        <w:t xml:space="preserve">(4) The Company may at any time, and from time to time after the Issue Date, make Restricted Payments (i) in an aggregate amount not to exceed $125.0 million in any fiscal year; or (ii) so long as no Default shall have occurred and be continuing at the time thereof or would result therefrom, if, after giving effect thereto as of the date of such Restricted Payment, the Company’s Consolidated Total Net Leverage Ratio is less than 3.25 to 1.00; </w:t>
      </w:r>
      <w:r>
        <w:rPr>
          <w:rFonts w:ascii="Times New Roman" w:hAnsi="Times New Roman"/>
          <w:i/>
          <w:sz w:val="20"/>
        </w:rPr>
        <w:t>provided</w:t>
      </w:r>
      <w:r>
        <w:rPr>
          <w:rFonts w:ascii="Times New Roman" w:hAnsi="Times New Roman"/>
          <w:sz w:val="20"/>
        </w:rPr>
        <w:t xml:space="preserve">, that, in either case, it is understood that the Company may make Restricted Payments in the form of the repurchase, redemption or retirement of any outstanding Capital Stock of the Company with the proceeds of subordinated Indebtedness, the issuance of which is permitted pursuant Section 4.09(a) or clause (9) of the definition of “Permitted Debt”; </w:t>
      </w:r>
    </w:p>
    <w:p>
      <w:pPr>
        <w:pStyle w:val="TextBody"/>
        <w:bidi w:val="0"/>
        <w:spacing w:before="120" w:after="0"/>
        <w:jc w:val="left"/>
        <w:rPr>
          <w:rFonts w:ascii="Times New Roman" w:hAnsi="Times New Roman"/>
          <w:sz w:val="20"/>
        </w:rPr>
      </w:pPr>
      <w:r>
        <w:rPr>
          <w:rFonts w:ascii="Times New Roman" w:hAnsi="Times New Roman"/>
          <w:sz w:val="20"/>
        </w:rPr>
        <w:t xml:space="preserve">(5) The Company may issue or sell (x) Qualifying Equity Interests so long as such issuance or sale does not result in a Change of Control and (y) other Capital Stock to the extent permitted by clauses (7), (9), (12), (13) and (14) of the definition of “Permitted Debt”; </w:t>
      </w:r>
    </w:p>
    <w:p>
      <w:pPr>
        <w:pStyle w:val="TextBody"/>
        <w:bidi w:val="0"/>
        <w:spacing w:before="120" w:after="0"/>
        <w:jc w:val="left"/>
        <w:rPr>
          <w:rFonts w:ascii="Times New Roman" w:hAnsi="Times New Roman"/>
          <w:sz w:val="20"/>
        </w:rPr>
      </w:pPr>
      <w:r>
        <w:rPr>
          <w:rFonts w:ascii="Times New Roman" w:hAnsi="Times New Roman"/>
          <w:sz w:val="20"/>
        </w:rPr>
        <w:t xml:space="preserve">(6) The payment of any dividend (or, in the case of any partnership or limited liability company, any similar distribution) by a Restricted Subsidiary of the Company to the holders of its Equity Interests so long as the Company or a Restricted Subsidiary receives at least its </w:t>
      </w:r>
      <w:r>
        <w:rPr>
          <w:rFonts w:ascii="Times New Roman" w:hAnsi="Times New Roman"/>
          <w:i/>
          <w:sz w:val="20"/>
        </w:rPr>
        <w:t>pro rata</w:t>
      </w:r>
      <w:r>
        <w:rPr>
          <w:rFonts w:ascii="Times New Roman" w:hAnsi="Times New Roman"/>
          <w:sz w:val="20"/>
        </w:rPr>
        <w:t xml:space="preserve"> share of such dividend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(7) The repurchase, redemption, defeasance or other acquisition or retirement for value of Indebtedness of the Company or any Guarantor that is contractually subordinated to the Notes or to any Note Guarantee with the net cash proceeds from a substantially concurrent incurrence of Permitted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(8) The prepayment, repurchase, redemption, defeasance, discharge, retirement or other acquisition (or the declaration and payment of dividends to, or the making of loans to, any direct or indirect parent of the Company, to finance any such repurchase, retirement or other acquisition) for value of Equity Interests of the Company, any direct or indirect parent of the Company or any Subsidiary of the Company held by any future, present or former employee, director, officer, manager, contractor, consultant or advisor of the Company, any direct or indirect parent of the Company or any Subsidiary of the Company (or any such Person’s estates or heirs) pursuant to any management equity plan or stock option plan or any other management or employee benefit or compensatory plan (and any successor plans or arrangements thereto), employment, termination or severance agreement, or any stock subscription or equityholder agreement (including, for the avoidance of doubt, any principal and interest payable on any Indebtedness issued by the Company or any parent entity in connection with such prepayment, purchase, repurchase, redemption, defeasance, discharge, retirement or other acquisition), including any Capital Stock rolled over, accelerated or paid out by or to any future, present or former employee, director, officer, manager, contractor, consultant or advisor of the Company, any direct or indirect parent of the Company or any Restricted Subsidiary of the Company (or any such Person’s estates or heirs), or other similar agreement or arrangement; </w:t>
      </w:r>
      <w:r>
        <w:rPr>
          <w:rFonts w:ascii="Times New Roman" w:hAnsi="Times New Roman"/>
          <w:i/>
          <w:sz w:val="20"/>
        </w:rPr>
        <w:t>provided</w:t>
      </w:r>
      <w:r>
        <w:rPr>
          <w:rFonts w:ascii="Times New Roman" w:hAnsi="Times New Roman"/>
          <w:sz w:val="20"/>
        </w:rPr>
        <w:t xml:space="preserve">, that the aggregate amounts paid under this clause (8) do not exceed $15.0 million in any calendar year (with unused amounts in any calendar year being carried over to succeeding calendar years subject to a maximum of $30.0 million);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amount in any calendar year may be increased by an amount not to exceed: </w:t>
      </w:r>
    </w:p>
    <w:p>
      <w:pPr>
        <w:pStyle w:val="TextBody"/>
        <w:bidi w:val="0"/>
        <w:spacing w:before="120" w:after="0"/>
        <w:jc w:val="left"/>
        <w:rPr>
          <w:rFonts w:ascii="Times New Roman" w:hAnsi="Times New Roman"/>
          <w:sz w:val="20"/>
        </w:rPr>
      </w:pPr>
      <w:r>
        <w:rPr>
          <w:rFonts w:ascii="Times New Roman" w:hAnsi="Times New Roman"/>
          <w:sz w:val="20"/>
        </w:rPr>
        <w:t>(a) the cash proceeds received by the Company or any of its Restricted Subsidiaries from the sale of Qualifying Equity Interests of the Company or any direct or indirect parent of the Company (to the extent contributed to the Company) to any future, present or former employee, director, officer, manager, contractor, consultant or advisor of the Company, any direct or indirect parent of the Company or any Restricted Subsidiary of the Company (or any such Person’s estates or heirs) that occurs after the Issue Date (</w:t>
      </w:r>
      <w:r>
        <w:rPr>
          <w:rFonts w:ascii="Times New Roman" w:hAnsi="Times New Roman"/>
          <w:i/>
          <w:sz w:val="20"/>
        </w:rPr>
        <w:t>provided</w:t>
      </w:r>
      <w:r>
        <w:rPr>
          <w:rFonts w:ascii="Times New Roman" w:hAnsi="Times New Roman"/>
          <w:sz w:val="20"/>
        </w:rPr>
        <w:t xml:space="preserve"> that the amount of such cash proceeds utilized for any such repurchase, retirement, other acquisition or dividend will not increase the amount available for Restricted Payments pursuant to Section 4.07(a)(z) hereof);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cash proceeds of key man life insurance policies received by the Company or any direct or indirect parent of the Company (to the extent contributed to the Company) and its Restricted Subsidiaries after the Issue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provided</w:t>
      </w:r>
      <w:r>
        <w:rPr>
          <w:rFonts w:ascii="Times New Roman" w:hAnsi="Times New Roman"/>
          <w:sz w:val="20"/>
        </w:rPr>
        <w:t xml:space="preserve"> that the Company may elect to apply all or any portion of the aggregate increase contemplated by clauses (a) and (b) above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(9) The purchase, repurchase, redemption, defeasance or other acquisition or retirement of Equity Interests or other equity awards (i) deemed to occur upon the exercise, conversion or exchange of stock options, warrants or other similar stock-based awards under equity plans of the Company or any of the Company’s Restricted Subsidiaries to the extent such Equity Interests represent a portion of the exercise price of those stock options, warrants or other similar stock-based awards under equity plans of the Company or any of its Restricted Subsidiaries, or (ii) in respect of withholding or similar taxes payable with respect to an exercise, conversion or exchange described in clause (i); </w:t>
      </w:r>
    </w:p>
    <w:p>
      <w:pPr>
        <w:pStyle w:val="TextBody"/>
        <w:bidi w:val="0"/>
        <w:spacing w:before="120" w:after="0"/>
        <w:jc w:val="left"/>
        <w:rPr>
          <w:rFonts w:ascii="Times New Roman" w:hAnsi="Times New Roman"/>
          <w:sz w:val="20"/>
        </w:rPr>
      </w:pPr>
      <w:r>
        <w:rPr>
          <w:rFonts w:ascii="Times New Roman" w:hAnsi="Times New Roman"/>
          <w:sz w:val="20"/>
        </w:rPr>
        <w:t xml:space="preserve">(10) The declaration and payment of regularly scheduled or accrued dividends to holders of a class or series of Disqualified Stock of the Company or any Preferred Stock of any Restricted Subsidiary of the Company issued on or after the Issue Date in accordance with Section 4.09 hereof; </w:t>
      </w:r>
    </w:p>
    <w:p>
      <w:pPr>
        <w:pStyle w:val="TextBody"/>
        <w:bidi w:val="0"/>
        <w:spacing w:before="120" w:after="0"/>
        <w:jc w:val="left"/>
        <w:rPr>
          <w:rFonts w:ascii="Times New Roman" w:hAnsi="Times New Roman"/>
          <w:sz w:val="20"/>
        </w:rPr>
      </w:pPr>
      <w:r>
        <w:rPr>
          <w:rFonts w:ascii="Times New Roman" w:hAnsi="Times New Roman"/>
          <w:sz w:val="20"/>
        </w:rPr>
        <w:t xml:space="preserve">(11) Payments of cash, dividends, distributions, advances or other Restricted Payments by the Company or any of its Restricted Subsidiaries to allow the payment of cash in lieu of the issuance of fractional shares or upon the purchase, redemption or acquisition of fractional shares, including in connection with (i) the exercise of options or warrants, (ii) the conversion or exchange of Capital Stock or Convertible Indebtedness or (iii) stock dividends, splits or combinations or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(12) So long as no Default or Event of Default has occurred and is Continuing, the declaration and payment of dividends or distributions to holders of any class or series of Designated Preferred Stock (other than Disqualified Stock) issued after the Issue Date and the declaration and payment of dividends to any direct or indirect parent of the Company, the proceeds of which will be used to fund the payment of dividends to holders of any class or series of Designated Preferred Stock (other than Disqualified Stock) of any direct or indirect parent of the Company, issued after the Issue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Fixed Charge Coverage Ratio for the Company’s most recently ended four full fiscal quarters for which internal financial statements are available immediately preceding the date on which such Designated Preferred Stock is issued, after giving effect to such issuance (and the payment of dividends or distributions) on a pro forma basis, would have been at least 2.0 to 1.0 and (b) the aggregate amount of dividends declared and paid pursuant to this clause (12) does not exceed the net cash proceeds actually received by the Company from any such sale of Designated Preferred Stock (other than Disqualified Stock) issued after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(13) Payments and distributions to dissenting stockholders pursuant to applicable law (including in connection with, or as a result of, exercise of dissenters’ or appraisal rights and the settlement of any claims or action (whether actual, contingent or potential)), pursuant to or in connection with a consolidation, merger or transfer of assets of the Company and its Restricted Subsidiaries taken as a whole that complies with the terms of this Indenture, including Section 5.01 hereof; </w:t>
      </w:r>
    </w:p>
    <w:p>
      <w:pPr>
        <w:pStyle w:val="TextBody"/>
        <w:bidi w:val="0"/>
        <w:spacing w:before="120" w:after="0"/>
        <w:jc w:val="left"/>
        <w:rPr>
          <w:rFonts w:ascii="Times New Roman" w:hAnsi="Times New Roman"/>
          <w:sz w:val="20"/>
        </w:rPr>
      </w:pPr>
      <w:r>
        <w:rPr>
          <w:rFonts w:ascii="Times New Roman" w:hAnsi="Times New Roman"/>
          <w:sz w:val="20"/>
        </w:rPr>
        <w:t xml:space="preserve">(14) Any prepayment, purchase, repurchase, exchange, redemption, defeasance or other acquisition or retirement for value of Preferred Stock of the Company or a Restricted Subsidiary made by exchange for or out of the proceeds of the substantially concurrent sale of Preferred Stock of the Company or a Restricted Subsidiary, as the case may be, that, in each case, is permitted to be Incurred pursuant to Section 4.09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The purchase of any Permitted Bond Hedge Transaction and any payment and/or issuance of common stock by the Company in connection with the settlement in accordance with its terms or early termination of any Permitted Warrant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(16) The payment, purchase, redemption, defeasance, discharge or other acquisition or retirement for value of Indebtedness that is contractually subordinated to the Notes, Disqualified Stock or Preferred Stock of the Company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pursuant to provisions similar to those described in Section 4.10 and Section 4.14 hereof; </w:t>
      </w:r>
      <w:r>
        <w:rPr>
          <w:rFonts w:ascii="Times New Roman" w:hAnsi="Times New Roman"/>
          <w:i/>
          <w:sz w:val="20"/>
        </w:rPr>
        <w:t>provided</w:t>
      </w:r>
      <w:r>
        <w:rPr>
          <w:rFonts w:ascii="Times New Roman" w:hAnsi="Times New Roman"/>
          <w:sz w:val="20"/>
        </w:rPr>
        <w:t xml:space="preserve"> that, prior to such payment, purchase, redemption, defeasance, discharge or other acquisition or retirement for value, the Company (or a third party to the extent permitted by this Indenture) has made a Change of Control Offer or Asset Sale Offer, as the case may be, with respect to the Notes as a result of such Change of Control or Asset Sale, as the case may be, and has repurchased all Notes validly tendered and not withdrawn in connection with such Change of Control Offer or Asset Sale Offer, as the case may be; or </w:t>
      </w:r>
    </w:p>
    <w:p>
      <w:pPr>
        <w:pStyle w:val="TextBody"/>
        <w:bidi w:val="0"/>
        <w:spacing w:before="120" w:after="0"/>
        <w:jc w:val="left"/>
        <w:rPr>
          <w:rFonts w:ascii="Times New Roman" w:hAnsi="Times New Roman"/>
          <w:sz w:val="20"/>
        </w:rPr>
      </w:pPr>
      <w:r>
        <w:rPr>
          <w:rFonts w:ascii="Times New Roman" w:hAnsi="Times New Roman"/>
          <w:sz w:val="20"/>
        </w:rPr>
        <w:t xml:space="preserve">(b) consisting of Acquired Debt (other than Indebtedness incurred (A) to provide all or any portion of the funds utilized to consummate the transaction or series of related transactions pursuant to which such Person became a Restricted Subsidiary or was otherwise acquired by the Company or a Restricted Subsidiary or (B) otherwise in connection with or contemplation of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(17) The distribution, as a dividend or otherwise, of shares of Capital Stock of, or other transfer or disposition of shares of Capital Stock of, or equity interests in, or Indebtedness owed to the Company or a Restricted Subsidiary of the Company by, Unrestricted Subsidiaries (or a Restricted Subsidiary that owns one or more Unrestricted Subsidiaries and no other material assets) other than, in each case, an Unrestricted Subsidiary all or substantially all of the assets of which consist of cash and/or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(18) (a) dividends or distributions in an aggregate amount per annum not to exceed the greater of (i) up to 6% of the net cash proceeds received by or contributed to the capital of the Company in connection with any Equity Offering following the Issue Date and (ii) an aggregate amount not to exceed 7% of Market Capitalization; or (b) in lieu of all or a portion of the dividends or distributions permitted by clause (a), any prepayment, purchase, repurchase, redemption, defeasance, discharge, retirement or other acquisition of the Company’s Capital Stock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for aggregate consideration that, when taken together with dividends permitted by clause (a), does not exceed the amount contemplated by clause (a); </w:t>
      </w:r>
    </w:p>
    <w:p>
      <w:pPr>
        <w:pStyle w:val="TextBody"/>
        <w:bidi w:val="0"/>
        <w:spacing w:before="120" w:after="0"/>
        <w:jc w:val="left"/>
        <w:rPr>
          <w:rFonts w:ascii="Times New Roman" w:hAnsi="Times New Roman"/>
          <w:sz w:val="20"/>
        </w:rPr>
      </w:pPr>
      <w:r>
        <w:rPr>
          <w:rFonts w:ascii="Times New Roman" w:hAnsi="Times New Roman"/>
          <w:sz w:val="20"/>
        </w:rPr>
        <w:t xml:space="preserve">(19) Investments or other Restricted Payments in an aggregate amount not to exceed the amount of Declined Excess Proceeds; </w:t>
      </w:r>
    </w:p>
    <w:p>
      <w:pPr>
        <w:pStyle w:val="TextBody"/>
        <w:bidi w:val="0"/>
        <w:spacing w:before="120" w:after="0"/>
        <w:jc w:val="left"/>
        <w:rPr>
          <w:rFonts w:ascii="Times New Roman" w:hAnsi="Times New Roman"/>
          <w:sz w:val="20"/>
        </w:rPr>
      </w:pPr>
      <w:r>
        <w:rPr>
          <w:rFonts w:ascii="Times New Roman" w:hAnsi="Times New Roman"/>
          <w:sz w:val="20"/>
        </w:rPr>
        <w:t xml:space="preserve">(20) Restricted Payments in the form of repurchases of common equity interests of the Company in an aggregate amount not to exceed $150.0 million; </w:t>
      </w:r>
    </w:p>
    <w:p>
      <w:pPr>
        <w:pStyle w:val="TextBody"/>
        <w:bidi w:val="0"/>
        <w:spacing w:before="120" w:after="0"/>
        <w:jc w:val="left"/>
        <w:rPr>
          <w:rFonts w:ascii="Times New Roman" w:hAnsi="Times New Roman"/>
          <w:sz w:val="20"/>
        </w:rPr>
      </w:pPr>
      <w:r>
        <w:rPr>
          <w:rFonts w:ascii="Times New Roman" w:hAnsi="Times New Roman"/>
          <w:sz w:val="20"/>
        </w:rPr>
        <w:t xml:space="preserve">(21) To the extent constituting a Restricted Payment, any Restricted Investment not prohibited under this Section 4.07 and any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(22) The granting of Liens not prohibited by Section 4.12 and dispositions in connection with Permitted Intercompany Activities, Permitted Tax Restructuring and related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The payment of any dividend or similar distribution by a Restricted Subsidiary to the holders of its Equity Interests so long as the Company or a Restricted Subsidiary receives at least its pro rata share of such dividend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(24) The issuance of common stock or payment of cash upon conversion or redemption of any Convertible Indebtedness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this Section 4.07, in the event that a Restricted Payment or Investment (or portion thereof) meets the criteria of more than one of the categories of permitted Restricted Payments described in the clauses of Section 4.07(b) hereof, or is entitled to be incurred pursuant to Section 4.07(a) hereof and/or one or more of the clauses contained in the definition of “Permitted Investment,” the Company will be entitled to divide or classify such Restricted Payment or Investment (or portion thereof) on the date of its payment or later divide or reclassify such Restricted Payment or Investment (or portion thereof) in any manner that complies with this Section 4.07 including as an Investment pursuant to one or more of the clauses contained in the definition of “Permitted Investment.”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or a Restricted Subsidiary makes a Restricted Payment which at the time of the making of such Restricted Payment would in the good faith determination of the Company be permitted under the provisions of this Indenture, such Restricted Payment shall be deemed to have been made in compliance with this Indenture notwithstanding any subsequent adjustments made in good faith to the Company’s financial statements affecting Consolidated Net Income or LTM Consolidated EBITDA of the Company for any period. </w:t>
      </w:r>
    </w:p>
    <w:p>
      <w:pPr>
        <w:pStyle w:val="TextBody"/>
        <w:bidi w:val="0"/>
        <w:spacing w:before="240" w:after="0"/>
        <w:jc w:val="left"/>
        <w:rPr>
          <w:rFonts w:ascii="Times New Roman" w:hAnsi="Times New Roman"/>
          <w:sz w:val="20"/>
        </w:rPr>
      </w:pPr>
      <w:r>
        <w:rPr>
          <w:rFonts w:ascii="Times New Roman" w:hAnsi="Times New Roman"/>
          <w:sz w:val="20"/>
        </w:rPr>
        <w:t xml:space="preserve">(e) This Section 4.07 shall not restrict the making of, or dividends or other distributions in amounts sufficient to make, any “AHYDO catch-up payment” with respect to any Indebtedness of the Company or any of its Restricted Subsidiaries permitted to be incurred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i/>
          <w:sz w:val="20"/>
        </w:rPr>
        <w:t>Dividend and Other Payment Restrictions Affecting Restricted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not, and will not permit any of its Restricted Subsidiaries to, directly or indirectly, create or permit to exist or become effective any consensual encumbrance or restriction on the ability of any Restricted Subsidiary to: </w:t>
      </w:r>
    </w:p>
    <w:p>
      <w:pPr>
        <w:pStyle w:val="TextBody"/>
        <w:bidi w:val="0"/>
        <w:spacing w:before="120" w:after="0"/>
        <w:jc w:val="left"/>
        <w:rPr>
          <w:rFonts w:ascii="Times New Roman" w:hAnsi="Times New Roman"/>
          <w:sz w:val="20"/>
        </w:rPr>
      </w:pPr>
      <w:r>
        <w:rPr>
          <w:rFonts w:ascii="Times New Roman" w:hAnsi="Times New Roman"/>
          <w:sz w:val="20"/>
        </w:rPr>
        <w:t xml:space="preserve">(1) 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(2) make loans or advances to the Company or any of its Restricted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(3) sell, lease or transfer any of its properties or assets to the Company or any of its Restricted Subsidiaries;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Company or any Restricted Subsidiary to other Indebtedness incurred by the Company or any Restricted Subsidiary shall not be deemed to constitute such an encumbrance or restriction. </w:t>
      </w:r>
    </w:p>
    <w:p>
      <w:pPr>
        <w:pStyle w:val="TextBody"/>
        <w:bidi w:val="0"/>
        <w:spacing w:before="240" w:after="0"/>
        <w:jc w:val="left"/>
        <w:rPr>
          <w:rFonts w:ascii="Times New Roman" w:hAnsi="Times New Roman"/>
          <w:sz w:val="20"/>
        </w:rPr>
      </w:pPr>
      <w:r>
        <w:rPr>
          <w:rFonts w:ascii="Times New Roman" w:hAnsi="Times New Roman"/>
          <w:sz w:val="20"/>
        </w:rPr>
        <w:t xml:space="preserve">(b) The restrictions in Section 4.08(a) hereof will not apply to encumbrances or restrictions existing under or by reason of: </w:t>
      </w:r>
    </w:p>
    <w:p>
      <w:pPr>
        <w:pStyle w:val="TextBody"/>
        <w:bidi w:val="0"/>
        <w:spacing w:before="120" w:after="0"/>
        <w:jc w:val="left"/>
        <w:rPr>
          <w:rFonts w:ascii="Times New Roman" w:hAnsi="Times New Roman"/>
          <w:sz w:val="20"/>
        </w:rPr>
      </w:pPr>
      <w:r>
        <w:rPr>
          <w:rFonts w:ascii="Times New Roman" w:hAnsi="Times New Roman"/>
          <w:sz w:val="20"/>
        </w:rPr>
        <w:t xml:space="preserve">(1) Agreements governing Existing Indebtedness and Credit Facilities as in effect on the Issue Date (or otherwise required by such agreements in existence on the Issue Date) and after giving effect to any amendments, restatements, modifications, renewals, supplements, refundings, replacements or refinancings of those agreements; </w:t>
      </w:r>
      <w:r>
        <w:rPr>
          <w:rFonts w:ascii="Times New Roman" w:hAnsi="Times New Roman"/>
          <w:i/>
          <w:sz w:val="20"/>
        </w:rPr>
        <w:t>provided</w:t>
      </w:r>
      <w:r>
        <w:rPr>
          <w:rFonts w:ascii="Times New Roman" w:hAnsi="Times New Roman"/>
          <w:sz w:val="20"/>
        </w:rPr>
        <w:t xml:space="preserve"> that the amendments, restatements, modifications, renewals, supplements, refundings, replacements or refinancings are not materially more restrictive, taken as a whole, with respect to such dividend and other payment restrictions than those contained in those agreements on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This Indenture, the Notes and the Note Guarantees; </w:t>
      </w:r>
    </w:p>
    <w:p>
      <w:pPr>
        <w:pStyle w:val="TextBody"/>
        <w:bidi w:val="0"/>
        <w:spacing w:before="120" w:after="0"/>
        <w:jc w:val="left"/>
        <w:rPr>
          <w:rFonts w:ascii="Times New Roman" w:hAnsi="Times New Roman"/>
          <w:sz w:val="20"/>
        </w:rPr>
      </w:pPr>
      <w:r>
        <w:rPr>
          <w:rFonts w:ascii="Times New Roman" w:hAnsi="Times New Roman"/>
          <w:sz w:val="20"/>
        </w:rPr>
        <w:t xml:space="preserve">(3) Agreements governing other Indebtedness permitted to be incurred under Section 4.09 hereof and any amendments, restatements, modifications, renewals, supplements, refundings, replacements or refinancings of those agreements; </w:t>
      </w:r>
      <w:r>
        <w:rPr>
          <w:rFonts w:ascii="Times New Roman" w:hAnsi="Times New Roman"/>
          <w:i/>
          <w:sz w:val="20"/>
        </w:rPr>
        <w:t>provided</w:t>
      </w:r>
      <w:r>
        <w:rPr>
          <w:rFonts w:ascii="Times New Roman" w:hAnsi="Times New Roman"/>
          <w:sz w:val="20"/>
        </w:rPr>
        <w:t xml:space="preserve"> that either (a) the Company determines (in good faith) that such encumbrance or restriction will not materially affect the Company’s ability to make principal or interest payments on the Notes or (b) such encumbrance or restriction applies only during the continuance of a default in respect of a payment relating to such agreement or instrument; </w:t>
      </w:r>
    </w:p>
    <w:p>
      <w:pPr>
        <w:pStyle w:val="TextBody"/>
        <w:bidi w:val="0"/>
        <w:spacing w:before="120" w:after="0"/>
        <w:jc w:val="left"/>
        <w:rPr>
          <w:rFonts w:ascii="Times New Roman" w:hAnsi="Times New Roman"/>
          <w:sz w:val="20"/>
        </w:rPr>
      </w:pPr>
      <w:r>
        <w:rPr>
          <w:rFonts w:ascii="Times New Roman" w:hAnsi="Times New Roman"/>
          <w:sz w:val="20"/>
        </w:rPr>
        <w:t xml:space="preserve">(4) Applicable law, rule, regulation or order; </w:t>
      </w:r>
    </w:p>
    <w:p>
      <w:pPr>
        <w:pStyle w:val="TextBody"/>
        <w:bidi w:val="0"/>
        <w:spacing w:before="120" w:after="0"/>
        <w:jc w:val="left"/>
        <w:rPr>
          <w:rFonts w:ascii="Times New Roman" w:hAnsi="Times New Roman"/>
          <w:sz w:val="20"/>
        </w:rPr>
      </w:pPr>
      <w:r>
        <w:rPr>
          <w:rFonts w:ascii="Times New Roman" w:hAnsi="Times New Roman"/>
          <w:sz w:val="20"/>
        </w:rPr>
        <w:t xml:space="preserve">(5) Any instrument of a Person acquired by the Company or any of its Restricted Subsidiaries as in effect at the time of such acquisition (except to the extent such instrument was entered into in connection with or in contemplation of such acquisition), which encumbrance or restriction is not applicable to any Person, or the properties or assets of any Person, other than the Person, or the property or assets of the Person, so acquired; </w:t>
      </w:r>
    </w:p>
    <w:p>
      <w:pPr>
        <w:pStyle w:val="TextBody"/>
        <w:bidi w:val="0"/>
        <w:spacing w:before="120" w:after="0"/>
        <w:jc w:val="left"/>
        <w:rPr>
          <w:rFonts w:ascii="Times New Roman" w:hAnsi="Times New Roman"/>
          <w:sz w:val="20"/>
        </w:rPr>
      </w:pPr>
      <w:r>
        <w:rPr>
          <w:rFonts w:ascii="Times New Roman" w:hAnsi="Times New Roman"/>
          <w:sz w:val="20"/>
        </w:rPr>
        <w:t xml:space="preserve">(6) Customary provisions in contracts, leases, sub-leases and licenses; </w:t>
      </w:r>
    </w:p>
    <w:p>
      <w:pPr>
        <w:pStyle w:val="TextBody"/>
        <w:bidi w:val="0"/>
        <w:spacing w:before="120" w:after="0"/>
        <w:jc w:val="left"/>
        <w:rPr>
          <w:rFonts w:ascii="Times New Roman" w:hAnsi="Times New Roman"/>
          <w:sz w:val="20"/>
        </w:rPr>
      </w:pPr>
      <w:r>
        <w:rPr>
          <w:rFonts w:ascii="Times New Roman" w:hAnsi="Times New Roman"/>
          <w:sz w:val="20"/>
        </w:rPr>
        <w:t xml:space="preserve">(7) Purchase money obligations, mortgage financings and Capital Lease Obligations that impose restrictions on the property purchased or leased of the nature described in clause (3) of Section 4.08(a) hereof; </w:t>
      </w:r>
    </w:p>
    <w:p>
      <w:pPr>
        <w:pStyle w:val="TextBody"/>
        <w:bidi w:val="0"/>
        <w:spacing w:before="120" w:after="0"/>
        <w:jc w:val="left"/>
        <w:rPr>
          <w:rFonts w:ascii="Times New Roman" w:hAnsi="Times New Roman"/>
          <w:sz w:val="20"/>
        </w:rPr>
      </w:pPr>
      <w:r>
        <w:rPr>
          <w:rFonts w:ascii="Times New Roman" w:hAnsi="Times New Roman"/>
          <w:sz w:val="20"/>
        </w:rPr>
        <w:t xml:space="preserve">(8) Contracts for the sale of assets, including any agreement for the sale or other disposition of a Restricted Subsidiary or all or substantially all of the assets of the Company or such Restricted Subsidiary in compliance with the terms of this Indenture pending such sale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(9) Permitted Refinancing Indebtedness; </w:t>
      </w:r>
      <w:r>
        <w:rPr>
          <w:rFonts w:ascii="Times New Roman" w:hAnsi="Times New Roman"/>
          <w:i/>
          <w:sz w:val="20"/>
        </w:rPr>
        <w:t>provided</w:t>
      </w:r>
      <w:r>
        <w:rPr>
          <w:rFonts w:ascii="Times New Roman" w:hAnsi="Times New Roman"/>
          <w:sz w:val="20"/>
        </w:rPr>
        <w:t xml:space="preserve"> that the restrictions contained in the agreements governing such Permitted Refinancing Indebtedness are not materially more restrictive, taken as a whole, than those contained in the agreements governing the Indebtedness being refinanced, as determined by the Company in good faith; </w:t>
      </w:r>
    </w:p>
    <w:p>
      <w:pPr>
        <w:pStyle w:val="TextBody"/>
        <w:bidi w:val="0"/>
        <w:spacing w:before="120" w:after="0"/>
        <w:jc w:val="left"/>
        <w:rPr>
          <w:rFonts w:ascii="Times New Roman" w:hAnsi="Times New Roman"/>
          <w:sz w:val="20"/>
        </w:rPr>
      </w:pPr>
      <w:r>
        <w:rPr>
          <w:rFonts w:ascii="Times New Roman" w:hAnsi="Times New Roman"/>
          <w:sz w:val="20"/>
        </w:rPr>
        <w:t xml:space="preserve">(10) Secured Indebtedness otherwise permitted to be incurred pursuant to Section 4.09 hereof and Liens permitted to be incurred pursuant to the provisions of Section 4.12 hereof, in each case, that limit the right of the debtor to dispose of the assets subject to such Liens; </w:t>
      </w:r>
    </w:p>
    <w:p>
      <w:pPr>
        <w:pStyle w:val="TextBody"/>
        <w:bidi w:val="0"/>
        <w:spacing w:before="120" w:after="0"/>
        <w:jc w:val="left"/>
        <w:rPr>
          <w:rFonts w:ascii="Times New Roman" w:hAnsi="Times New Roman"/>
          <w:sz w:val="20"/>
        </w:rPr>
      </w:pPr>
      <w:r>
        <w:rPr>
          <w:rFonts w:ascii="Times New Roman" w:hAnsi="Times New Roman"/>
          <w:sz w:val="20"/>
        </w:rPr>
        <w:t xml:space="preserve">(11) Provisions limiting the disposition or distribution of assets or property in joint venture agreements, asset sale agreements, sale-leaseback agreements, stock sale agreements and other similar agreements (including agreements entered into in connection with a Restricted Investment), which limitation is applicable only to the assets or Persons that are the subject of such agreements; </w:t>
      </w:r>
    </w:p>
    <w:p>
      <w:pPr>
        <w:pStyle w:val="TextBody"/>
        <w:bidi w:val="0"/>
        <w:spacing w:before="120" w:after="0"/>
        <w:jc w:val="left"/>
        <w:rPr>
          <w:rFonts w:ascii="Times New Roman" w:hAnsi="Times New Roman"/>
          <w:sz w:val="20"/>
        </w:rPr>
      </w:pPr>
      <w:r>
        <w:rPr>
          <w:rFonts w:ascii="Times New Roman" w:hAnsi="Times New Roman"/>
          <w:sz w:val="20"/>
        </w:rPr>
        <w:t xml:space="preserve">(12) Restrictions on cash or other deposits or net worth imposed by customers under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(13) Customary provisions in joint venture agreements and other similar agreements; </w:t>
      </w:r>
    </w:p>
    <w:p>
      <w:pPr>
        <w:pStyle w:val="TextBody"/>
        <w:bidi w:val="0"/>
        <w:spacing w:before="120" w:after="0"/>
        <w:jc w:val="left"/>
        <w:rPr>
          <w:rFonts w:ascii="Times New Roman" w:hAnsi="Times New Roman"/>
          <w:sz w:val="20"/>
        </w:rPr>
      </w:pPr>
      <w:r>
        <w:rPr>
          <w:rFonts w:ascii="Times New Roman" w:hAnsi="Times New Roman"/>
          <w:sz w:val="20"/>
        </w:rPr>
        <w:t xml:space="preserve">(14) Any Restricted Investment not prohibited by Section 4.07 hereof and any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(15) Customary provisions restricting dispositions of real property interests set forth in any reciprocal easement agreements of the Company or any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Swap Obligations entered into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(17) Any encumbrances or restrictions of the type referred to in Section 4.08(a)(1), (2) and (3) hereof imposed by any amendments, modifications, restatements, renewals, increases, supplements, refundings, replacements or refinancings of the contracts, instruments or obligations referred to in clauses (1) through (16) above; </w:t>
      </w:r>
      <w:r>
        <w:rPr>
          <w:rFonts w:ascii="Times New Roman" w:hAnsi="Times New Roman"/>
          <w:i/>
          <w:sz w:val="20"/>
        </w:rPr>
        <w:t>provided</w:t>
      </w:r>
      <w:r>
        <w:rPr>
          <w:rFonts w:ascii="Times New Roman" w:hAnsi="Times New Roman"/>
          <w:sz w:val="20"/>
        </w:rPr>
        <w:t xml:space="preserve"> that such amendments, modifications, restatements, renewals, increases, supplements, refundings, replacements or refinancings are, in the good faith judgment of the Company (which shall be conclusive), not materially more restrictive as a whole with respect to such dividend and other payment restrictions than those contained in the dividend or other payment restrictions prior to such amendment, modification, restatement, renewal, increase, supplement, refunding, replacement or refinancing; and </w:t>
      </w:r>
    </w:p>
    <w:p>
      <w:pPr>
        <w:pStyle w:val="TextBody"/>
        <w:bidi w:val="0"/>
        <w:spacing w:before="120" w:after="0"/>
        <w:jc w:val="left"/>
        <w:rPr>
          <w:rFonts w:ascii="Times New Roman" w:hAnsi="Times New Roman"/>
          <w:sz w:val="20"/>
        </w:rPr>
      </w:pPr>
      <w:r>
        <w:rPr>
          <w:rFonts w:ascii="Times New Roman" w:hAnsi="Times New Roman"/>
          <w:sz w:val="20"/>
        </w:rPr>
        <w:t xml:space="preserve">(18) Restrictions created in connection with any Permitted Receivables Financing that, in the good faith determination of the Company, are necessary or advisable to effect such Permitted Receivables Financing.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i/>
          <w:sz w:val="20"/>
        </w:rPr>
        <w:t>Incurrence of Indebtedness and Issuance of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not, and will not permit any of its Restricted Subsidiaries to, directly or indirectly, create, incur, issue, assume, guarantee, contingently or otherwise, with respect to (collectively, “</w:t>
      </w:r>
      <w:r>
        <w:rPr>
          <w:rFonts w:ascii="Times New Roman" w:hAnsi="Times New Roman"/>
          <w:i/>
          <w:sz w:val="20"/>
        </w:rPr>
        <w:t>incur</w:t>
      </w:r>
      <w:r>
        <w:rPr>
          <w:rFonts w:ascii="Times New Roman" w:hAnsi="Times New Roman"/>
          <w:sz w:val="20"/>
        </w:rPr>
        <w:t xml:space="preserve">”) any Indebtedness (including Acquired Debt), and the Company will not issue any Disqualified Stock and will not permit any of its Restricted Subsidiaries to issue any shares of Preferred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incur Indebtedness (including Acquired Debt) or issue Disqualified Stock, and any Restricted Subsidiary may incur Indebtedness (including Acquired Debt) or issue Preferred Stock, if either (i) in the case of Indebtedness only, the Consolidated Total Net Leverage Ratio of the Company and its Restricted Subsidiaries as of the last day of the Company’s most recently ended four full fiscal quarters for which internal financial statements are available would be no greater than 4.50 to 1.00 or (ii) the Fixed Charge Coverage Ratio for the Company’s most recently ended four full fiscal quarters for which internal financial statements are available would have been at least 2.00 to 1.00, in each case, determined on a pro forma basis (including a pro forma application of the net proceeds therefrom), as if the additional Indebtedness had been incurred or the Disqualified Stock or the Preferred Stock had been issued, as the case may be, at the beginning of such four-quarter period; </w:t>
      </w:r>
      <w:r>
        <w:rPr>
          <w:rFonts w:ascii="Times New Roman" w:hAnsi="Times New Roman"/>
          <w:i/>
          <w:sz w:val="20"/>
        </w:rPr>
        <w:t>provided</w:t>
      </w:r>
      <w:r>
        <w:rPr>
          <w:rFonts w:ascii="Times New Roman" w:hAnsi="Times New Roman"/>
          <w:sz w:val="20"/>
        </w:rPr>
        <w:t xml:space="preserve"> that the aggregate amount of Indebtedness, Disqualified Stock and Preferred Stock incurred pursuant to this Section 4.09(a) and Section 4.09(b)(13) hereof by Restricted Subsidiaries that are not Guarantors shall not exceed at any time outstanding the greater of (i) $200.0 million and (ii) 50.0% of LTM Consolidated EBITDA of the Company and its consolidated Restricted Subsidiaries. </w:t>
      </w:r>
    </w:p>
    <w:p>
      <w:pPr>
        <w:pStyle w:val="TextBody"/>
        <w:bidi w:val="0"/>
        <w:spacing w:before="240" w:after="0"/>
        <w:jc w:val="left"/>
        <w:rPr>
          <w:rFonts w:ascii="Times New Roman" w:hAnsi="Times New Roman"/>
          <w:sz w:val="20"/>
        </w:rPr>
      </w:pPr>
      <w:r>
        <w:rPr>
          <w:rFonts w:ascii="Times New Roman" w:hAnsi="Times New Roman"/>
          <w:sz w:val="20"/>
        </w:rPr>
        <w:t>(b) The provisions of Section 4.09(a) hereof will not prohibit the incurrence of any of the following (collectively, “</w:t>
      </w:r>
      <w:r>
        <w:rPr>
          <w:rFonts w:ascii="Times New Roman" w:hAnsi="Times New Roman"/>
          <w:i/>
          <w:sz w:val="20"/>
        </w:rPr>
        <w:t>Permitted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The incurrence by the Company and any Restricted Subsidiary of the Company of Indebtedness and letters of credit and bankers’ acceptances under Credit Facilities, and Guarantees in respect of such Indebtedness in an aggregate principal amount at any one time outstanding under this clause (1) not to exceed the sum of (a) $2.15 billion, (b) the greater of $400.0 million and 100% of LTM Consolidated EBITDA and (c) an additional amount, if after giving pro forma effect to the incurrence of such additional amount and the application of the proceeds therefrom, (x) in the case of Indebtedness secured on a </w:t>
      </w:r>
      <w:r>
        <w:rPr>
          <w:rFonts w:ascii="Times New Roman" w:hAnsi="Times New Roman"/>
          <w:i/>
          <w:sz w:val="20"/>
        </w:rPr>
        <w:t>pari passu</w:t>
      </w:r>
      <w:r>
        <w:rPr>
          <w:rFonts w:ascii="Times New Roman" w:hAnsi="Times New Roman"/>
          <w:sz w:val="20"/>
        </w:rPr>
        <w:t xml:space="preserve"> basis with the Notes, the Consolidated Secured Net Leverage Ratio of the Company and its Restricted Subsidiaries as of the last day of the Company’s most recently ended four full fiscal quarters for which internal financial statements are available would be no greater than 3.75 to 1.00 and (y) in the case of Indebtedness secured on a junior lien basis to the notes, the Consolidated Total Net Leverage Ratio of the Company and its Restricted Subsidiaries would be no greater than 4.50 to 1.00; </w:t>
      </w:r>
      <w:r>
        <w:rPr>
          <w:rFonts w:ascii="Times New Roman" w:hAnsi="Times New Roman"/>
          <w:i/>
          <w:sz w:val="20"/>
        </w:rPr>
        <w:t>provided</w:t>
      </w:r>
      <w:r>
        <w:rPr>
          <w:rFonts w:ascii="Times New Roman" w:hAnsi="Times New Roman"/>
          <w:sz w:val="20"/>
        </w:rPr>
        <w:t xml:space="preserve"> that with respect to Indebtedness or commitments incurred under clauses 1(a) and 1(c) of this Section 4.09(b) in a single transaction, the Consolidated Secured Net Leverage Ratio and the Consolidated Total Net Leverage Ratio, as applicable, shall be calculated without giving effect to the Indebtedness or commitments incurred pursuant to clause (1)(a) of this Section 4.09(b)), and any Permitted Refinancing Indebtedness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incurrence by the Company and its Restricted Subsidiaries of the Existing Indebtedness (other than the Indebtedness described in clauses (1) and (3) of this Section 4.09(b)); </w:t>
      </w:r>
    </w:p>
    <w:p>
      <w:pPr>
        <w:pStyle w:val="TextBody"/>
        <w:bidi w:val="0"/>
        <w:spacing w:before="120" w:after="0"/>
        <w:jc w:val="left"/>
        <w:rPr>
          <w:rFonts w:ascii="Times New Roman" w:hAnsi="Times New Roman"/>
          <w:sz w:val="20"/>
        </w:rPr>
      </w:pPr>
      <w:r>
        <w:rPr>
          <w:rFonts w:ascii="Times New Roman" w:hAnsi="Times New Roman"/>
          <w:sz w:val="20"/>
        </w:rPr>
        <w:t xml:space="preserve">(3) The incurrence by the Company and the Guarantors of Indebtedness represented by the Notes and the related Note Guarantees, in each case, to be issued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(4) Indebtedness (i) incurred by the Company or any of its Restricted Subsidiaries, including Indebtedness represented by Capital Lease Obligations, mortgage financings or purchase money obligations (including such Indebtedness as lessee or guarantor), in each case, incurred for the purpose of financing all or any part of the acquisition, lease or cost of design, construction, installation or improvement of property, plant or equipment used or useful in a Permitted Business, whether through the direct purchase of assets or the Capital Stock of any Person owning such assets, in an aggregate principal amount, including all Indebtedness incurred to renew, refund, refinance, replace, defease or discharge any Indebtedness incurred pursuant to this clause (4), not to exceed the greater of (a) $132.0 million and (b) 33.0% of LTM Consolidated EBITDA at the time of incurrence, at any one time outstanding and (ii) arising out of Sale and Leaseback Transactions not to exceed the greater of (a) $132.0 million and (b) 33.0% of LTM Consolidated EBITDA at the time of incurrence,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(5) The incurrence by the Company or any of its Restricted Subsidiaries of Permitted Refinancing Indebtedness in exchange for, or the net proceeds of which are used to renew, refund, refinance, replace, defease or discharge any Indebtedness (other than intercompany Indebtedness) that was permitted by this Indenture to be incurred under Section 4.09(a) hereof or clauses (2), (3), (4) this clause (5) or clauses (9), (13) or (20) of this Section 4.09(b); </w:t>
      </w:r>
    </w:p>
    <w:p>
      <w:pPr>
        <w:pStyle w:val="TextBody"/>
        <w:bidi w:val="0"/>
        <w:spacing w:before="120" w:after="0"/>
        <w:jc w:val="left"/>
        <w:rPr>
          <w:rFonts w:ascii="Times New Roman" w:hAnsi="Times New Roman"/>
          <w:sz w:val="20"/>
        </w:rPr>
      </w:pPr>
      <w:r>
        <w:rPr>
          <w:rFonts w:ascii="Times New Roman" w:hAnsi="Times New Roman"/>
          <w:sz w:val="20"/>
        </w:rPr>
        <w:t xml:space="preserve">(6) The incurrence by the Company or any of its Restricted Subsidiaries of intercompany Indebtedness between or among the Company and any of its Restricted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if the Company or any Guarantor is the obligor on such Indebtedness and the payee is not the Company or a Guarantor, such Indebtedness must be unsecured and expressly subordinated to the prior payment in full in cash of all Obligations then due with respect to the Notes, in the case of the Company, or the Note Guarantee, in the case of a Guarantor;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such intercompany Indebtedness is an Investment permitted by Section 4.07 hereof; and </w:t>
      </w:r>
    </w:p>
    <w:p>
      <w:pPr>
        <w:pStyle w:val="TextBody"/>
        <w:bidi w:val="0"/>
        <w:spacing w:before="120" w:after="0"/>
        <w:jc w:val="left"/>
        <w:rPr>
          <w:rFonts w:ascii="Times New Roman" w:hAnsi="Times New Roman"/>
          <w:sz w:val="20"/>
        </w:rPr>
      </w:pPr>
      <w:r>
        <w:rPr>
          <w:rFonts w:ascii="Times New Roman" w:hAnsi="Times New Roman"/>
          <w:sz w:val="20"/>
        </w:rPr>
        <w:t xml:space="preserve">(C) (i) any subsequent issuance or transfer of Equity Interests that results in any such Indebtedness being held by a Person other than the Company or a Restricted Subsidiary of the Company and (ii) any sale or other transfer of any such Indebtedness to a Person that is not either the Company or a Restricted Subsidiary of the Company, will be deemed, in each case, to constitute an issuance of such Indebtedness by the Company or such Restricted Subsidiary, as the case may be, that was not permitted by this clause (6); </w:t>
      </w:r>
    </w:p>
    <w:p>
      <w:pPr>
        <w:pStyle w:val="TextBody"/>
        <w:bidi w:val="0"/>
        <w:spacing w:before="120" w:after="0"/>
        <w:jc w:val="left"/>
        <w:rPr>
          <w:rFonts w:ascii="Times New Roman" w:hAnsi="Times New Roman"/>
          <w:sz w:val="20"/>
        </w:rPr>
      </w:pPr>
      <w:r>
        <w:rPr>
          <w:rFonts w:ascii="Times New Roman" w:hAnsi="Times New Roman"/>
          <w:sz w:val="20"/>
        </w:rPr>
        <w:t xml:space="preserve">(7) The issuance by any of the Company’s Restricted Subsidiaries to the Company or to any Restricted Subsidiary of the Company of shares of Preferred Stock or to such Restricted Subsidiaries’ holders on a pro rata basis;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any subsequent issuance or transfer of Equity Interests that results in any such Preferred Stock being held by a Person other than the Company or a Restricted Subsidiary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(B) any sale or other transfer of any such Preferred Stock to a Person that is not either the Company or a Restricted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be deemed, in each case, to constitute an issuance of such Preferred Stock by such Restricted Subsidiary that was not permitted by this clause (7); </w:t>
      </w:r>
    </w:p>
    <w:p>
      <w:pPr>
        <w:pStyle w:val="TextBody"/>
        <w:bidi w:val="0"/>
        <w:spacing w:before="120" w:after="0"/>
        <w:jc w:val="left"/>
        <w:rPr>
          <w:rFonts w:ascii="Times New Roman" w:hAnsi="Times New Roman"/>
          <w:sz w:val="20"/>
        </w:rPr>
      </w:pPr>
      <w:r>
        <w:rPr>
          <w:rFonts w:ascii="Times New Roman" w:hAnsi="Times New Roman"/>
          <w:sz w:val="20"/>
        </w:rPr>
        <w:t xml:space="preserve">(8) The incurrence by the Company or any of the Company’s Restricted Subsidiaries of Swap Obligations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(9) The Guarantee by the Company or any Restricted Subsidiary of the Company of Indebtedness of the Company or a Restricted Subsidiary of the Company, in each case, to the extent that the guaranteed Indebtedness was permitted to be incurred by another provision of this Section 4.09; </w:t>
      </w:r>
      <w:r>
        <w:rPr>
          <w:rFonts w:ascii="Times New Roman" w:hAnsi="Times New Roman"/>
          <w:i/>
          <w:sz w:val="20"/>
        </w:rPr>
        <w:t>provided</w:t>
      </w:r>
      <w:r>
        <w:rPr>
          <w:rFonts w:ascii="Times New Roman" w:hAnsi="Times New Roman"/>
          <w:sz w:val="20"/>
        </w:rPr>
        <w:t xml:space="preserve"> that if the Indebtedness being guaranteed is subordinated to or </w:t>
      </w:r>
      <w:r>
        <w:rPr>
          <w:rFonts w:ascii="Times New Roman" w:hAnsi="Times New Roman"/>
          <w:i/>
          <w:sz w:val="20"/>
        </w:rPr>
        <w:t>pari passu</w:t>
      </w:r>
      <w:r>
        <w:rPr>
          <w:rFonts w:ascii="Times New Roman" w:hAnsi="Times New Roman"/>
          <w:sz w:val="20"/>
        </w:rPr>
        <w:t xml:space="preserve"> with the Notes, then the Guarantee must be subordinated or </w:t>
      </w:r>
      <w:r>
        <w:rPr>
          <w:rFonts w:ascii="Times New Roman" w:hAnsi="Times New Roman"/>
          <w:i/>
          <w:sz w:val="20"/>
        </w:rPr>
        <w:t>pari passu</w:t>
      </w:r>
      <w:r>
        <w:rPr>
          <w:rFonts w:ascii="Times New Roman" w:hAnsi="Times New Roman"/>
          <w:sz w:val="20"/>
        </w:rPr>
        <w:t xml:space="preserve">, as applicable, to the same extent as the Indebtedness guaranteed; </w:t>
      </w:r>
    </w:p>
    <w:p>
      <w:pPr>
        <w:pStyle w:val="TextBody"/>
        <w:bidi w:val="0"/>
        <w:spacing w:before="120" w:after="0"/>
        <w:jc w:val="left"/>
        <w:rPr>
          <w:rFonts w:ascii="Times New Roman" w:hAnsi="Times New Roman"/>
          <w:sz w:val="20"/>
        </w:rPr>
      </w:pPr>
      <w:r>
        <w:rPr>
          <w:rFonts w:ascii="Times New Roman" w:hAnsi="Times New Roman"/>
          <w:sz w:val="20"/>
        </w:rPr>
        <w:t xml:space="preserve">(10) The incurrence by the Company or any of the Company’s Restricted Subsidiaries of Indebtedness in respect of letters of credit, bank guarantees, workers’ compensation claims, health, disability or other employee benefits, property, casualty or liability insurance, self-insurance obligations, bankers’ acceptances, guarantees, performance, surety, statutory, judgment, bid, appeal, completion, export or import, indemnities, advance payment (including progress premiums), customs, guarantees, discounted bills of exchange, discounting or factoring of receivables or payables for credit management purposes, warehouse receipts, revenue bonds or similar instruments in the ordinary course of business or consistent with past practice, including guarantees or obligations with respect thereto (in each case other than for an obligation for money borrowed); </w:t>
      </w:r>
    </w:p>
    <w:p>
      <w:pPr>
        <w:pStyle w:val="TextBody"/>
        <w:bidi w:val="0"/>
        <w:spacing w:before="120" w:after="0"/>
        <w:jc w:val="left"/>
        <w:rPr>
          <w:rFonts w:ascii="Times New Roman" w:hAnsi="Times New Roman"/>
          <w:sz w:val="20"/>
        </w:rPr>
      </w:pPr>
      <w:r>
        <w:rPr>
          <w:rFonts w:ascii="Times New Roman" w:hAnsi="Times New Roman"/>
          <w:sz w:val="20"/>
        </w:rPr>
        <w:t xml:space="preserve">(11) The incurrence by the Company or any of the Company’s Restricted Subsidiaries of Indebtedness arising from the honoring by a bank or other financial institution of a check, draft or similar instrument inadvertently drawn against insufficient funds, so long as such Indebtedness is covered within 10 Business Days and any Indebtedness arising from Treasury Management Arrangements incurred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(12) Indebtedness and Preferred Stock of Excluded Subsidiaries in an aggregate principal amount not to exceed (i) the greater of (a) $132.0 million and (b) 33.0% of LTM Consolidated EBITDA,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(13) (x) Indebtedness of the Company or any Restricted Subsidiary and Preferred Stock of any Restricted Subsidiary, in each case, incurred or issued to finance an acquisition or Investment or (y) Indebtedness or Preferred Stock of any Person outstanding on the date such Person was acquired by the Company or a Restricted Subsidiary of the Company or was merged with or into or consolidated with the Company or a Restricted Subsidiary of the Company; </w:t>
      </w:r>
      <w:r>
        <w:rPr>
          <w:rFonts w:ascii="Times New Roman" w:hAnsi="Times New Roman"/>
          <w:i/>
          <w:sz w:val="20"/>
        </w:rPr>
        <w:t>provided</w:t>
      </w:r>
      <w:r>
        <w:rPr>
          <w:rFonts w:ascii="Times New Roman" w:hAnsi="Times New Roman"/>
          <w:sz w:val="20"/>
        </w:rPr>
        <w:t xml:space="preserve"> that, such Indebtedness is in an aggregate amount not to exceed (i) the greater of (a) $132.0 million and (b) 33.0% of LTM Consolidated EBITDA, at any one time outstanding, plus (ii) unlimited additional Indebtedness of the Company or any Restricted Subsidiary and Preferred Stock of any Restricted Subsidiary if after giving pro forma effect to such acquisition, merger, amalgamation or consolidation, either: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would have been able to incur $1.00 of additional Indebtedness pursuant to Section 4.09(a) hereof; or </w:t>
      </w:r>
    </w:p>
    <w:p>
      <w:pPr>
        <w:pStyle w:val="TextBody"/>
        <w:bidi w:val="0"/>
        <w:spacing w:before="120" w:after="0"/>
        <w:jc w:val="left"/>
        <w:rPr>
          <w:rFonts w:ascii="Times New Roman" w:hAnsi="Times New Roman"/>
          <w:sz w:val="20"/>
        </w:rPr>
      </w:pPr>
      <w:r>
        <w:rPr>
          <w:rFonts w:ascii="Times New Roman" w:hAnsi="Times New Roman"/>
          <w:sz w:val="20"/>
        </w:rPr>
        <w:t xml:space="preserve">(B) either (i) solely in the case of Indebtedness, the Consolidated Total Net Leverage Ratio of the Company and Subsidiaries would not be higher or (ii) the Fixed Charge Coverage Ratio of the Company and its Restricted Subsidiaries would not be lower, in each case, than it was immediately prior to such acquisition, merger or consolidation;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aggregate amount Indebtedness, Disqualified Stock and Preferred Stock incurred pursuant to this clause (b)(13) and Section 4.09(a) by Restricted Subsidiaries that are not Guarantors shall not exceed at any time outstanding the greater of (i) $200.0 million and (ii) 50.0% of LTM Consolidated EBITDA of the Company and its consolidated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The incurrence by the Company or its Restricted Subsidiaries of Indebtedness arising from agreements providing for guarantees, indemnification, deferred or adjusted purchase price, earn-out or similar obligations, incurred in connection with the acquisition or disposition of any business, assets or Restricted Subsidiary of the Company (other than Guarantees of Indebtedness incurred by any Person acquiring all or any portion of such business, assets or Restricted Subsidiary for the purpose of financing such acquisition) or other Investment in a business or Person, so long as, in the case of any disposition, the principal amount of such Indebtedness does not exceed the gross proceeds (including non-cash proceeds) actually received by the Company or any Restricted Subsidiary of the Company in connection with such transactions; </w:t>
      </w:r>
    </w:p>
    <w:p>
      <w:pPr>
        <w:pStyle w:val="TextBody"/>
        <w:bidi w:val="0"/>
        <w:spacing w:before="120" w:after="0"/>
        <w:jc w:val="left"/>
        <w:rPr>
          <w:rFonts w:ascii="Times New Roman" w:hAnsi="Times New Roman"/>
          <w:sz w:val="20"/>
        </w:rPr>
      </w:pPr>
      <w:r>
        <w:rPr>
          <w:rFonts w:ascii="Times New Roman" w:hAnsi="Times New Roman"/>
          <w:sz w:val="20"/>
        </w:rPr>
        <w:t xml:space="preserve">(15) The incurrence by the Company or any of its Restricted Subsidiaries of Indebtedness arising in connection with endorsement of instruments for collection or deposit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(16) Indebtedness consisting of the financing of insurance premiums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(17) Indebtedness of the Company or any of its Restricted Subsidiaries, the proceeds of which are applied to defease or discharge the Notes pursuant to Articles 8 or 11 hereof; </w:t>
      </w:r>
    </w:p>
    <w:p>
      <w:pPr>
        <w:pStyle w:val="TextBody"/>
        <w:bidi w:val="0"/>
        <w:spacing w:before="120" w:after="0"/>
        <w:jc w:val="left"/>
        <w:rPr>
          <w:rFonts w:ascii="Times New Roman" w:hAnsi="Times New Roman"/>
          <w:sz w:val="20"/>
        </w:rPr>
      </w:pPr>
      <w:r>
        <w:rPr>
          <w:rFonts w:ascii="Times New Roman" w:hAnsi="Times New Roman"/>
          <w:sz w:val="20"/>
        </w:rPr>
        <w:t xml:space="preserve">(18) Take-or-pay obligations contained in supply arrangements entered into by the Company or a Restricted Subsidiary of the Company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(19) Indebtedness related to unfunded pension fund and other employee benefit plan obligations and liabilities to the extent they are permitted to remain unfunded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(20) The incurrence by the Company or any of its Restricted Subsidiaries of additional Indebtedness or the issuance by the Company of Disqualified Stock or the issuance by any Restricted Subsidiary of Preferred Stock in an aggregate principal amount (or accreted value, as applicable) or liquidation value at any time outstanding, including all Indebtedness incurred to renew, refund, refinance, replace, defease or discharge any Indebtedness or liquidation value incurred pursuant to this clause (20), not to exceed the greater of (a) $264.0 million and (b) 66.0% of LTM Consolidated EBITDA at the time of incurrence,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(21) Indebtedness arising in connection with judgments against the Company or its Subsidiaries to the extent such judgment is not an Event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(22) Indebtedness of the Company or any of its Restricted Subsidiaries arising pursuant to any Permitted Intercompany Activities or Permitted Tax Restructurings; </w:t>
      </w:r>
    </w:p>
    <w:p>
      <w:pPr>
        <w:pStyle w:val="TextBody"/>
        <w:bidi w:val="0"/>
        <w:spacing w:before="120" w:after="0"/>
        <w:jc w:val="left"/>
        <w:rPr>
          <w:rFonts w:ascii="Times New Roman" w:hAnsi="Times New Roman"/>
          <w:sz w:val="20"/>
        </w:rPr>
      </w:pPr>
      <w:r>
        <w:rPr>
          <w:rFonts w:ascii="Times New Roman" w:hAnsi="Times New Roman"/>
          <w:sz w:val="20"/>
        </w:rPr>
        <w:t xml:space="preserve">(23) Permitted Warrant Transactions that constitute Indebtedness; and </w:t>
      </w:r>
    </w:p>
    <w:p>
      <w:pPr>
        <w:pStyle w:val="TextBody"/>
        <w:bidi w:val="0"/>
        <w:spacing w:before="120" w:after="0"/>
        <w:jc w:val="left"/>
        <w:rPr>
          <w:rFonts w:ascii="Times New Roman" w:hAnsi="Times New Roman"/>
          <w:sz w:val="20"/>
        </w:rPr>
      </w:pPr>
      <w:r>
        <w:rPr>
          <w:rFonts w:ascii="Times New Roman" w:hAnsi="Times New Roman"/>
          <w:sz w:val="20"/>
        </w:rPr>
        <w:t xml:space="preserve">(24) Indebtedness incurred in connection with Permitted Receivables Financings.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incur, and will not permit any Guarantor to incur, any Indebtedness (including Permitted Debt but excluding intercompany Indebtedness) that is contractually subordinated in right of payment to any other Indebtedness of the Company or such Guarantor unless such Indebtedness is also contractually subordinated in right of payment to the Notes and the applicable Note Guarantee on substantially identical terms;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Indebtedness will be deemed to be contractually subordinated in right of payment to any other Indebtedness of the Company solely by virtue of being unsecured or by virtue of being secured on a junior priority basis, by different collateral or because it is guaranteed by different obligors.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determining compliance with this Section 4.09: </w:t>
      </w:r>
    </w:p>
    <w:p>
      <w:pPr>
        <w:pStyle w:val="TextBody"/>
        <w:bidi w:val="0"/>
        <w:spacing w:before="120" w:after="0"/>
        <w:jc w:val="left"/>
        <w:rPr>
          <w:rFonts w:ascii="Times New Roman" w:hAnsi="Times New Roman"/>
          <w:sz w:val="20"/>
        </w:rPr>
      </w:pPr>
      <w:r>
        <w:rPr>
          <w:rFonts w:ascii="Times New Roman" w:hAnsi="Times New Roman"/>
          <w:sz w:val="20"/>
        </w:rPr>
        <w:t xml:space="preserve">(1) In the event that an item of Indebtedness meets the criteria of more than one of the categories of Indebtedness described in Section 4.09(a) and Section 4.09(b) hereof, the Company will be permitted to classify such item of Indebtedness on the date of its incurrence, and later divide and reclassify all or a portion of such item of Indebtedness as having been incurred pursuant to any type of Indebtedness described in Section 4.09(a) and Section 4.09(b) hereof, in any manner that complies with this Section 4.09. </w:t>
      </w:r>
    </w:p>
    <w:p>
      <w:pPr>
        <w:pStyle w:val="TextBody"/>
        <w:bidi w:val="0"/>
        <w:spacing w:before="120" w:after="0"/>
        <w:jc w:val="left"/>
        <w:rPr>
          <w:rFonts w:ascii="Times New Roman" w:hAnsi="Times New Roman"/>
          <w:sz w:val="20"/>
        </w:rPr>
      </w:pPr>
      <w:r>
        <w:rPr>
          <w:rFonts w:ascii="Times New Roman" w:hAnsi="Times New Roman"/>
          <w:sz w:val="20"/>
        </w:rPr>
        <w:t xml:space="preserve">(2) Indebtedness under Credit Facilities outstanding on the Issue Date will be deemed to have been incurred in reliance on the exception provided by clause (1)(a) of Section 4.09(b) hereof and may not be later reclassified.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any Permitted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 </w:t>
      </w:r>
    </w:p>
    <w:p>
      <w:pPr>
        <w:pStyle w:val="TextBody"/>
        <w:bidi w:val="0"/>
        <w:spacing w:before="120" w:after="0"/>
        <w:jc w:val="left"/>
        <w:rPr>
          <w:rFonts w:ascii="Times New Roman" w:hAnsi="Times New Roman"/>
          <w:sz w:val="20"/>
        </w:rPr>
      </w:pPr>
      <w:r>
        <w:rPr>
          <w:rFonts w:ascii="Times New Roman" w:hAnsi="Times New Roman"/>
          <w:sz w:val="20"/>
        </w:rPr>
        <w:t xml:space="preserve">(4) Guarantees of, or obligations in respect of letters of credit, bankers’ acceptances or other similar instruments relating to, or Liens securing, Indebtedness that is otherwise included in the determination of a particular amount of Indebtedness shall not be included; </w:t>
      </w:r>
    </w:p>
    <w:p>
      <w:pPr>
        <w:pStyle w:val="TextBody"/>
        <w:bidi w:val="0"/>
        <w:spacing w:before="120" w:after="0"/>
        <w:jc w:val="left"/>
        <w:rPr>
          <w:rFonts w:ascii="Times New Roman" w:hAnsi="Times New Roman"/>
          <w:sz w:val="20"/>
        </w:rPr>
      </w:pPr>
      <w:r>
        <w:rPr>
          <w:rFonts w:ascii="Times New Roman" w:hAnsi="Times New Roman"/>
          <w:sz w:val="20"/>
        </w:rPr>
        <w:t xml:space="preserve">(5) The principal amount of any Disqualified Stock of the Company or a Restricted Subsidiary, or Preferred Stock of a Restricted Subsidiary, will be equal to the greater of the maximum mandatory redemption or repurchase price (not including, in either case, any redemption or repurchase premium) or the liquidation preference thereof; </w:t>
      </w:r>
    </w:p>
    <w:p>
      <w:pPr>
        <w:pStyle w:val="TextBody"/>
        <w:bidi w:val="0"/>
        <w:spacing w:before="120" w:after="0"/>
        <w:jc w:val="left"/>
        <w:rPr>
          <w:rFonts w:ascii="Times New Roman" w:hAnsi="Times New Roman"/>
          <w:sz w:val="20"/>
        </w:rPr>
      </w:pPr>
      <w:r>
        <w:rPr>
          <w:rFonts w:ascii="Times New Roman" w:hAnsi="Times New Roman"/>
          <w:sz w:val="20"/>
        </w:rPr>
        <w:t xml:space="preserve">(6) Indebtedness permitted by this Section 4.09 need not be permitted solely by reference to one provision permitting such Indebtedness but may be permitted in part by one such provision and in part by one or more other provisions of this Section 4.09 permitting such Indebtedness; </w:t>
      </w:r>
    </w:p>
    <w:p>
      <w:pPr>
        <w:pStyle w:val="TextBody"/>
        <w:bidi w:val="0"/>
        <w:spacing w:before="120" w:after="0"/>
        <w:jc w:val="left"/>
        <w:rPr>
          <w:rFonts w:ascii="Times New Roman" w:hAnsi="Times New Roman"/>
          <w:sz w:val="20"/>
        </w:rPr>
      </w:pPr>
      <w:r>
        <w:rPr>
          <w:rFonts w:ascii="Times New Roman" w:hAnsi="Times New Roman"/>
          <w:sz w:val="20"/>
        </w:rPr>
        <w:t>(7) For all purposes under this Indenture, including for purposes of calculating the Fixed Charge Coverage Ratio, the Consolidated Total Net Leverage Ratio or the Consolidated Secured Net Leverage Ratio, as applicable, in connection with the incurrence, issuance or assumption of any Indebtedness pursuant to Section 4.09(a) and Section 4.09(b) or the incurrence or creation of any Lien pursuant to the definition of “Permitted Liens,” the Company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w:t>
      </w:r>
      <w:r>
        <w:rPr>
          <w:rFonts w:ascii="Times New Roman" w:hAnsi="Times New Roman"/>
          <w:i/>
          <w:sz w:val="20"/>
        </w:rPr>
        <w:t>Reserved Indebtedness Amount</w:t>
      </w:r>
      <w:r>
        <w:rPr>
          <w:rFonts w:ascii="Times New Roman" w:hAnsi="Times New Roman"/>
          <w:sz w:val="20"/>
        </w:rPr>
        <w:t xml:space="preserve">”), as being incurred as of such election date, and, if the Fixed Charge Coverage Ratio, the Consolidated Total Net Leverage Ratio, the Consolidated Secured Net Leverage Ratio or other provision of this Indenture, as applicable, is complied with (or satisfied) with respect thereto on such election date, any subsequent borrowing or reborrowing thereunder (and the issuance and creation of letters of credit and bankers’ acceptances thereunder) will be deemed to be permitted under this Section 4.09 or the definition of “Permitted Liens,” as applicable, whether or not the Fixed Charge Coverage Ratio, the Consolidated Total Net Leverage Ratio, the Consolidated Secured Net Leverage Ratio or other provision of this Indenture, as applicable, at the actual time of any subsequent borrowing or reborrowing (or issuance or creation of letters of credit or bankers’ acceptances thereunder) is complied with (or satisfied) for all purposes (including as to the absence of any continuing Default or Event of Default); </w:t>
      </w:r>
      <w:r>
        <w:rPr>
          <w:rFonts w:ascii="Times New Roman" w:hAnsi="Times New Roman"/>
          <w:i/>
          <w:sz w:val="20"/>
        </w:rPr>
        <w:t>provided</w:t>
      </w:r>
      <w:r>
        <w:rPr>
          <w:rFonts w:ascii="Times New Roman" w:hAnsi="Times New Roman"/>
          <w:sz w:val="20"/>
        </w:rPr>
        <w:t xml:space="preserve"> that for purposes of subsequent calculations of the Fixed Charge Coverage Ratio, the Consolidated Total Net Leverage Ratio, the Consolidated Secured Net Leverage Ratio or other provision of this Indenture, as applicable, the Reserved Indebtedness Amount shall be deemed to be outstanding, whether or not such amount is actually outstanding, for so long as such commitments are outstanding or until the Company revokes an election of a Reserved Indebtedness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Notwithstanding anything in this Section 4.09 to the contrary, in the case of any Indebtedness incurred to refinance Indebtedness initially incurred pursuant to Section 4.09(b) hereof measured by reference to a percentage of LTM Consolidated EBITDA at the time of incurrence, if such refinancing would cause the percentage of LTM Consolidated EBITDA restriction to be exceeded if calculated based on the percentage of LTM Consolidated EBITDA on the date of such refinancing, such percentage of LTM Consolidated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 </w:t>
      </w:r>
    </w:p>
    <w:p>
      <w:pPr>
        <w:pStyle w:val="TextBody"/>
        <w:bidi w:val="0"/>
        <w:spacing w:before="120" w:after="0"/>
        <w:jc w:val="left"/>
        <w:rPr>
          <w:rFonts w:ascii="Times New Roman" w:hAnsi="Times New Roman"/>
          <w:sz w:val="20"/>
        </w:rPr>
      </w:pPr>
      <w:r>
        <w:rPr>
          <w:rFonts w:ascii="Times New Roman" w:hAnsi="Times New Roman"/>
          <w:sz w:val="20"/>
        </w:rPr>
        <w:t xml:space="preserve">(9) The amount of Indebtedness issued at a price that is less than the principal amount thereof will be equal to the amount of the liability in respect thereof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The accrual of interest or Preferred Stock dividends, the accretion or amortization of original issue discount, the payment of interest on any Indebtedness in the form of additional Indebtedness, the reclassification of Preferred Stock as Indebtedness due to a change in accounting principles, and the payment of dividends on Preferred Stock or Disqualified Stock in the form of additional shares of Preferred Stock or Disqualified Stock will not be deemed to be an incurrence of Indebtedness or an issuance of Preferred Stock or Disqualified Stock for purposes of this Section 4.09 or Section 4.12 hereof; </w:t>
      </w:r>
      <w:r>
        <w:rPr>
          <w:rFonts w:ascii="Times New Roman" w:hAnsi="Times New Roman"/>
          <w:i/>
          <w:sz w:val="20"/>
        </w:rPr>
        <w:t>provided</w:t>
      </w:r>
      <w:r>
        <w:rPr>
          <w:rFonts w:ascii="Times New Roman" w:hAnsi="Times New Roman"/>
          <w:sz w:val="20"/>
        </w:rPr>
        <w:t xml:space="preserve">, in each such case, that the amount thereof shall be included in Fixed Charges of the Company as accrued. For purposes of determining compliance with any U.S. dollar-denominated restriction on the incurrence of Indebtedness, the U.S. dollar-equivalent principal amount of Indebtedness denominated in a foreign currency shall be utilized, calculated based on the relevant currency exchange rate in effect on the date such Indebtedness was incurred, in the case of term debt, or first committed, in the case of revolving credit debt; </w:t>
      </w:r>
      <w:r>
        <w:rPr>
          <w:rFonts w:ascii="Times New Roman" w:hAnsi="Times New Roman"/>
          <w:i/>
          <w:sz w:val="20"/>
        </w:rPr>
        <w:t>provided</w:t>
      </w:r>
      <w:r>
        <w:rPr>
          <w:rFonts w:ascii="Times New Roman" w:hAnsi="Times New Roman"/>
          <w:sz w:val="20"/>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 connection with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Section 4.09, the maximum amount of Indebtedness that the Company or any Restricted Subsidiary of the Company may incur pursuant to this Section 4.09 shall not be deemed to be exceeded solely as a result of fluctuations in exchange rates or currency values following the incurrence of such Indebtedness.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Indebtedness outstanding as of any date will be: </w:t>
      </w:r>
    </w:p>
    <w:p>
      <w:pPr>
        <w:pStyle w:val="TextBody"/>
        <w:bidi w:val="0"/>
        <w:spacing w:before="120" w:after="0"/>
        <w:jc w:val="left"/>
        <w:rPr>
          <w:rFonts w:ascii="Times New Roman" w:hAnsi="Times New Roman"/>
          <w:sz w:val="20"/>
        </w:rPr>
      </w:pPr>
      <w:r>
        <w:rPr>
          <w:rFonts w:ascii="Times New Roman" w:hAnsi="Times New Roman"/>
          <w:sz w:val="20"/>
        </w:rPr>
        <w:t xml:space="preserve">(1) the accreted value of the Indebtedness, in the case of any Indebtedness issued with original issue discount;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amount of the Indebtedness, in the case of any other Indebtedness; and </w:t>
      </w:r>
    </w:p>
    <w:p>
      <w:pPr>
        <w:pStyle w:val="TextBody"/>
        <w:bidi w:val="0"/>
        <w:spacing w:before="120" w:after="0"/>
        <w:jc w:val="left"/>
        <w:rPr>
          <w:rFonts w:ascii="Times New Roman" w:hAnsi="Times New Roman"/>
          <w:sz w:val="20"/>
        </w:rPr>
      </w:pPr>
      <w:r>
        <w:rPr>
          <w:rFonts w:ascii="Times New Roman" w:hAnsi="Times New Roman"/>
          <w:sz w:val="20"/>
        </w:rPr>
        <w:t xml:space="preserve">(3) in respect of Indebtedness of another Person secured by a Lien on the assets of the specified Person, the lesser of: </w:t>
      </w:r>
    </w:p>
    <w:p>
      <w:pPr>
        <w:pStyle w:val="TextBody"/>
        <w:bidi w:val="0"/>
        <w:spacing w:before="120" w:after="0"/>
        <w:jc w:val="left"/>
        <w:rPr>
          <w:rFonts w:ascii="Times New Roman" w:hAnsi="Times New Roman"/>
          <w:sz w:val="20"/>
        </w:rPr>
      </w:pPr>
      <w:r>
        <w:rPr>
          <w:rFonts w:ascii="Times New Roman" w:hAnsi="Times New Roman"/>
          <w:sz w:val="20"/>
        </w:rPr>
        <w:t xml:space="preserve">(A) the Fair Market Value of such assets at the date of determination; and </w:t>
      </w:r>
    </w:p>
    <w:p>
      <w:pPr>
        <w:pStyle w:val="TextBody"/>
        <w:bidi w:val="0"/>
        <w:spacing w:before="120" w:after="0"/>
        <w:jc w:val="left"/>
        <w:rPr>
          <w:rFonts w:ascii="Times New Roman" w:hAnsi="Times New Roman"/>
          <w:sz w:val="20"/>
        </w:rPr>
      </w:pPr>
      <w:r>
        <w:rPr>
          <w:rFonts w:ascii="Times New Roman" w:hAnsi="Times New Roman"/>
          <w:sz w:val="20"/>
        </w:rPr>
        <w:t xml:space="preserve">(B) the amount of the Indebtedness of the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4.10. </w:t>
      </w:r>
      <w:r>
        <w:rPr>
          <w:rFonts w:ascii="Times New Roman" w:hAnsi="Times New Roman"/>
          <w:i/>
          <w:sz w:val="20"/>
        </w:rPr>
        <w:t>Asset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not, and will not permit any of the Company’s Restricted Subsidiaries to, consummate an Asset Sale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(or the Restricted Subsidiary, as the case may be) receives consideration (including by way of relief from, or by any other Person assuming responsibility for, any liabilities, contingent or otherwise) at the time of the Asset Sale at least equal to the Fair Market Value (measured as of the date of the definitive agreement with respect to such Asset Sale) of the assets or Equity Interests issued or sold or otherwise disposed of (as determined by the Company in good faith); and </w:t>
      </w:r>
    </w:p>
    <w:p>
      <w:pPr>
        <w:pStyle w:val="TextBody"/>
        <w:bidi w:val="0"/>
        <w:spacing w:before="120" w:after="0"/>
        <w:jc w:val="left"/>
        <w:rPr>
          <w:rFonts w:ascii="Times New Roman" w:hAnsi="Times New Roman"/>
          <w:sz w:val="20"/>
        </w:rPr>
      </w:pPr>
      <w:r>
        <w:rPr>
          <w:rFonts w:ascii="Times New Roman" w:hAnsi="Times New Roman"/>
          <w:sz w:val="20"/>
        </w:rPr>
        <w:t xml:space="preserve">(2) except in the case of a Permitted Asset Swap, at least 75% of the consideration received in the Asset Sale by the Company or such Restricted Subsidiary is in the form of cash or Cash Equivalents. For purposes of this provision, each of the following will be deemed to be cash: </w:t>
      </w:r>
    </w:p>
    <w:p>
      <w:pPr>
        <w:pStyle w:val="TextBody"/>
        <w:bidi w:val="0"/>
        <w:spacing w:before="120" w:after="0"/>
        <w:jc w:val="left"/>
        <w:rPr>
          <w:rFonts w:ascii="Times New Roman" w:hAnsi="Times New Roman"/>
          <w:sz w:val="20"/>
        </w:rPr>
      </w:pPr>
      <w:r>
        <w:rPr>
          <w:rFonts w:ascii="Times New Roman" w:hAnsi="Times New Roman"/>
          <w:sz w:val="20"/>
        </w:rPr>
        <w:t xml:space="preserve">(A) any liabilities, as shown on the Company’s most recent consolidated balance sheet or the notes thereto, of the Company or any Restricted Subsidiary of the Company (other than liabilities that are by their terms subordinated to the Notes or any Note Guarantee) that are assumed by the transferee of any such assets pursuant to a novation or indemnity agreement that releases the Company or such Restricted Subsidiary from or indemnifies against further liability; </w:t>
      </w:r>
    </w:p>
    <w:p>
      <w:pPr>
        <w:pStyle w:val="TextBody"/>
        <w:bidi w:val="0"/>
        <w:spacing w:before="120" w:after="0"/>
        <w:jc w:val="left"/>
        <w:rPr>
          <w:rFonts w:ascii="Times New Roman" w:hAnsi="Times New Roman"/>
          <w:sz w:val="20"/>
        </w:rPr>
      </w:pPr>
      <w:r>
        <w:rPr>
          <w:rFonts w:ascii="Times New Roman" w:hAnsi="Times New Roman"/>
          <w:sz w:val="20"/>
        </w:rPr>
        <w:t xml:space="preserve">(B) any securities, notes or other obligations received by the Company or any such Restricted Subsidiary of the Company from such transferee that are, within 180 days, converted by the Company or such Restricted Subsidiary into cash or Cash Equivalents, to the extent of the cash or Cash Equivalents received in that conversion; </w:t>
      </w:r>
    </w:p>
    <w:p>
      <w:pPr>
        <w:pStyle w:val="TextBody"/>
        <w:bidi w:val="0"/>
        <w:spacing w:before="120" w:after="0"/>
        <w:jc w:val="left"/>
        <w:rPr>
          <w:rFonts w:ascii="Times New Roman" w:hAnsi="Times New Roman"/>
          <w:sz w:val="20"/>
        </w:rPr>
      </w:pPr>
      <w:r>
        <w:rPr>
          <w:rFonts w:ascii="Times New Roman" w:hAnsi="Times New Roman"/>
          <w:sz w:val="20"/>
        </w:rPr>
        <w:t xml:space="preserve">(C) any Designated Non-cash Consideration received by the Company or any of its Restricted Subsidiaries in such Asset Sale having an aggregate Fair Market Value, taken together with all other Designated Non-cash Consideration received pursuant to this clause (C) that is at that time outstanding, not to exceed the greater of (x) $100.0 million and (y) 25.0% of LTM Consolidated EBITDA at the time of the receipt of such Designated Non-cash Consideration (with the Fair Market Value of each item of Designated Non-cash Consideration being measured at the time received and without giving effect to subsequent changes in value); </w:t>
      </w:r>
    </w:p>
    <w:p>
      <w:pPr>
        <w:pStyle w:val="TextBody"/>
        <w:bidi w:val="0"/>
        <w:spacing w:before="120" w:after="0"/>
        <w:jc w:val="left"/>
        <w:rPr>
          <w:rFonts w:ascii="Times New Roman" w:hAnsi="Times New Roman"/>
          <w:sz w:val="20"/>
        </w:rPr>
      </w:pPr>
      <w:r>
        <w:rPr>
          <w:rFonts w:ascii="Times New Roman" w:hAnsi="Times New Roman"/>
          <w:sz w:val="20"/>
        </w:rPr>
        <w:t xml:space="preserve">(D) consideration consisting of Indebtedness of the Company or any Restricted Subsidiary of the Company that is not subordinated Indebtedness; and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of any Restricted Subsidiary that is no longer a Restricted Subsidiary as a result of such Asset Sale, to the extent that the Company and each other Restricted Subsidiary are released from any payment obligations with respect to such Indebtedness or any Guarantee of payment of such Indebtedness in connection with such Asset Sale;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value of retained licenses, licenses back to the Company of any Restricted Subsidiary (as a licensee) and covenants not to sue with respect to software or intellectual property that are incidental to such sale or other disposition and received in the ordinary course for such transactions shall be excluded in determining whether 75.0% of the consideration consists of cash and Cash Equivalents. </w:t>
      </w:r>
    </w:p>
    <w:p>
      <w:pPr>
        <w:pStyle w:val="TextBody"/>
        <w:bidi w:val="0"/>
        <w:spacing w:before="240" w:after="0"/>
        <w:jc w:val="left"/>
        <w:rPr>
          <w:rFonts w:ascii="Times New Roman" w:hAnsi="Times New Roman"/>
          <w:sz w:val="20"/>
        </w:rPr>
      </w:pPr>
      <w:r>
        <w:rPr>
          <w:rFonts w:ascii="Times New Roman" w:hAnsi="Times New Roman"/>
          <w:sz w:val="20"/>
        </w:rPr>
        <w:t>(b) Within 18 months from the later of (A) the date of such Asset Sale and (B) the receipt of any Net Proceeds from an Asset Sale (as may be extended by an Acceptable Commitment as set forth below, the “</w:t>
      </w:r>
      <w:r>
        <w:rPr>
          <w:rFonts w:ascii="Times New Roman" w:hAnsi="Times New Roman"/>
          <w:i/>
          <w:sz w:val="20"/>
        </w:rPr>
        <w:t>Proceeds Application Period</w:t>
      </w:r>
      <w:r>
        <w:rPr>
          <w:rFonts w:ascii="Times New Roman" w:hAnsi="Times New Roman"/>
          <w:sz w:val="20"/>
        </w:rPr>
        <w:t xml:space="preserve">”), the Company (or the applicable Restricted Subsidiary, as the case may be) may apply such Net Proceeds: </w:t>
      </w:r>
    </w:p>
    <w:p>
      <w:pPr>
        <w:pStyle w:val="TextBody"/>
        <w:bidi w:val="0"/>
        <w:spacing w:before="120" w:after="0"/>
        <w:jc w:val="left"/>
        <w:rPr>
          <w:rFonts w:ascii="Times New Roman" w:hAnsi="Times New Roman"/>
          <w:sz w:val="20"/>
        </w:rPr>
      </w:pPr>
      <w:r>
        <w:rPr>
          <w:rFonts w:ascii="Times New Roman" w:hAnsi="Times New Roman"/>
          <w:sz w:val="20"/>
        </w:rPr>
        <w:t xml:space="preserve">(1) to the extent such Net Proceeds are from an Asset Sale of Collateral, to reduce, prepay, repay or purchase (i) the Obligations under the Notes, (ii) Indebtedness and other Obligations under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Credit Agreement and, if the Indebtedness repaid is revolving credit Indebtedness, to correspondingly permanently reduce commitments with respect thereto and/or (iii) First Lien Obligations (other than the Notes or Obligations under the Credit Agreement) and, if the Indebtedness repaid is revolving credit Indebtedness, to correspondingly permanently reduce commitments with respect thereto; </w:t>
      </w:r>
      <w:r>
        <w:rPr>
          <w:rFonts w:ascii="Times New Roman" w:hAnsi="Times New Roman"/>
          <w:i/>
          <w:sz w:val="20"/>
        </w:rPr>
        <w:t>provided</w:t>
      </w:r>
      <w:r>
        <w:rPr>
          <w:rFonts w:ascii="Times New Roman" w:hAnsi="Times New Roman"/>
          <w:sz w:val="20"/>
        </w:rPr>
        <w:t xml:space="preserve"> that in the case of a repayment pursuant to this clause (iii), the Company or such Subsidiary will either (A) reduce Obligations under the Notes on a pro rata basis with such other First Lien Obligations by, at its option, (x) redeeming or repurchasing the Notes as described under Section 3.07 hereof or (y) purchasing notes through open-market purchases or in privately negotiated transactions at market prices (which may be below par) as described under Section 3.08 hereof or (B) by making an offer (in accordance with the procedures set forth below for a Collateral Asset Sale Offer) to all holders to purchase the Notes at 100% of the principal amount thereof, plus accrued and unpaid interest, if any, to but not including the date of repayment; </w:t>
      </w:r>
    </w:p>
    <w:p>
      <w:pPr>
        <w:pStyle w:val="TextBody"/>
        <w:bidi w:val="0"/>
        <w:spacing w:before="120" w:after="0"/>
        <w:jc w:val="left"/>
        <w:rPr>
          <w:rFonts w:ascii="Times New Roman" w:hAnsi="Times New Roman"/>
          <w:sz w:val="20"/>
        </w:rPr>
      </w:pPr>
      <w:r>
        <w:rPr>
          <w:rFonts w:ascii="Times New Roman" w:hAnsi="Times New Roman"/>
          <w:sz w:val="20"/>
        </w:rPr>
        <w:t xml:space="preserve">(2) to the extent such Net Proceeds are from an Asset Sale that does not constitute Collateral, to reduce, prepay, repay or purchase (i) Indebtedness and other Obligations under or pursuant to a Credit Facility or any Secured Indebtedness (other than Indebtedness owed to the Company or a Restricted Subsidiary) of the Company or any Restricted Subsidiary and, if the Indebtedness repaid is revolving credit Indebtedness, to correspondingly permanently reduce commitments with respect thereto, (ii) Indebtedness and other Obligations of a Restricted Subsidiary that is not a Guarantor (other than Indebtedness owed to the Company or a Subsidiary of the Company) and, if the Indebtedness repaid is revolving credit Indebtedness, to correspondingly reduce commitments with respect thereto and/or (iii) Indebtedness or other unsecured Obligations of the Company or any Guarantor that rank </w:t>
      </w:r>
      <w:r>
        <w:rPr>
          <w:rFonts w:ascii="Times New Roman" w:hAnsi="Times New Roman"/>
          <w:i/>
          <w:sz w:val="20"/>
        </w:rPr>
        <w:t>pari passu</w:t>
      </w:r>
      <w:r>
        <w:rPr>
          <w:rFonts w:ascii="Times New Roman" w:hAnsi="Times New Roman"/>
          <w:sz w:val="20"/>
        </w:rPr>
        <w:t xml:space="preserve"> in right of payment with the notes or such Guarantor’s Note Guarantee, respectively, (other than Indebtedness owed to the Company or a Subsidiary of the Company) and, if the Indebtedness repaid is revolving credit Indebtedness, to correspondingly permanently reduce commitments with respect thereto; </w:t>
      </w:r>
      <w:r>
        <w:rPr>
          <w:rFonts w:ascii="Times New Roman" w:hAnsi="Times New Roman"/>
          <w:i/>
          <w:sz w:val="20"/>
        </w:rPr>
        <w:t xml:space="preserve">provided </w:t>
      </w:r>
      <w:r>
        <w:rPr>
          <w:rFonts w:ascii="Times New Roman" w:hAnsi="Times New Roman"/>
          <w:sz w:val="20"/>
        </w:rPr>
        <w:t xml:space="preserve">that in the case of any repayment pursuant to this clause (iii), the Company or such Restricted Subsidiary will either (A) reduce Obligations under the Notes on a pro rata basis with such other Secured Indebtedness by, at its option, (x) redeeming or repurchasing the Notes as described under Section 3.07 hereof or (y) purchasing Notes through open-market purchases or in privately negotiated transactions at market prices (which may be below par) as described under Section 3.08 hereof or (B) by making an offer (in accordance with the procedures set forth below for an Asset Sale Offer) to all Holders to purchase the Notes at 100% of the principal amount thereof, plus accrued and unpaid interest, if any, to but not including the date of repayment; </w:t>
      </w:r>
    </w:p>
    <w:p>
      <w:pPr>
        <w:pStyle w:val="TextBody"/>
        <w:bidi w:val="0"/>
        <w:spacing w:before="120" w:after="0"/>
        <w:jc w:val="left"/>
        <w:rPr>
          <w:rFonts w:ascii="Times New Roman" w:hAnsi="Times New Roman"/>
          <w:sz w:val="20"/>
        </w:rPr>
      </w:pPr>
      <w:r>
        <w:rPr>
          <w:rFonts w:ascii="Times New Roman" w:hAnsi="Times New Roman"/>
          <w:sz w:val="20"/>
        </w:rPr>
        <w:t xml:space="preserve">(3) to acquire all or substantially all of the assets of, or any Capital Stock of, another Permitted Business, if, after giving effect to any such acquisition of Capital Stock, the Permitted Business is or becomes a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(4) to make a capital expenditure; </w:t>
      </w:r>
    </w:p>
    <w:p>
      <w:pPr>
        <w:pStyle w:val="TextBody"/>
        <w:bidi w:val="0"/>
        <w:spacing w:before="120" w:after="0"/>
        <w:jc w:val="left"/>
        <w:rPr>
          <w:rFonts w:ascii="Times New Roman" w:hAnsi="Times New Roman"/>
          <w:sz w:val="20"/>
        </w:rPr>
      </w:pPr>
      <w:r>
        <w:rPr>
          <w:rFonts w:ascii="Times New Roman" w:hAnsi="Times New Roman"/>
          <w:sz w:val="20"/>
        </w:rPr>
        <w:t xml:space="preserve">(5) to acquire other assets that are not classified as current assets under GAAP and that are used or useful in a Permitted Business; </w:t>
      </w:r>
    </w:p>
    <w:p>
      <w:pPr>
        <w:pStyle w:val="TextBody"/>
        <w:bidi w:val="0"/>
        <w:spacing w:before="120" w:after="0"/>
        <w:jc w:val="left"/>
        <w:rPr>
          <w:rFonts w:ascii="Times New Roman" w:hAnsi="Times New Roman"/>
          <w:sz w:val="20"/>
        </w:rPr>
      </w:pPr>
      <w:r>
        <w:rPr>
          <w:rFonts w:ascii="Times New Roman" w:hAnsi="Times New Roman"/>
          <w:sz w:val="20"/>
        </w:rPr>
        <w:t xml:space="preserve">(6) to acquire Capital Stock in any Person that at such time is a Restricted Subsidiary or a joint venture; </w:t>
      </w:r>
    </w:p>
    <w:p>
      <w:pPr>
        <w:pStyle w:val="TextBody"/>
        <w:bidi w:val="0"/>
        <w:spacing w:before="120" w:after="0"/>
        <w:jc w:val="left"/>
        <w:rPr>
          <w:rFonts w:ascii="Times New Roman" w:hAnsi="Times New Roman"/>
          <w:sz w:val="20"/>
        </w:rPr>
      </w:pPr>
      <w:r>
        <w:rPr>
          <w:rFonts w:ascii="Times New Roman" w:hAnsi="Times New Roman"/>
          <w:sz w:val="20"/>
        </w:rPr>
        <w:t xml:space="preserve">(7) to invest (including capital expenditures) in any one or more businesses, properties or assets (other than current assets) that replace the businesses, properties and/or assets that are the subject of such Asset Sale; or </w:t>
      </w:r>
    </w:p>
    <w:p>
      <w:pPr>
        <w:pStyle w:val="TextBody"/>
        <w:bidi w:val="0"/>
        <w:spacing w:before="120" w:after="0"/>
        <w:jc w:val="left"/>
        <w:rPr>
          <w:rFonts w:ascii="Times New Roman" w:hAnsi="Times New Roman"/>
          <w:sz w:val="20"/>
        </w:rPr>
      </w:pPr>
      <w:r>
        <w:rPr>
          <w:rFonts w:ascii="Times New Roman" w:hAnsi="Times New Roman"/>
          <w:sz w:val="20"/>
        </w:rPr>
        <w:t xml:space="preserve">(8)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The Company will be deemed to have complied with the provisions set forth in clause (3), (4), (5), (6), (7) and (8) of this Section 4.10(b) if within eighteen months after the Asset Sale that generated the Net Proceeds, the Company (or the applicable Restricted Subsidiary) has entered into and not abandoned or rejected a binding agreement to consummate the transaction described therein and such transaction is thereafter completed within 180 days after the end of such eighteen month period (an “</w:t>
      </w:r>
      <w:r>
        <w:rPr>
          <w:rFonts w:ascii="Times New Roman" w:hAnsi="Times New Roman"/>
          <w:i/>
          <w:sz w:val="20"/>
        </w:rPr>
        <w:t>Acceptable Commitment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Pending the final application of any Net Proceeds, the Company (or the applicable Restricted Subsidiary) may temporarily reduce Indebtedness (including under the Credit Facilities) or otherwise invest the Net Proceeds in any manner that is not prohibited by this Indenture. The Company (or any Restricted Subsidiary, as the case may be) may elect to invest in the assets and/or Capital Stock, as the case may be, described in clauses (3), (4), (5), (6), (7) and (8) of this Section 4.10(b) prior to receiving the Net Proceeds attributable to any given Asset Sale (</w:t>
      </w:r>
      <w:r>
        <w:rPr>
          <w:rFonts w:ascii="Times New Roman" w:hAnsi="Times New Roman"/>
          <w:i/>
          <w:sz w:val="20"/>
        </w:rPr>
        <w:t>provided</w:t>
      </w:r>
      <w:r>
        <w:rPr>
          <w:rFonts w:ascii="Times New Roman" w:hAnsi="Times New Roman"/>
          <w:sz w:val="20"/>
        </w:rPr>
        <w:t xml:space="preserve"> that such investment shall be made no earlier than the earliest of notice to the Trustee of the relevant Asset Sale, execution of a definitive agreement for the relevant Asset Sale, and consummation of the relevant Asset Sale) and deem the amount so invested to be applied pursuant to and in accordance with any of clauses (3), (4), (5), (6), (7) and (8) of this Section 4.10(b) with respect to such Asset Sale. </w:t>
      </w:r>
    </w:p>
    <w:p>
      <w:pPr>
        <w:pStyle w:val="TextBody"/>
        <w:bidi w:val="0"/>
        <w:spacing w:before="240" w:after="0"/>
        <w:jc w:val="left"/>
        <w:rPr>
          <w:rFonts w:ascii="Times New Roman" w:hAnsi="Times New Roman"/>
          <w:sz w:val="20"/>
        </w:rPr>
      </w:pPr>
      <w:r>
        <w:rPr>
          <w:rFonts w:ascii="Times New Roman" w:hAnsi="Times New Roman"/>
          <w:sz w:val="20"/>
        </w:rPr>
        <w:t>(c) If, with respect to any Asset Sale of Collateral, at the expiration of the Proceeds Application Period with respect to such Asset Sale, there remains Net Proceeds in excess of $75.0 million (such amount of Net Proceeds that is in excess of $75.0 million, “</w:t>
      </w:r>
      <w:r>
        <w:rPr>
          <w:rFonts w:ascii="Times New Roman" w:hAnsi="Times New Roman"/>
          <w:i/>
          <w:sz w:val="20"/>
        </w:rPr>
        <w:t>Collateral</w:t>
      </w:r>
      <w:r>
        <w:rPr>
          <w:rFonts w:ascii="Times New Roman" w:hAnsi="Times New Roman"/>
          <w:sz w:val="20"/>
        </w:rPr>
        <w:t xml:space="preserve"> </w:t>
      </w:r>
      <w:r>
        <w:rPr>
          <w:rFonts w:ascii="Times New Roman" w:hAnsi="Times New Roman"/>
          <w:i/>
          <w:sz w:val="20"/>
        </w:rPr>
        <w:t>Excess Proceeds</w:t>
      </w:r>
      <w:r>
        <w:rPr>
          <w:rFonts w:ascii="Times New Roman" w:hAnsi="Times New Roman"/>
          <w:sz w:val="20"/>
        </w:rPr>
        <w:t>”), then within 30 days after the expiration of the Proceeds Application Period, the Company will make an offer (an “</w:t>
      </w:r>
      <w:r>
        <w:rPr>
          <w:rFonts w:ascii="Times New Roman" w:hAnsi="Times New Roman"/>
          <w:i/>
          <w:sz w:val="20"/>
        </w:rPr>
        <w:t>Collateral</w:t>
      </w:r>
      <w:r>
        <w:rPr>
          <w:rFonts w:ascii="Times New Roman" w:hAnsi="Times New Roman"/>
          <w:sz w:val="20"/>
        </w:rPr>
        <w:t xml:space="preserve"> </w:t>
      </w:r>
      <w:r>
        <w:rPr>
          <w:rFonts w:ascii="Times New Roman" w:hAnsi="Times New Roman"/>
          <w:i/>
          <w:sz w:val="20"/>
        </w:rPr>
        <w:t>Asset Sale Offer</w:t>
      </w:r>
      <w:r>
        <w:rPr>
          <w:rFonts w:ascii="Times New Roman" w:hAnsi="Times New Roman"/>
          <w:sz w:val="20"/>
        </w:rPr>
        <w:t>”) to all Holders of the Notes and, if required by its terms, other First Lien Obligations of the Company to purchase, prepay or redeem on a pro rata basis the maximum principal amount (or accreted value, if applicable) of Notes and such other First Lien Obligations (plus all accrued interest on the Indebtedness and the amount of all fees and expenses, including premiums, incurred in connection therewith) that may be purchased, prepaid or redeemed out of the Collateral Excess Proceeds. The offer price for the Notes in any Collateral Asset Sale Offer will be equal to 100% of the principal amount, plus accrued and unpaid interest, if any, to, but not including, the date of purchase, prepayment or redemption, subject to the rights of holders of Notes on a relevant record date to receive interest due on an interest payment date occurring on or prior to the purchase date, and will be payable in cash. The Company may satisfy the foregoing obligation with respect to the Net Proceeds by making a Collateral Asset Sale Offer prior to the expiration of the Proceeds Application Period (the “</w:t>
      </w:r>
      <w:r>
        <w:rPr>
          <w:rFonts w:ascii="Times New Roman" w:hAnsi="Times New Roman"/>
          <w:i/>
          <w:sz w:val="20"/>
        </w:rPr>
        <w:t>Collateral</w:t>
      </w:r>
      <w:r>
        <w:rPr>
          <w:rFonts w:ascii="Times New Roman" w:hAnsi="Times New Roman"/>
          <w:sz w:val="20"/>
        </w:rPr>
        <w:t xml:space="preserve"> </w:t>
      </w:r>
      <w:r>
        <w:rPr>
          <w:rFonts w:ascii="Times New Roman" w:hAnsi="Times New Roman"/>
          <w:i/>
          <w:sz w:val="20"/>
        </w:rPr>
        <w:t>Advance Offer</w:t>
      </w:r>
      <w:r>
        <w:rPr>
          <w:rFonts w:ascii="Times New Roman" w:hAnsi="Times New Roman"/>
          <w:sz w:val="20"/>
        </w:rPr>
        <w:t>”) with respect to all or a part of the Net Proceeds (the “</w:t>
      </w:r>
      <w:r>
        <w:rPr>
          <w:rFonts w:ascii="Times New Roman" w:hAnsi="Times New Roman"/>
          <w:i/>
          <w:sz w:val="20"/>
        </w:rPr>
        <w:t>Collateral</w:t>
      </w:r>
      <w:r>
        <w:rPr>
          <w:rFonts w:ascii="Times New Roman" w:hAnsi="Times New Roman"/>
          <w:sz w:val="20"/>
        </w:rPr>
        <w:t xml:space="preserve"> </w:t>
      </w:r>
      <w:r>
        <w:rPr>
          <w:rFonts w:ascii="Times New Roman" w:hAnsi="Times New Roman"/>
          <w:i/>
          <w:sz w:val="20"/>
        </w:rPr>
        <w:t>Advance Portion</w:t>
      </w:r>
      <w:r>
        <w:rPr>
          <w:rFonts w:ascii="Times New Roman" w:hAnsi="Times New Roman"/>
          <w:sz w:val="20"/>
        </w:rPr>
        <w:t xml:space="preserve">”) in advance of being required to do so by this Indenture. </w:t>
      </w:r>
    </w:p>
    <w:p>
      <w:pPr>
        <w:pStyle w:val="TextBody"/>
        <w:bidi w:val="0"/>
        <w:spacing w:before="240" w:after="0"/>
        <w:jc w:val="left"/>
        <w:rPr>
          <w:rFonts w:ascii="Times New Roman" w:hAnsi="Times New Roman"/>
          <w:sz w:val="20"/>
        </w:rPr>
      </w:pPr>
      <w:r>
        <w:rPr>
          <w:rFonts w:ascii="Times New Roman" w:hAnsi="Times New Roman"/>
          <w:sz w:val="20"/>
        </w:rPr>
        <w:t>(d) If any Collateral Excess Proceeds remain after consummation of a Collateral Asset Sale Offer (or, in the case of a Collateral Advance Offer, the Collateral Advance Portion) (“</w:t>
      </w:r>
      <w:r>
        <w:rPr>
          <w:rFonts w:ascii="Times New Roman" w:hAnsi="Times New Roman"/>
          <w:i/>
          <w:sz w:val="20"/>
        </w:rPr>
        <w:t>Declined Collateral</w:t>
      </w:r>
      <w:r>
        <w:rPr>
          <w:rFonts w:ascii="Times New Roman" w:hAnsi="Times New Roman"/>
          <w:sz w:val="20"/>
        </w:rPr>
        <w:t xml:space="preserve"> </w:t>
      </w:r>
      <w:r>
        <w:rPr>
          <w:rFonts w:ascii="Times New Roman" w:hAnsi="Times New Roman"/>
          <w:i/>
          <w:sz w:val="20"/>
        </w:rPr>
        <w:t>Proceeds</w:t>
      </w:r>
      <w:r>
        <w:rPr>
          <w:rFonts w:ascii="Times New Roman" w:hAnsi="Times New Roman"/>
          <w:sz w:val="20"/>
        </w:rPr>
        <w:t xml:space="preserve">”), the Company may use such Declined Collateral Proceeds for any purpose not otherwise prohibited by this Indenture. If the aggregate principal amount of Notes and other First Lien Obligations tendered, or otherwise surrendered, in (or required to be prepaid or redeemed in connection with) such Collateral Asset Sale Offer exceeds the amount of Collateral Excess Proceeds (or, in the case of a Collateral Advance Offer, the Collateral Advance Portion), the Company will select the Notes and such other First Lien Obligations to be purchased on a pro rata basis, based on the amounts tendered or required to be prepaid or redeemed and thereafter the Trustee will select the Notes to be purchased on a pro rata basis based on the amount tendered (with, in each case, such adjustments as may be deemed appropriate by the Company or the Trustee, as applicable, so that only Notes in denominations of $1,000 or an integral multiple of $1,000 in excess thereof, will be purchased, </w:t>
      </w:r>
      <w:r>
        <w:rPr>
          <w:rFonts w:ascii="Times New Roman" w:hAnsi="Times New Roman"/>
          <w:i/>
          <w:sz w:val="20"/>
        </w:rPr>
        <w:t xml:space="preserve">provided </w:t>
      </w:r>
      <w:r>
        <w:rPr>
          <w:rFonts w:ascii="Times New Roman" w:hAnsi="Times New Roman"/>
          <w:sz w:val="20"/>
        </w:rPr>
        <w:t xml:space="preserve">that any unpurchased portion of a note must be in a minimum denomination of $2,000). Upon completion of each Collateral Asset Sale Offer, the amount of Collateral Excess Proceeds will be reset at zero. </w:t>
      </w:r>
    </w:p>
    <w:p>
      <w:pPr>
        <w:pStyle w:val="TextBody"/>
        <w:bidi w:val="0"/>
        <w:spacing w:before="240" w:after="0"/>
        <w:jc w:val="left"/>
        <w:rPr>
          <w:rFonts w:ascii="Times New Roman" w:hAnsi="Times New Roman"/>
          <w:sz w:val="20"/>
        </w:rPr>
      </w:pPr>
      <w:r>
        <w:rPr>
          <w:rFonts w:ascii="Times New Roman" w:hAnsi="Times New Roman"/>
          <w:sz w:val="20"/>
        </w:rPr>
        <w:t>(e) If, with respect to any Asset Sale that does not constitute Collateral, at the expiration of the Proceeds Application Period with respect to such Asset Sale, there remains Net Proceeds in excess of $75.0 million (such amount of Net Proceeds that is in excess of $75.0 million, the “</w:t>
      </w:r>
      <w:r>
        <w:rPr>
          <w:rFonts w:ascii="Times New Roman" w:hAnsi="Times New Roman"/>
          <w:i/>
          <w:sz w:val="20"/>
        </w:rPr>
        <w:t>Excess Proceeds</w:t>
      </w:r>
      <w:r>
        <w:rPr>
          <w:rFonts w:ascii="Times New Roman" w:hAnsi="Times New Roman"/>
          <w:sz w:val="20"/>
        </w:rPr>
        <w:t>”), then within 30 days after the expiration of the Proceeds Application Period, the Company will make an offer (an “</w:t>
      </w:r>
      <w:r>
        <w:rPr>
          <w:rFonts w:ascii="Times New Roman" w:hAnsi="Times New Roman"/>
          <w:i/>
          <w:sz w:val="20"/>
        </w:rPr>
        <w:t>Asset Sale Offer</w:t>
      </w:r>
      <w:r>
        <w:rPr>
          <w:rFonts w:ascii="Times New Roman" w:hAnsi="Times New Roman"/>
          <w:sz w:val="20"/>
        </w:rPr>
        <w:t xml:space="preserve">”) to all Holders of Notes and, if required by its terms, Indebtedness of the Company that ranks </w:t>
      </w:r>
      <w:r>
        <w:rPr>
          <w:rFonts w:ascii="Times New Roman" w:hAnsi="Times New Roman"/>
          <w:i/>
          <w:sz w:val="20"/>
        </w:rPr>
        <w:t>pari passu</w:t>
      </w:r>
      <w:r>
        <w:rPr>
          <w:rFonts w:ascii="Times New Roman" w:hAnsi="Times New Roman"/>
          <w:sz w:val="20"/>
        </w:rPr>
        <w:t xml:space="preserve"> with the Notes to purchase, prepay or redeem on a </w:t>
      </w:r>
      <w:r>
        <w:rPr>
          <w:rFonts w:ascii="Times New Roman" w:hAnsi="Times New Roman"/>
          <w:i/>
          <w:sz w:val="20"/>
        </w:rPr>
        <w:t>pro rata</w:t>
      </w:r>
      <w:r>
        <w:rPr>
          <w:rFonts w:ascii="Times New Roman" w:hAnsi="Times New Roman"/>
          <w:sz w:val="20"/>
        </w:rPr>
        <w:t xml:space="preserve"> basis the maximum principal amount (or accreted value, if applicable) of Notes and such other </w:t>
      </w:r>
      <w:r>
        <w:rPr>
          <w:rFonts w:ascii="Times New Roman" w:hAnsi="Times New Roman"/>
          <w:i/>
          <w:sz w:val="20"/>
        </w:rPr>
        <w:t>pari passu</w:t>
      </w:r>
      <w:r>
        <w:rPr>
          <w:rFonts w:ascii="Times New Roman" w:hAnsi="Times New Roman"/>
          <w:sz w:val="20"/>
        </w:rPr>
        <w:t xml:space="preserve"> Indebtedness (</w:t>
      </w:r>
      <w:r>
        <w:rPr>
          <w:rFonts w:ascii="Times New Roman" w:hAnsi="Times New Roman"/>
          <w:i/>
          <w:sz w:val="20"/>
        </w:rPr>
        <w:t>plus</w:t>
      </w:r>
      <w:r>
        <w:rPr>
          <w:rFonts w:ascii="Times New Roman" w:hAnsi="Times New Roman"/>
          <w:sz w:val="20"/>
        </w:rPr>
        <w:t xml:space="preserve"> all accrued interest on the Indebtedness and the amount of all fees and expenses, including premiums, incurred in connection therewith) that may be purchased, prepaid or redeemed out of the Excess Proceeds. The offer price for the Notes in any Asset Sale Offer will be equal to 100% of the principal amount, plus accrued and unpaid interest, if any, to but not including the date of purchase, prepayment or redemption, subject to the rights of Holders of Notes on a relevant record date to receive interest due on an interest payment date occurring on or prior to the Purchase Date, and will be payable in cash. The Company may satisfy the foregoing obligation with respect to the Net Proceeds by making an Asset Sale Offer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expiration of the Proceeds Application Period (the “</w:t>
      </w:r>
      <w:r>
        <w:rPr>
          <w:rFonts w:ascii="Times New Roman" w:hAnsi="Times New Roman"/>
          <w:i/>
          <w:sz w:val="20"/>
        </w:rPr>
        <w:t>Advance Offer</w:t>
      </w:r>
      <w:r>
        <w:rPr>
          <w:rFonts w:ascii="Times New Roman" w:hAnsi="Times New Roman"/>
          <w:sz w:val="20"/>
        </w:rPr>
        <w:t>”) with respect to all or a part of the Net Proceeds (the “</w:t>
      </w:r>
      <w:r>
        <w:rPr>
          <w:rFonts w:ascii="Times New Roman" w:hAnsi="Times New Roman"/>
          <w:i/>
          <w:sz w:val="20"/>
        </w:rPr>
        <w:t>Advance Portion</w:t>
      </w:r>
      <w:r>
        <w:rPr>
          <w:rFonts w:ascii="Times New Roman" w:hAnsi="Times New Roman"/>
          <w:sz w:val="20"/>
        </w:rPr>
        <w:t xml:space="preserve">”) in advance of being required to do so by this Indenture. Notwithstanding anything to the contrary contained herein, the Company’s obligation to make an Asset Sale Offer may be waived or modified (at any time) with the written consent of the holders of a majority in aggregate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(f) If any Excess Proceeds remain after consummation of an Asset Sale Offer (or, in the case of an Advance Offer, the Advance Portion) (“</w:t>
      </w:r>
      <w:r>
        <w:rPr>
          <w:rFonts w:ascii="Times New Roman" w:hAnsi="Times New Roman"/>
          <w:i/>
          <w:sz w:val="20"/>
        </w:rPr>
        <w:t>Declined Excess Proceeds</w:t>
      </w:r>
      <w:r>
        <w:rPr>
          <w:rFonts w:ascii="Times New Roman" w:hAnsi="Times New Roman"/>
          <w:sz w:val="20"/>
        </w:rPr>
        <w:t xml:space="preserve">”), the Company may use such Declined Excess Proceeds for any purpose not otherwise prohibited by this Indenture. If the aggregate principal amount of Notes and other </w:t>
      </w:r>
      <w:r>
        <w:rPr>
          <w:rFonts w:ascii="Times New Roman" w:hAnsi="Times New Roman"/>
          <w:i/>
          <w:sz w:val="20"/>
        </w:rPr>
        <w:t>pari passu</w:t>
      </w:r>
      <w:r>
        <w:rPr>
          <w:rFonts w:ascii="Times New Roman" w:hAnsi="Times New Roman"/>
          <w:sz w:val="20"/>
        </w:rPr>
        <w:t xml:space="preserve"> Indebtedness tendered, or otherwise surrendered, in (or required to be prepaid or redeemed in connection with) such Asset Sale Offer exceeds the amount of Excess Proceeds (or, in the case of an Advance Offer, the Advance Portion), the Company will select the Notes and such other </w:t>
      </w:r>
      <w:r>
        <w:rPr>
          <w:rFonts w:ascii="Times New Roman" w:hAnsi="Times New Roman"/>
          <w:i/>
          <w:sz w:val="20"/>
        </w:rPr>
        <w:t>pari passu</w:t>
      </w:r>
      <w:r>
        <w:rPr>
          <w:rFonts w:ascii="Times New Roman" w:hAnsi="Times New Roman"/>
          <w:sz w:val="20"/>
        </w:rPr>
        <w:t xml:space="preserve"> Indebtedness to be purchased on a </w:t>
      </w:r>
      <w:r>
        <w:rPr>
          <w:rFonts w:ascii="Times New Roman" w:hAnsi="Times New Roman"/>
          <w:i/>
          <w:sz w:val="20"/>
        </w:rPr>
        <w:t>pro rata</w:t>
      </w:r>
      <w:r>
        <w:rPr>
          <w:rFonts w:ascii="Times New Roman" w:hAnsi="Times New Roman"/>
          <w:sz w:val="20"/>
        </w:rPr>
        <w:t xml:space="preserve"> basis, based on the amounts tendered or required to be prepaid or redeemed, and thereafter the Trustee will select the Notes to be purchased on a </w:t>
      </w:r>
      <w:r>
        <w:rPr>
          <w:rFonts w:ascii="Times New Roman" w:hAnsi="Times New Roman"/>
          <w:i/>
          <w:sz w:val="20"/>
        </w:rPr>
        <w:t>pro rata</w:t>
      </w:r>
      <w:r>
        <w:rPr>
          <w:rFonts w:ascii="Times New Roman" w:hAnsi="Times New Roman"/>
          <w:sz w:val="20"/>
        </w:rPr>
        <w:t xml:space="preserve"> basis based on the amount tendered (with, in each case, such adjustments as may be deemed appropriate by the Company or the Trustee, as applicable, so that only Notes in denominations of $1,000 or an integral multiple of $1,000 in excess thereof, will be purchased, </w:t>
      </w:r>
      <w:r>
        <w:rPr>
          <w:rFonts w:ascii="Times New Roman" w:hAnsi="Times New Roman"/>
          <w:i/>
          <w:sz w:val="20"/>
        </w:rPr>
        <w:t>provided</w:t>
      </w:r>
      <w:r>
        <w:rPr>
          <w:rFonts w:ascii="Times New Roman" w:hAnsi="Times New Roman"/>
          <w:sz w:val="20"/>
        </w:rPr>
        <w:t xml:space="preserve"> that any unpurchased portion of a Note must be in a minimum denomination of $2,000). Upon completion of each Asset Sale Offer, the amount of Excess Proceeds will be reset at zero. To the extent that any portion of Net Proceeds payable in respect of the notes is denominated in a currency other than U.S. dollars, the amount payable in respect of the Notes shall not exceed the net amount of funds in U.S. dollars that is actually received by the Company upon converting such portion into U.S. dollars.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will comply with the requirements of Rule 14e-1 under the Exchange Act and any other securities laws and regulations thereunder to the extent those laws and regulations are applicable in connection with each repurchase of Notes pursuant to an Asset Sale Offer or a Collateral Asset Sale Offer, as applicable. To the extent that the provisions of any securities laws or regulations conflict with the provisions of Section 3.09 hereof or this Section 4.10, the Company will comply with the applicable securities laws and regulations and will not be deemed to have breached its obligations under Section 3.09 hereof or this Section 4.10 by virtue of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herein, the provisions of this Indenture relative to the Company’s obligation to make an offer to repurchase the Notes as a result of an Asset Sale may be waived or modified (at any time) with the written consent of the Holders of a majority in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i/>
          <w:sz w:val="20"/>
        </w:rPr>
        <w:t>Transactions with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Times New Roman" w:hAnsi="Times New Roman"/>
          <w:i/>
          <w:sz w:val="20"/>
        </w:rPr>
        <w:t>Affiliate Transaction</w:t>
      </w:r>
      <w:r>
        <w:rPr>
          <w:rFonts w:ascii="Times New Roman" w:hAnsi="Times New Roman"/>
          <w:sz w:val="20"/>
        </w:rPr>
        <w:t xml:space="preserve">”) involving aggregate payments or consideration in excess of $25.0 million, unless the Affiliate Transaction is on terms that are not materially less favorable to the Company, taken as a whole, or the relevant Restricted Subsidiary than those that would have been obtained in a comparable transaction by the Company or such Restricted Subsidiary with an unrelated Person. </w:t>
      </w:r>
    </w:p>
    <w:p>
      <w:pPr>
        <w:pStyle w:val="TextBody"/>
        <w:bidi w:val="0"/>
        <w:spacing w:before="240" w:after="0"/>
        <w:jc w:val="left"/>
        <w:rPr>
          <w:rFonts w:ascii="Times New Roman" w:hAnsi="Times New Roman"/>
          <w:sz w:val="20"/>
        </w:rPr>
      </w:pPr>
      <w:r>
        <w:rPr>
          <w:rFonts w:ascii="Times New Roman" w:hAnsi="Times New Roman"/>
          <w:sz w:val="20"/>
        </w:rPr>
        <w:t xml:space="preserve">(b) The following items will not be deemed to be Affiliate Transactions and, therefore, will not be subject to the provisions of Section 4.11(a) hereof: </w:t>
      </w:r>
    </w:p>
    <w:p>
      <w:pPr>
        <w:pStyle w:val="TextBody"/>
        <w:bidi w:val="0"/>
        <w:spacing w:before="120" w:after="0"/>
        <w:jc w:val="left"/>
        <w:rPr>
          <w:rFonts w:ascii="Times New Roman" w:hAnsi="Times New Roman"/>
          <w:sz w:val="20"/>
        </w:rPr>
      </w:pPr>
      <w:r>
        <w:rPr>
          <w:rFonts w:ascii="Times New Roman" w:hAnsi="Times New Roman"/>
          <w:sz w:val="20"/>
        </w:rPr>
        <w:t xml:space="preserve">(1) any employment agreement, consulting agreement, severance agreement, employee benefit and pension plan, compensation arrangement, officer or director indemnification agreement or any similar arrangement entered into by, or policy of, the Company or any of its Restricted Subsidiaries and payments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(2) (a) transactions between or among the Company and/or its Restricted Subsidiaries (or entity that becomes a Restricted Subsidiary as a result of such transaction) and (b) any merger, amalgamation or consolidation with any direct or indirect parent entity; </w:t>
      </w:r>
      <w:r>
        <w:rPr>
          <w:rFonts w:ascii="Times New Roman" w:hAnsi="Times New Roman"/>
          <w:i/>
          <w:sz w:val="20"/>
        </w:rPr>
        <w:t>provided</w:t>
      </w:r>
      <w:r>
        <w:rPr>
          <w:rFonts w:ascii="Times New Roman" w:hAnsi="Times New Roman"/>
          <w:sz w:val="20"/>
        </w:rPr>
        <w:t xml:space="preserve"> that such parent entity shall have no material liabilities and no material assets other than cash, Cash Equivalents and the Capital Stock of the Company and such merger, amalgamation or consolidation is otherwise permitted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payment of fees and reimbursements of expenses (pursuant to indemnity arrangements or otherwise) of officers, directors, employees or consultants of the Company or any of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(4) any issuance of Equity Interests (other than Disqualified Stock) of the Company or any direct or indirect parent company of the Company to Affiliates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(5) (a) Restricted Payments that are permitted under Section 4.07 hereof and (b) Permitted Investments; </w:t>
      </w:r>
    </w:p>
    <w:p>
      <w:pPr>
        <w:pStyle w:val="TextBody"/>
        <w:bidi w:val="0"/>
        <w:spacing w:before="120" w:after="0"/>
        <w:jc w:val="left"/>
        <w:rPr>
          <w:rFonts w:ascii="Times New Roman" w:hAnsi="Times New Roman"/>
          <w:sz w:val="20"/>
        </w:rPr>
      </w:pPr>
      <w:r>
        <w:rPr>
          <w:rFonts w:ascii="Times New Roman" w:hAnsi="Times New Roman"/>
          <w:sz w:val="20"/>
        </w:rPr>
        <w:t xml:space="preserve">(6) sales of Equity Interests of the Company to Affiliates of the Company or its Restricted Subsidiaries not otherwise prohibited by this Indenture and the granting of registration, investor and other customary rights in connection therewith and the payment of fees, costs and expenses related; </w:t>
      </w:r>
    </w:p>
    <w:p>
      <w:pPr>
        <w:pStyle w:val="TextBody"/>
        <w:bidi w:val="0"/>
        <w:spacing w:before="120" w:after="0"/>
        <w:jc w:val="left"/>
        <w:rPr>
          <w:rFonts w:ascii="Times New Roman" w:hAnsi="Times New Roman"/>
          <w:sz w:val="20"/>
        </w:rPr>
      </w:pPr>
      <w:r>
        <w:rPr>
          <w:rFonts w:ascii="Times New Roman" w:hAnsi="Times New Roman"/>
          <w:sz w:val="20"/>
        </w:rPr>
        <w:t xml:space="preserve">(7) transactions with an Affiliate where the only consideration paid is Qualifying Equity Interests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(8) transactions in which the Company or any of its Restricted Subsidiaries, as the case may be, delivers to the Trustee a letter from an Independent Financial Advisor stating that such transaction (i) is fair to the Company or such Restricted Subsidiary from a financial point of view or (ii) meets the requirements of Section 4.11(a)(1) hereof; </w:t>
      </w:r>
    </w:p>
    <w:p>
      <w:pPr>
        <w:pStyle w:val="TextBody"/>
        <w:bidi w:val="0"/>
        <w:spacing w:before="120" w:after="0"/>
        <w:jc w:val="left"/>
        <w:rPr>
          <w:rFonts w:ascii="Times New Roman" w:hAnsi="Times New Roman"/>
          <w:sz w:val="20"/>
        </w:rPr>
      </w:pPr>
      <w:r>
        <w:rPr>
          <w:rFonts w:ascii="Times New Roman" w:hAnsi="Times New Roman"/>
          <w:sz w:val="20"/>
        </w:rPr>
        <w:t xml:space="preserve">(9) payments, Indebtedness and Disqualified Stock (and cancellation of any thereof) of the Company and its Restricted Subsidiaries and Preferred Stock (and cancellation of any thereof) of any Restricted Subsidiary to any future, current or former employee, director, officer, manager, contractor, consultant or advisor of the Company, any of its Subsidiaries or any of its direct or indirect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that are, in each case, approved by the Company in good faith; </w:t>
      </w:r>
    </w:p>
    <w:p>
      <w:pPr>
        <w:pStyle w:val="TextBody"/>
        <w:bidi w:val="0"/>
        <w:spacing w:before="120" w:after="0"/>
        <w:jc w:val="left"/>
        <w:rPr>
          <w:rFonts w:ascii="Times New Roman" w:hAnsi="Times New Roman"/>
          <w:sz w:val="20"/>
        </w:rPr>
      </w:pPr>
      <w:r>
        <w:rPr>
          <w:rFonts w:ascii="Times New Roman" w:hAnsi="Times New Roman"/>
          <w:sz w:val="20"/>
        </w:rPr>
        <w:t xml:space="preserve">(10) any agreement as in effect as of the Issue Date or any amendment thereto or extension, renewal or refinancing thereof (so long as any such agreement together with all amendments thereto or extensions, renewals or refinancings thereof, taken as a whole, is not more disadvantageous to the Holders of the Notes in any material respect than the original agreement as in effect on the Issue Date) or any transaction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(11) transactions with joint ventures or any Subsidiary entered into in the ordinary course of business or consistent with past practice (including any cash management arrangements or activities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(12) any contributions to the common equity capital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(13) the issuances of Capital Stock, options, other equity-related interests, securities or other payments, awards or grants in cash, securities or otherwise pursuant to, or the funding of, employment arrangements, stock option and stock ownership plans or similar employee benefit plans approved by the Board of Directors of the Company, any direct or indirect parent of the Company, or of a Restricted Subsidiary of the Company, as appropriate,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transactions with customers, vendors, clients, lessors, landlords, suppliers, contractors, distributors or purchasers or sellers of good or services that are Affiliates, in each case, in the ordinary course of business or consistent with past practice and otherwise in compliance with the terms of this Indenture which are fair to the Company and its Restricted Subsidiaries, in the reasonable determination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(15) transactions between the Company and any of the Company’s Restricted Subsidiaries and any Person a director of which is also a director of the Company or any direct or indirect parent of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such director abstains from voting as a director of the Company on any matter involving such other Person and (B) such Person is not an Affiliate of the Company for any reason other than such director’s acting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(16) any transition services arrangement, supply arrangement or similar arrangement entered into in connection with or in contemplation of the disposition of assets or Capital Stock in any Restricted Subsidiary permitted under Section 4.10 hereof or entered into with any Permitted Business, in each case, that the Company determines in good faith is either fair to the Company or otherwise on customary terms for such type of arrangements in connection with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(17) (i) any lease entered into between the Company or any Restricted Subsidiary, as lessee, and any Affiliate of the Company, as lessor and (ii) any operational services arrangement entered into between the Company or any Restricted Subsidiary and any Affiliate of the Company, in each case, which is approved by the reasonable determination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(18) Permitted Intercompany Activities, Permitted Tax Restructurings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(19) intercompany transactions undertaken in good faith for the purpose of improving the consolidated tax efficiency of the Company and its Subsidiaries and not for the purpose of circumventing any covenant set forth herein so long as such transactions, taken as a whole, do not materially impair the Liens on the Collateral granted to the Notes Collateral Agent or the Note Guarantees of the Obligations provided by the Guarantors; </w:t>
      </w:r>
    </w:p>
    <w:p>
      <w:pPr>
        <w:pStyle w:val="TextBody"/>
        <w:bidi w:val="0"/>
        <w:spacing w:before="120" w:after="0"/>
        <w:jc w:val="left"/>
        <w:rPr>
          <w:rFonts w:ascii="Times New Roman" w:hAnsi="Times New Roman"/>
          <w:sz w:val="20"/>
        </w:rPr>
      </w:pPr>
      <w:r>
        <w:rPr>
          <w:rFonts w:ascii="Times New Roman" w:hAnsi="Times New Roman"/>
          <w:sz w:val="20"/>
        </w:rPr>
        <w:t xml:space="preserve">(20) any transaction effected as part of a Permitted Receivables Financing or any disposition or acquisition of Receivables Assets or related assets in connection with any Permitted Receivables Financing; </w:t>
      </w:r>
    </w:p>
    <w:p>
      <w:pPr>
        <w:pStyle w:val="TextBody"/>
        <w:bidi w:val="0"/>
        <w:spacing w:before="120" w:after="0"/>
        <w:jc w:val="left"/>
        <w:rPr>
          <w:rFonts w:ascii="Times New Roman" w:hAnsi="Times New Roman"/>
          <w:sz w:val="20"/>
        </w:rPr>
      </w:pPr>
      <w:r>
        <w:rPr>
          <w:rFonts w:ascii="Times New Roman" w:hAnsi="Times New Roman"/>
          <w:sz w:val="20"/>
        </w:rPr>
        <w:t xml:space="preserve">(21) the entry into any tax-sharing agreements between the Company or any of its Restricted Subsidiaries and any of their direct or indirect parents;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payment made by the Company or any of its Restricted Subsidiaries under such tax-sharing agreements is, at the time made, otherwise permitted by Section 4.07 hereof; and </w:t>
      </w:r>
    </w:p>
    <w:p>
      <w:pPr>
        <w:pStyle w:val="TextBody"/>
        <w:bidi w:val="0"/>
        <w:spacing w:before="120" w:after="0"/>
        <w:jc w:val="left"/>
        <w:rPr>
          <w:rFonts w:ascii="Times New Roman" w:hAnsi="Times New Roman"/>
          <w:sz w:val="20"/>
        </w:rPr>
      </w:pPr>
      <w:r>
        <w:rPr>
          <w:rFonts w:ascii="Times New Roman" w:hAnsi="Times New Roman"/>
          <w:sz w:val="20"/>
        </w:rPr>
        <w:t xml:space="preserve">(22) transactions entered into by an Unrestricted Subsidiary with an Affiliate prior to the day such Unrestricted Subsidiary is redesignated as a Restricted Subsidiary pursuant to Section 4.17 hereof and pledges of Equity Interests of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Company or any of its Restricted Subsidiaries (i) purchases or otherwise acquires assets or properties from a Person which is not an Affiliate, the purchase or acquisition by an Affiliate of the Company of an interest in all or a portion of the assets or properties acquired shall not be deemed an Affiliate Transaction (or cause such purchase or acquisition by the Company or a Restricted Subsidiary to be deemed an Affiliate Transaction) or (ii) sells or otherwise disposes of assets or other properties to a Person who is not an Affiliate, the sale or other disposition by an Affiliate of the Company of an interest in all or a portion of the assets or properties sold shall not be deemed an Affiliate Transaction (or cause such sale or other disposition by the Company or a Restricted Subsidiary to be deemed an Affiliate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4.12. </w:t>
      </w:r>
      <w:r>
        <w:rPr>
          <w:rFonts w:ascii="Times New Roman" w:hAnsi="Times New Roman"/>
          <w:i/>
          <w:sz w:val="20"/>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not, and will not permit any of the Guarantors to, directly or indirectly, create, incur or assume any Lien of any kind securing Indebtedness on any asset now owned or hereafter acquired, except Permitted Liens (each, an “</w:t>
      </w:r>
      <w:r>
        <w:rPr>
          <w:rFonts w:ascii="Times New Roman" w:hAnsi="Times New Roman"/>
          <w:i/>
          <w:sz w:val="20"/>
        </w:rPr>
        <w:t>Initial Lien</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any Initial Lien on any Collateral, such Lien is a Permitted Lien; or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any Initial Lien on any asset or property that is not Collateral, (i) the Notes (or the Note Guarantee in the case of any Initial Lien on assets or property of a Guarantor) are equally and ratably secured with (or on a senior basis to, in the case such Initial Lien secures any subordinated Indebtedness) the Obligations secured by such Initial Lien until such time as such Obligations are no longer secured by such Initial Lien or (ii) such Initial Lien is a Permitted Lien. </w:t>
      </w:r>
    </w:p>
    <w:p>
      <w:pPr>
        <w:pStyle w:val="TextBody"/>
        <w:bidi w:val="0"/>
        <w:spacing w:before="240" w:after="0"/>
        <w:jc w:val="left"/>
        <w:rPr>
          <w:rFonts w:ascii="Times New Roman" w:hAnsi="Times New Roman"/>
          <w:sz w:val="20"/>
        </w:rPr>
      </w:pPr>
      <w:r>
        <w:rPr>
          <w:rFonts w:ascii="Times New Roman" w:hAnsi="Times New Roman"/>
          <w:sz w:val="20"/>
        </w:rPr>
        <w:t xml:space="preserve">(b) Any Lien created for the benefit of the Holders of the Notes pursuant to clause (2) of this Section 4.12(a) shall be deemed automatically and unconditionally released and discharged upon the release and discharge of each of the Liens described in clause (2) of Section 4.12(a) hereof. </w:t>
      </w:r>
    </w:p>
    <w:p>
      <w:pPr>
        <w:pStyle w:val="TextBody"/>
        <w:bidi w:val="0"/>
        <w:spacing w:before="240" w:after="0"/>
        <w:jc w:val="left"/>
        <w:rPr>
          <w:rFonts w:ascii="Times New Roman" w:hAnsi="Times New Roman"/>
          <w:sz w:val="20"/>
        </w:rPr>
      </w:pPr>
      <w:r>
        <w:rPr>
          <w:rFonts w:ascii="Times New Roman" w:hAnsi="Times New Roman"/>
          <w:sz w:val="20"/>
        </w:rPr>
        <w:t>(c) 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hAnsi="Times New Roman"/>
          <w:i/>
          <w:sz w:val="20"/>
        </w:rPr>
        <w:t>Increased Amount</w:t>
      </w:r>
      <w:r>
        <w:rPr>
          <w:rFonts w:ascii="Times New Roman" w:hAnsi="Times New Roman"/>
          <w:sz w:val="20"/>
        </w:rPr>
        <w:t xml:space="preserve">”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i/>
          <w:sz w:val="20"/>
        </w:rPr>
        <w:t>Corporate Existence.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Article 5 hereof, the Company shall do or cause to be done all things necessary to preserve and keep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 its corporate existence, and the corporate, partnership or other existence of each of the Company’s Restricted Subsidiaries, in accordance with the respective organizational documents (as the same may be amended from time to time) of the Company or any such 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(2) the rights (charter and statutory), licenses and franchises of the Company and its Subsidiaries;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preserve any such right, license or franchise, or the corporate, partnership or other existence of any of the Company’s Subsidiaries, if the Board of Directors of the Company shall determine that the preservation thereof is no longer desirable in the conduct of the business of the Company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i/>
          <w:sz w:val="20"/>
        </w:rPr>
        <w:t>Offer to Repurchase Upon Change of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 Change of Control occurs, unless a third party consummates a Change of Control Offer (as defined below) or the Company has previously or substantially concurrently therewith delivered notice of its intention to redeem the Notes pursuant to Article 3 hereof, each Holder of Notes will have the right to require the Company to repurchase all or any part (equal to $1,000 or an integral multiple of $1,000 in excess thereof) of that Holder’s Notes pursuant to a change of control offer (a “</w:t>
      </w:r>
      <w:r>
        <w:rPr>
          <w:rFonts w:ascii="Times New Roman" w:hAnsi="Times New Roman"/>
          <w:i/>
          <w:sz w:val="20"/>
        </w:rPr>
        <w:t>Change of Control Offer</w:t>
      </w:r>
      <w:r>
        <w:rPr>
          <w:rFonts w:ascii="Times New Roman" w:hAnsi="Times New Roman"/>
          <w:sz w:val="20"/>
        </w:rPr>
        <w:t>”) on the terms set forth in this Indenture (</w:t>
      </w:r>
      <w:r>
        <w:rPr>
          <w:rFonts w:ascii="Times New Roman" w:hAnsi="Times New Roman"/>
          <w:i/>
          <w:sz w:val="20"/>
        </w:rPr>
        <w:t>provided</w:t>
      </w:r>
      <w:r>
        <w:rPr>
          <w:rFonts w:ascii="Times New Roman" w:hAnsi="Times New Roman"/>
          <w:sz w:val="20"/>
        </w:rPr>
        <w:t>, that any unpurchased portion of a Note must be in a minimum denomination of $2,000) at a purchase price in cash (the “</w:t>
      </w:r>
      <w:r>
        <w:rPr>
          <w:rFonts w:ascii="Times New Roman" w:hAnsi="Times New Roman"/>
          <w:i/>
          <w:sz w:val="20"/>
        </w:rPr>
        <w:t>Change of Control Payment</w:t>
      </w:r>
      <w:r>
        <w:rPr>
          <w:rFonts w:ascii="Times New Roman" w:hAnsi="Times New Roman"/>
          <w:sz w:val="20"/>
        </w:rPr>
        <w:t xml:space="preserve">”) equal to 101% of the aggregate principal amount of Notes repurchased, </w:t>
      </w:r>
      <w:r>
        <w:rPr>
          <w:rFonts w:ascii="Times New Roman" w:hAnsi="Times New Roman"/>
          <w:i/>
          <w:sz w:val="20"/>
        </w:rPr>
        <w:t>plus</w:t>
      </w:r>
      <w:r>
        <w:rPr>
          <w:rFonts w:ascii="Times New Roman" w:hAnsi="Times New Roman"/>
          <w:sz w:val="20"/>
        </w:rPr>
        <w:t xml:space="preserve"> accrued and unpaid interest, if any, on the Notes repurchased to but excluding the date of purchase (the “</w:t>
      </w:r>
      <w:r>
        <w:rPr>
          <w:rFonts w:ascii="Times New Roman" w:hAnsi="Times New Roman"/>
          <w:i/>
          <w:sz w:val="20"/>
        </w:rPr>
        <w:t>Change of Control Payment Date</w:t>
      </w:r>
      <w:r>
        <w:rPr>
          <w:rFonts w:ascii="Times New Roman" w:hAnsi="Times New Roman"/>
          <w:sz w:val="20"/>
        </w:rPr>
        <w:t xml:space="preserve">”), subject to the rights of Holders of Notes on a relevant record date to receive interest due on an interest payment date occurring on or prior to the Change of Control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being understood that to the extent any cash proceeds of a Change of Control are required to prepay the Obligations under the Credit Agreement pursuant to the terms thereof, the Company will be required to first apply such cash proceeds to prepay such Obligations under the Credit Agreement but the Company will still be required to make a Change of Control Offer as set forth in this Section 4.14). Within 30 days following any Change of Control, except to the extent the Company has delivered notice of its intention to redeem the Notes pursuant to Section 3.07 hereof and except in the case of conditional Change of Control Offer made in advance of a Change of Control as described below, the Company will deliver or cause to be delivered a notice to each Holder electronically in accordance with the applicable procedures of DTC or by first-class mail at the address of such Holder appearing in the security register or otherwise in accordance with the applicable procedures of DTC, describing the transaction or transactions that constitute the Change of Control and stating: </w:t>
      </w:r>
    </w:p>
    <w:p>
      <w:pPr>
        <w:pStyle w:val="TextBody"/>
        <w:bidi w:val="0"/>
        <w:spacing w:before="120" w:after="0"/>
        <w:jc w:val="left"/>
        <w:rPr>
          <w:rFonts w:ascii="Times New Roman" w:hAnsi="Times New Roman"/>
          <w:sz w:val="20"/>
        </w:rPr>
      </w:pPr>
      <w:r>
        <w:rPr>
          <w:rFonts w:ascii="Times New Roman" w:hAnsi="Times New Roman"/>
          <w:sz w:val="20"/>
        </w:rPr>
        <w:t xml:space="preserve">(1) that the Change of Control Offer is being made pursuant to this Section 4.14 and that all Notes tendered will be accepted for payment; </w:t>
      </w:r>
    </w:p>
    <w:p>
      <w:pPr>
        <w:pStyle w:val="TextBody"/>
        <w:bidi w:val="0"/>
        <w:spacing w:before="120" w:after="0"/>
        <w:jc w:val="left"/>
        <w:rPr>
          <w:rFonts w:ascii="Times New Roman" w:hAnsi="Times New Roman"/>
          <w:sz w:val="20"/>
        </w:rPr>
      </w:pPr>
      <w:r>
        <w:rPr>
          <w:rFonts w:ascii="Times New Roman" w:hAnsi="Times New Roman"/>
          <w:sz w:val="20"/>
        </w:rPr>
        <w:t xml:space="preserve">(2) the purchase price and the Change of Control Payment Date, which shall be no earlier than 10 days and no later than 60 days from the date such notice is mailed; </w:t>
      </w:r>
    </w:p>
    <w:p>
      <w:pPr>
        <w:pStyle w:val="TextBody"/>
        <w:bidi w:val="0"/>
        <w:spacing w:before="120" w:after="0"/>
        <w:jc w:val="left"/>
        <w:rPr>
          <w:rFonts w:ascii="Times New Roman" w:hAnsi="Times New Roman"/>
          <w:sz w:val="20"/>
        </w:rPr>
      </w:pPr>
      <w:r>
        <w:rPr>
          <w:rFonts w:ascii="Times New Roman" w:hAnsi="Times New Roman"/>
          <w:sz w:val="20"/>
        </w:rPr>
        <w:t xml:space="preserve">(3) that any Note not tendered will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Company defaults in the payment of the Change of Control Payment, all Notes accepted for payment pursuant to the Change of Control Offer will cease to accrue interest after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that Holders will be entitled to withdraw their election if the Paying Agent receives, not later than the close of business on the fifth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 </w:t>
      </w:r>
    </w:p>
    <w:p>
      <w:pPr>
        <w:pStyle w:val="TextBody"/>
        <w:bidi w:val="0"/>
        <w:spacing w:before="120" w:after="0"/>
        <w:jc w:val="left"/>
        <w:rPr>
          <w:rFonts w:ascii="Times New Roman" w:hAnsi="Times New Roman"/>
          <w:sz w:val="20"/>
        </w:rPr>
      </w:pPr>
      <w:r>
        <w:rPr>
          <w:rFonts w:ascii="Times New Roman" w:hAnsi="Times New Roman"/>
          <w:sz w:val="20"/>
        </w:rPr>
        <w:t xml:space="preserve">(7) that Holders whose Notes are being purchased only in part will be issued new Notes equal in principal amount to the unpurchased portion of the Notes surrendered, which unpurchased portion must be equal to $2,000 in principal amount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this Section 4.14, the Company will comply with the applicable securities laws and regulations and will not be deemed to have breached its obligations under this Section 4.14 by virtue of such compliance. The Company may rely on any no-action letters issued by the SEC indicating that the staff of the SEC will not recommend enforcement action in the event a tender offer satisfies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(b) On the Change of Control Payment Date, the Company will,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or portions of Notes properly tendered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Change of Control Payment in respect of all Notes or portions of Notes properly tendered;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deliver or cause to be delivered to the Trustee the Notes properly accepted together with an Officer’s Certificate stating the aggregate principal amount of Notes or portions of Notes being 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deliver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The Company will publicly announce the results of the Change of Control Offer on or as soon as practicable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Section 4.14, the Company will not be required to make a Change of Control Offer upon a Change of Control if (1) a third party makes the Change of Control Offer in the manner, at the times and otherwise in compliance with the requirements set forth in this Section 4.14 and purchases all Notes properly tendered and not withdrawn under the Change of Control Offer, or (2) notice of redemption has been given to the Trustee pursuant to Section 3.07 hereof, unless and until there is a default in payment of the applicable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herein, the Company’s obligation to make a Change of Control Offer may be waived or modified (at any time, including after a Change of Control) with the written consent of the Holders of a majority in aggregate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contained herein, a Change of Control Offer may be made in advance of a Change of Control, or conditioned upon the consummation of such Change of Control, if a definitive agreement is in place for the Change of Control at the time the Change of Control Offer is made.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i/>
          <w:sz w:val="20"/>
        </w:rPr>
        <w:t>Additional Note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wholly-owned Domestic Subsidiary (other than an Excluded Subsidiary) of the Company guarantees payment by the Company or any Guarantor of Indebtedness of the Company or any other Guarantor under any Credit Facility or any Capital Markets Debt, in each case, with an aggregate outstanding principal amount in excess of $200.0 million after the Issue Date, then such wholly-owned Domestic Subsidiary (other than an Excluded Subsidiary) will become a Guarantor and execute a supplemental indenture in the form of Exhibit E hereto and supplements or joinders to the Security Documents or new Security Documents together with any other filings, actions and agreements required by the Security Documents to create and perfect the security interests for the benefit of the Holders of the Notes in the Collateral of such Subsidiary within 90 days of the date on which it guarantees such Indebtedness;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covenant shall not be applicable in the event that the Note Guarantee of the Company’s obligations under the Notes, the Security Documents or this Indenture by such Subsidiary would not be permitted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elect, in its sole discretion, to cause or allow, as the case may be, any Subsidiary or any of its direct or indirect parent entities that is not otherwise required to be a Guarantor to become a Guarantor, in which case, such Subsidiary or direct or indirect parent entity shall not be required to comply with the 90-day period described above and such Note Guarantee may be released at any time in the Company’s sole discretion so long as any Indebtedness of such Subsidiary then outstanding could have been incurred by such Subsidiary (either (x) when so incurred or (y) at the time of the release of such Note Guarantee) assuming such Subsidiary were not a Guarantor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i/>
          <w:sz w:val="20"/>
        </w:rPr>
        <w:t>Designation of Restricted and Unrestricted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Unrestricted will be deemed to be an Investment made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time of the designation and will reduce the amount available for Restricted Payments under Section 4.07 hereof or under one or more clauses of the definition of “Permitted Investments,” as determined by the Company in good faith. That designation will only be permitted if the Investment would be permitted at that time and if the Restricted Subsidiary otherwise meets the definition of an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next succeeding paragraph, the Board of Directors of the Company may redesignate any Unrestricted Subsidiary to be a Restricted Subsidiary if that redesignation would not cause a Default. </w:t>
      </w:r>
    </w:p>
    <w:p>
      <w:pPr>
        <w:pStyle w:val="TextBody"/>
        <w:bidi w:val="0"/>
        <w:spacing w:before="240" w:after="0"/>
        <w:jc w:val="left"/>
        <w:rPr>
          <w:rFonts w:ascii="Times New Roman" w:hAnsi="Times New Roman"/>
          <w:sz w:val="20"/>
        </w:rPr>
      </w:pPr>
      <w:r>
        <w:rPr>
          <w:rFonts w:ascii="Times New Roman" w:hAnsi="Times New Roman"/>
          <w:sz w:val="20"/>
        </w:rPr>
        <w:t xml:space="preserve">Any designation of a Subsidiary of the Company as an Unrestricted Subsidiary will be evidenced to the Trustee by filing with the Trustee a certified copy of a resolution of the Board of Directors of the Company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Section 4.09 hereof. The Board of Directors of the Company may at any time designate any Unrestricted Subsidiary to be a Restricted Subsidiary of the Company; </w:t>
      </w:r>
      <w:r>
        <w:rPr>
          <w:rFonts w:ascii="Times New Roman" w:hAnsi="Times New Roman"/>
          <w:i/>
          <w:sz w:val="20"/>
        </w:rPr>
        <w:t>provided</w:t>
      </w:r>
      <w:r>
        <w:rPr>
          <w:rFonts w:ascii="Times New Roman" w:hAnsi="Times New Roman"/>
          <w:sz w:val="20"/>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by Section 4.09 hereof, calculated on a pro forma basis as if such designation had occurred at the beginning of the applicable reference period; and (2) no Default or Event of Default would be in existence following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i/>
          <w:sz w:val="20"/>
        </w:rPr>
        <w:t>Changes in Covenants When Notes Rated Investment Grade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on any date following the Issue Date: </w:t>
      </w:r>
    </w:p>
    <w:p>
      <w:pPr>
        <w:pStyle w:val="TextBody"/>
        <w:bidi w:val="0"/>
        <w:spacing w:before="120" w:after="0"/>
        <w:jc w:val="left"/>
        <w:rPr>
          <w:rFonts w:ascii="Times New Roman" w:hAnsi="Times New Roman"/>
          <w:sz w:val="20"/>
        </w:rPr>
      </w:pPr>
      <w:r>
        <w:rPr>
          <w:rFonts w:ascii="Times New Roman" w:hAnsi="Times New Roman"/>
          <w:sz w:val="20"/>
        </w:rPr>
        <w:t>(1) the Notes are rated Baa3 or better by Moody’s and BBB- or better by S&amp;P (or, if either such entity ceases to rate the Notes for reasons outside of the control of the Company, the equivalent investment grade credit rating from any other “nationally recognized statistical rating organization” within the meaning of Section 3(a)(62) of the Exchange Act selected by the Company as a replacement agency) (“</w:t>
      </w:r>
      <w:r>
        <w:rPr>
          <w:rFonts w:ascii="Times New Roman" w:hAnsi="Times New Roman"/>
          <w:i/>
          <w:sz w:val="20"/>
        </w:rPr>
        <w:t>Investment Grade Status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(2) no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then, beginning on that day and Continuing at all times thereafter and subject to the provisions of the following paragraph, Sections 4.07, 4.08, 4.09, 4.10, 4.11, 4.16 and 5.01(4) hereof (collectively, the “</w:t>
      </w:r>
      <w:r>
        <w:rPr>
          <w:rFonts w:ascii="Times New Roman" w:hAnsi="Times New Roman"/>
          <w:i/>
          <w:sz w:val="20"/>
        </w:rPr>
        <w:t>Suspended Covenants</w:t>
      </w:r>
      <w:r>
        <w:rPr>
          <w:rFonts w:ascii="Times New Roman" w:hAnsi="Times New Roman"/>
          <w:sz w:val="20"/>
        </w:rPr>
        <w:t xml:space="preserve">”) will be suspended. </w:t>
      </w:r>
    </w:p>
    <w:p>
      <w:pPr>
        <w:pStyle w:val="TextBody"/>
        <w:bidi w:val="0"/>
        <w:spacing w:before="240" w:after="0"/>
        <w:jc w:val="left"/>
        <w:rPr>
          <w:rFonts w:ascii="Times New Roman" w:hAnsi="Times New Roman"/>
          <w:sz w:val="20"/>
        </w:rPr>
      </w:pPr>
      <w:r>
        <w:rPr>
          <w:rFonts w:ascii="Times New Roman" w:hAnsi="Times New Roman"/>
          <w:sz w:val="20"/>
        </w:rPr>
        <w:t xml:space="preserve">During any period that the Suspended Covenants have been suspended, the Company may not designate any of its Restricted Subsidiaries as Unrestricted Subsidiaries pursuant to Section 4.17 hereof unless the Company would have been able, under the terms of this Indenture, to designate such Restricted Subsidiaries as Unrestricted Subsidiaries if the Suspended Covenants were not suspended.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that the Suspended Covenants may be reinstated, the failure to comply with the Suspended Covenants during the Suspension Period (including any action taken or omitted to be taken with respect thereto) will not give rise to a Default or Event of Default under this Indenture. </w:t>
      </w:r>
    </w:p>
    <w:p>
      <w:pPr>
        <w:pStyle w:val="TextBody"/>
        <w:bidi w:val="0"/>
        <w:spacing w:before="240" w:after="0"/>
        <w:jc w:val="left"/>
        <w:rPr>
          <w:rFonts w:ascii="Times New Roman" w:hAnsi="Times New Roman"/>
          <w:sz w:val="20"/>
        </w:rPr>
      </w:pPr>
      <w:r>
        <w:rPr>
          <w:rFonts w:ascii="Times New Roman" w:hAnsi="Times New Roman"/>
          <w:sz w:val="20"/>
        </w:rPr>
        <w:t>Notwithstanding the foregoing, if the rating assigned by either such rating agency should subsequently decline to below Baa3 or BBB-, respectively, the Suspended Covenants will be reinstituted as of and from the date of such rating decline (any such date, a “</w:t>
      </w:r>
      <w:r>
        <w:rPr>
          <w:rFonts w:ascii="Times New Roman" w:hAnsi="Times New Roman"/>
          <w:i/>
          <w:sz w:val="20"/>
        </w:rPr>
        <w:t>Reversion Date</w:t>
      </w:r>
      <w:r>
        <w:rPr>
          <w:rFonts w:ascii="Times New Roman" w:hAnsi="Times New Roman"/>
          <w:sz w:val="20"/>
        </w:rPr>
        <w:t xml:space="preserve">”). No Default, Event of Default or breach of any kind shall be deemed to exist under this Indenture, the Notes or the Note Guarantees with respect to the Suspended Covenants based on, and none of the Company or any of its Subsidiaries shall bear any liability for, any actions taken or events occurring during the Suspension Period, or any actions taken at any time pursuant to any contractual obligation arising prior to the Reversion Date that were permitted at such time, regardless of whether such actions or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would have been permitted if the applicable Suspended Covenants remained in effect during such period. The period of time between the suspension of covenants as set forth above and the Reversion Date is referred to as the “</w:t>
      </w:r>
      <w:r>
        <w:rPr>
          <w:rFonts w:ascii="Times New Roman" w:hAnsi="Times New Roman"/>
          <w:i/>
          <w:sz w:val="20"/>
        </w:rPr>
        <w:t>Suspension Period</w:t>
      </w:r>
      <w:r>
        <w:rPr>
          <w:rFonts w:ascii="Times New Roman" w:hAnsi="Times New Roman"/>
          <w:sz w:val="20"/>
        </w:rPr>
        <w:t xml:space="preserve">.” All Indebtedness incurred (including Acquired Debt) and Disqualified Stock or preferred stock issued during the Suspension Period will be deemed to have been incurred or issued in reliance on the exception provided by clause (2) of the definition of Permitted Debt. </w:t>
      </w:r>
    </w:p>
    <w:p>
      <w:pPr>
        <w:pStyle w:val="TextBody"/>
        <w:bidi w:val="0"/>
        <w:spacing w:before="240" w:after="0"/>
        <w:jc w:val="left"/>
        <w:rPr>
          <w:rFonts w:ascii="Times New Roman" w:hAnsi="Times New Roman"/>
          <w:sz w:val="20"/>
        </w:rPr>
      </w:pPr>
      <w:r>
        <w:rPr>
          <w:rFonts w:ascii="Times New Roman" w:hAnsi="Times New Roman"/>
          <w:sz w:val="20"/>
        </w:rPr>
        <w:t xml:space="preserve">Calculations under the reinstated Section 4.07 hereof will be made as if Section 4.07 hereof had been in effect prior to, but not during, the period that Section 4.07 hereof was suspended as set forth above. Accordingly, any Restricted Payment made during the Suspension Period shall in no event reduce the amount of Restricted Payments permitted by Section 4.07(a). For purposes of determining compliance with Section 4.10 hereof, the Excess Proceeds and Collateral Excess Proceeds from all Asset Sales not applied in accordance with Section 4.10 hereof will be deemed to be reset to zero after the Reversion Date. Subsidiaries that would have been required to grant Note Guarantees but for a Suspension Period shall grant Note Guarantees upon the Reversion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Company and the Company’s Restricted Subsidiaries may honor any contractual commitments to take actions following a Reversion Date without causing a Default or Event of Default; </w:t>
      </w:r>
      <w:r>
        <w:rPr>
          <w:rFonts w:ascii="Times New Roman" w:hAnsi="Times New Roman"/>
          <w:i/>
          <w:sz w:val="20"/>
        </w:rPr>
        <w:t>provided</w:t>
      </w:r>
      <w:r>
        <w:rPr>
          <w:rFonts w:ascii="Times New Roman" w:hAnsi="Times New Roman"/>
          <w:sz w:val="20"/>
        </w:rPr>
        <w:t xml:space="preserve"> that such contractual commitments were entered into during the Suspension Period and not in contemplation of a reversion of the Suspended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promptly to the Trustee an Officer’s Certificate notifying it of the beginning of any Suspension Period and any Reversion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i/>
          <w:sz w:val="20"/>
        </w:rPr>
        <w:t>After-Acquired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Issue Date, and subject to certain limitations and exceptions described in this Indenture and/or the Security Documents, if the Company or any Guarantor acquires any property or rights which are of a type constituting Collateral under any Security Document (excluding, for the avoidance of doubt, any Excluded Property or assets not required to be Collateral pursuant to this Indenture or the Security Documents) or if the Company or any Guarantor creates or is required to create any additional security interest upon any property or rights to secure any First Lien Obligations, it will be required to execute and deliver such security instruments, financing statements and such certificates as are required under this Indenture or any Security Document to vest in the Notes Collateral Agent a perfected security interest (subject to Permitted Liens) in such property and to take such actions to add such property to the Collateral and thereupon all provisions of this Indenture and the Security Documents relating to the Collateral shall be deemed to relate to such property to the same extent and with the same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opinions of counsel will not be required in connection with the addition of new Guarantors or in connection with such Guarantors entering into the Security Documents or to vest in the Notes Collateral Agent a perfected security interest in such after-acquired collateral.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Merger, Consolidation or Sale of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directly or indirectly: (1) consolidate or merge with or into another Person (whether or not the Company is the surviving corporation), or (2) sell, assign, transfer, convey, lease or otherwise dispose of all or substantially all of the properties or assets of the Company and its Restricted Subsidiaries taken as a whole, in one or more related transactions, to another Person, unless: </w:t>
      </w:r>
    </w:p>
    <w:p>
      <w:pPr>
        <w:pStyle w:val="TextBody"/>
        <w:bidi w:val="0"/>
        <w:spacing w:before="120" w:after="0"/>
        <w:jc w:val="left"/>
        <w:rPr>
          <w:rFonts w:ascii="Times New Roman" w:hAnsi="Times New Roman"/>
          <w:sz w:val="20"/>
        </w:rPr>
      </w:pPr>
      <w:r>
        <w:rPr>
          <w:rFonts w:ascii="Times New Roman" w:hAnsi="Times New Roman"/>
          <w:sz w:val="20"/>
        </w:rPr>
        <w:t xml:space="preserve">(1) either: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the surviving corporation;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Person formed by or surviving any such consolidation or merger (if other than the Company) or to which such sale, assignment, transfer, conveyance, lease or other disposition has been made is an entity organized or existing under the laws of the United States, any state of the United States or the District of Columbia and, if such entity is not a corporation, a co-obligor of the Notes is a corporation organized or existing under any such laws; </w:t>
      </w:r>
    </w:p>
    <w:p>
      <w:pPr>
        <w:pStyle w:val="TextBody"/>
        <w:bidi w:val="0"/>
        <w:spacing w:before="120" w:after="0"/>
        <w:jc w:val="left"/>
        <w:rPr>
          <w:rFonts w:ascii="Times New Roman" w:hAnsi="Times New Roman"/>
          <w:sz w:val="20"/>
        </w:rPr>
      </w:pPr>
      <w:r>
        <w:rPr>
          <w:rFonts w:ascii="Times New Roman" w:hAnsi="Times New Roman"/>
          <w:sz w:val="20"/>
        </w:rPr>
        <w:t xml:space="preserve">(2) the Person formed by or surviving any such consolidation or merger (if other than the Company) or the Person to which such sale, assignment, transfer, conveyance, lease or other disposition has been made assumes all the Obligations of the Company under the Notes, the Security Documents and this Indenture pursuant to a supplemental indenture substantially in the form of Exhibit E hereto; </w:t>
      </w:r>
    </w:p>
    <w:p>
      <w:pPr>
        <w:pStyle w:val="TextBody"/>
        <w:bidi w:val="0"/>
        <w:spacing w:before="120" w:after="0"/>
        <w:jc w:val="left"/>
        <w:rPr>
          <w:rFonts w:ascii="Times New Roman" w:hAnsi="Times New Roman"/>
          <w:sz w:val="20"/>
        </w:rPr>
      </w:pPr>
      <w:r>
        <w:rPr>
          <w:rFonts w:ascii="Times New Roman" w:hAnsi="Times New Roman"/>
          <w:sz w:val="20"/>
        </w:rPr>
        <w:t xml:space="preserve">(3) immediately after such transaction, no Event of Default exists; and </w:t>
      </w:r>
    </w:p>
    <w:p>
      <w:pPr>
        <w:pStyle w:val="TextBody"/>
        <w:bidi w:val="0"/>
        <w:spacing w:before="120" w:after="0"/>
        <w:jc w:val="left"/>
        <w:rPr>
          <w:rFonts w:ascii="Times New Roman" w:hAnsi="Times New Roman"/>
          <w:sz w:val="20"/>
        </w:rPr>
      </w:pPr>
      <w:r>
        <w:rPr>
          <w:rFonts w:ascii="Times New Roman" w:hAnsi="Times New Roman"/>
          <w:sz w:val="20"/>
        </w:rPr>
        <w:t xml:space="preserve">(4) on the date of such transaction after giving pro forma effect thereto and any related financing transactions as if the same had occurred at the beginning of the applicable four-quarter period, either (a) the Company or the Person formed by or surviving any such consolidation or merger (if other than the Company), or to which such sale, assignment, transfer, conveyance, lease or other disposition has been made would, be permitted to incur at least $1.00 of additional Indebtedness pursuant to Section 4.09(a) hereof or (b) the Fixed Charge Coverage Ratio of the Company would not be lower than it was immediately prior to giving effect to such transaction; and </w:t>
      </w:r>
    </w:p>
    <w:p>
      <w:pPr>
        <w:pStyle w:val="TextBody"/>
        <w:bidi w:val="0"/>
        <w:spacing w:before="120" w:after="0"/>
        <w:jc w:val="left"/>
        <w:rPr>
          <w:rFonts w:ascii="Times New Roman" w:hAnsi="Times New Roman"/>
          <w:sz w:val="20"/>
        </w:rPr>
      </w:pPr>
      <w:r>
        <w:rPr>
          <w:rFonts w:ascii="Times New Roman" w:hAnsi="Times New Roman"/>
          <w:sz w:val="20"/>
        </w:rPr>
        <w:t xml:space="preserve">(5) other than with respect to mergers or consolidations of a Guarantor into another Guarantor or the Company, the Company shall deliver to the Trustee an Officer’s Certificate stating that such consolidation, merger, sale, assignment, transfer, conveyance, lease or other disposition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This Section 5.01 will not apply to any sale, assignment, transfer, conveyance, lease or other disposition of assets between or among the Company and any Guarantor. Notwithstanding clauses (3) and (4) of this Section 5.01, (a) the Company may consolidate or otherwise combine with, merge into or transfer all or part of its properties and assets to a Guarantor, (b) the Company may consolidate or otherwise combine with or merge into an Affiliate incorporated or organized for the purpose of changing the legal domicile of the Company, reincorporating the Company in another jurisdiction, (c) any Subsidiary may consolidate or otherwise combine with, merge into or transfer all or part of its properties and assets to the Company or a Guarantor and (d) any Excluded Subsidiary may consolidate or otherwise combine with, merge into or transfer all or part of its properties and assets to any other Excluded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Successor Corporation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(a)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and (b) the Company or such predecessor Person, as the case may be, (except in the case of a lease) shall be released from its obligations under this Indenture, the Security Documents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of the following is an “</w:t>
      </w:r>
      <w:r>
        <w:rPr>
          <w:rFonts w:ascii="Times New Roman" w:hAnsi="Times New Roman"/>
          <w:i/>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default for 30 days in the payment when due of interest, if any, on the Notes; </w:t>
      </w:r>
    </w:p>
    <w:p>
      <w:pPr>
        <w:pStyle w:val="TextBody"/>
        <w:bidi w:val="0"/>
        <w:spacing w:before="120" w:after="0"/>
        <w:jc w:val="left"/>
        <w:rPr>
          <w:rFonts w:ascii="Times New Roman" w:hAnsi="Times New Roman"/>
          <w:sz w:val="20"/>
        </w:rPr>
      </w:pPr>
      <w:r>
        <w:rPr>
          <w:rFonts w:ascii="Times New Roman" w:hAnsi="Times New Roman"/>
          <w:sz w:val="20"/>
        </w:rPr>
        <w:t xml:space="preserve">(2) default in the payment when due (at maturity, upon redemption or otherwise) of the principal of, or premium, if any, on, the Notes; </w:t>
      </w:r>
    </w:p>
    <w:p>
      <w:pPr>
        <w:pStyle w:val="TextBody"/>
        <w:bidi w:val="0"/>
        <w:spacing w:before="120" w:after="0"/>
        <w:jc w:val="left"/>
        <w:rPr>
          <w:rFonts w:ascii="Times New Roman" w:hAnsi="Times New Roman"/>
          <w:sz w:val="20"/>
        </w:rPr>
      </w:pPr>
      <w:r>
        <w:rPr>
          <w:rFonts w:ascii="Times New Roman" w:hAnsi="Times New Roman"/>
          <w:sz w:val="20"/>
        </w:rPr>
        <w:t xml:space="preserve">(3) failure by the Company or any of its Restricted Subsidiaries for 60 days after written notice by the Trustee to the Company or by the Holders of at least 30% in aggregate principal amount of the Notes then outstanding voting as a single class to the Company and the Trustee to comply with any of the agreements in this Indenture (other than a default referred to in clause (1) or (2) of this Section 6.01); </w:t>
      </w:r>
      <w:r>
        <w:rPr>
          <w:rFonts w:ascii="Times New Roman" w:hAnsi="Times New Roman"/>
          <w:i/>
          <w:sz w:val="20"/>
        </w:rPr>
        <w:t>provided</w:t>
      </w:r>
      <w:r>
        <w:rPr>
          <w:rFonts w:ascii="Times New Roman" w:hAnsi="Times New Roman"/>
          <w:sz w:val="20"/>
        </w:rPr>
        <w:t xml:space="preserve"> that in the case of a failure to comply with Section 4.03 hereof, such period of continuance of such default or breach shall be 180 days after written notice described in this clause has been given; </w:t>
      </w:r>
    </w:p>
    <w:p>
      <w:pPr>
        <w:pStyle w:val="TextBody"/>
        <w:bidi w:val="0"/>
        <w:spacing w:before="120" w:after="0"/>
        <w:jc w:val="left"/>
        <w:rPr>
          <w:rFonts w:ascii="Times New Roman" w:hAnsi="Times New Roman"/>
          <w:sz w:val="20"/>
        </w:rPr>
      </w:pPr>
      <w:r>
        <w:rPr>
          <w:rFonts w:ascii="Times New Roman" w:hAnsi="Times New Roman"/>
          <w:sz w:val="20"/>
        </w:rPr>
        <w:t xml:space="preserve">(4) default under any mortgage, indenture or instrument under which there may be issued or by which there may be secured or evidenced any Indebtedness for money borrowed by the Company or any of its Restricted Subsidiaries that is a Significant Subsidiary (or the payment of which is guaranteed by the Company or any of its Restricted Subsidiaries that is a Significant Subsidiary), whether such Indebtedness or Guarantee now exists, or is created after the Issue Date, if that default: </w:t>
      </w:r>
    </w:p>
    <w:p>
      <w:pPr>
        <w:pStyle w:val="TextBody"/>
        <w:bidi w:val="0"/>
        <w:spacing w:before="120" w:after="0"/>
        <w:jc w:val="left"/>
        <w:rPr>
          <w:rFonts w:ascii="Times New Roman" w:hAnsi="Times New Roman"/>
          <w:sz w:val="20"/>
        </w:rPr>
      </w:pPr>
      <w:r>
        <w:rPr>
          <w:rFonts w:ascii="Times New Roman" w:hAnsi="Times New Roman"/>
          <w:sz w:val="20"/>
        </w:rPr>
        <w:t>(A) is caused by a failure to pay principal of, or premium, if any, on any such Indebtedness at final Stated Maturity (after giving effect to any applicable grace periods) (a “</w:t>
      </w:r>
      <w:r>
        <w:rPr>
          <w:rFonts w:ascii="Times New Roman" w:hAnsi="Times New Roman"/>
          <w:i/>
          <w:sz w:val="20"/>
        </w:rPr>
        <w:t>Payment Default</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to $100.0 million or more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(5) failure by the Company or any of its Restricted Subsidiaries that is a Significant Subsidiary to pay final non-appealable judgments entered by a court or courts of competent jurisdiction aggregating in excess of $100.0 million (other than any judgments covered by indemnities or insurance policies issued by reputable and creditworthy companies), which judgments are not paid, discharged or stayed, for a period of 60 days, after the applicable judgment becomes final and non-appealable; </w:t>
      </w:r>
    </w:p>
    <w:p>
      <w:pPr>
        <w:pStyle w:val="TextBody"/>
        <w:bidi w:val="0"/>
        <w:spacing w:before="120" w:after="0"/>
        <w:jc w:val="left"/>
        <w:rPr>
          <w:rFonts w:ascii="Times New Roman" w:hAnsi="Times New Roman"/>
          <w:sz w:val="20"/>
        </w:rPr>
      </w:pPr>
      <w:r>
        <w:rPr>
          <w:rFonts w:ascii="Times New Roman" w:hAnsi="Times New Roman"/>
          <w:sz w:val="20"/>
        </w:rPr>
        <w:t xml:space="preserve">(6) the Company or any of its Restricted Subsidiaries that is a Significant Subsidiary or any group of Restricted Subsidiaries of the Company that, taken together, would constitute a Significant Subsidiary pursuant to or within the meaning of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(D)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(E) admits in writing its inability to pay its debts as they become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either of the Company or any of its Restricted Subsidiaries that is a Significant Subsidiary or any group of Restricted Subsidiaries of the Company that, taken together, would constitute a Significant Subsidiary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appoints a custodian of either of the Company or any of its Restricted Subsidiaries that is a Significant Subsidiary or any group of Restricted Subsidiaries of the Company that, taken together, would constitute a Significant Subsidiary or for all or substantially all of the property of either of the Company or any of its Restricted Subsidiaries that is a Significant Subsidiary or any group of Restricted Subsidiaries of the Company that, taken together, would constitute a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(C) orders the liquidation of either of the Company or any of its Restricted Subsidiaries that is a Significant Subsidiary or any group of Restricted Subsidiaries of the Company that, taken together, would constitute a Significant Subsidiary; </w:t>
      </w:r>
    </w:p>
    <w:p>
      <w:pPr>
        <w:pStyle w:val="TextBody"/>
        <w:bidi w:val="0"/>
        <w:spacing w:before="120" w:after="0"/>
        <w:jc w:val="left"/>
        <w:rPr>
          <w:rFonts w:ascii="Times New Roman" w:hAnsi="Times New Roman"/>
          <w:sz w:val="20"/>
        </w:rPr>
      </w:pPr>
      <w:r>
        <w:rPr>
          <w:rFonts w:ascii="Times New Roman" w:hAnsi="Times New Roman"/>
          <w:sz w:val="20"/>
        </w:rPr>
        <w:t xml:space="preserve">and the order or decree remains unstayed and in effect for 60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(8) except as permitted by this Indenture, any Note Guarantee of a Significant Subsidiary is held in any judicial proceeding to be unenforceable or invalid or ceases for any reason to be in full force and effect (except as contemplated by the terms hereof), or any Guarantor, or any Person acting on behalf of any Guarantor, denies or disaffirms its Obligations under its Note Guarantee and any such Default continues for 10 days; </w:t>
      </w:r>
    </w:p>
    <w:p>
      <w:pPr>
        <w:pStyle w:val="TextBody"/>
        <w:bidi w:val="0"/>
        <w:spacing w:before="120" w:after="0"/>
        <w:jc w:val="left"/>
        <w:rPr>
          <w:rFonts w:ascii="Times New Roman" w:hAnsi="Times New Roman"/>
          <w:sz w:val="20"/>
        </w:rPr>
      </w:pPr>
      <w:r>
        <w:rPr>
          <w:rFonts w:ascii="Times New Roman" w:hAnsi="Times New Roman"/>
          <w:sz w:val="20"/>
        </w:rPr>
        <w:t xml:space="preserve">(9) the Liens created by the Security Documents shall at any time not constitute a valid and perfected Lien on any material portion of the Collateral intended to be covered thereby (unless perfection is not required by this Indenture or the Security Documents) other than (A) in accordance with the terms of the relevant Security Document and this Indenture, (B) the satisfaction in full of all First Lien Notes Obligations or (C) any loss of perfection that results from the failure of the Notes Collateral Agent (or its bailee pursuant to the terms of any applicable intercreditor agreement to which the Notes Collateral Agent is a party) to maintain possession of certificates delivered to it representing securities pledged under the Security Documents; or </w:t>
      </w:r>
    </w:p>
    <w:p>
      <w:pPr>
        <w:pStyle w:val="TextBody"/>
        <w:bidi w:val="0"/>
        <w:spacing w:before="120" w:after="0"/>
        <w:jc w:val="left"/>
        <w:rPr>
          <w:rFonts w:ascii="Times New Roman" w:hAnsi="Times New Roman"/>
          <w:sz w:val="20"/>
        </w:rPr>
      </w:pPr>
      <w:r>
        <w:rPr>
          <w:rFonts w:ascii="Times New Roman" w:hAnsi="Times New Roman"/>
          <w:sz w:val="20"/>
        </w:rPr>
        <w:t xml:space="preserve">(10) the Company or any Guarantor that is a Significant Subsidiary shall assert, in any pleading in any court of competent jurisdiction, that any security interest purported to be created by any Security Document is invalid or unenforceable (other than by reason of the satisfaction in full of all First Lien Notes Obligations and discharge of this Indenture, the release of the Note Guarantee of such Guarantor in accordance with the terms of this Indenture or the release of such security interest in accordance with the terms of this Indenture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Acceleration.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 Event of Default specified in clause (6) or (7) of Section 6.01 hereof, with respect to either of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by written notice to the Company (with a copy to the Trustee if given by Holders of Notes) may declare all the Notes to be due and payable immediately; </w:t>
      </w:r>
      <w:r>
        <w:rPr>
          <w:rFonts w:ascii="Times New Roman" w:hAnsi="Times New Roman"/>
          <w:i/>
          <w:sz w:val="20"/>
        </w:rPr>
        <w:t>provided</w:t>
      </w:r>
      <w:r>
        <w:rPr>
          <w:rFonts w:ascii="Times New Roman" w:hAnsi="Times New Roman"/>
          <w:sz w:val="20"/>
        </w:rPr>
        <w:t xml:space="preserve"> that a notice of Default may not be given with respect to any action taken, and reported publicly or to Holders, more than two years prior to such notice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the then outstanding Notes by written notice to the Trustee and the Notes Collateral Agent may, on behalf of all of the Holders of all the Notes, rescind such an acceleration and its consequences hereunder, if the rescission would not conflict with any judgment or decree and if all existing Events of Default (except nonpayment of principal of, premium on, if any, or interest, if any, on, the Notes that has become due solely because of the acceleration) have been cured or waived and if all sums paid or advanced by the Trustee hereunder and the reasonable compensation, expenses, disbursements and advances of the Trustee and the Notes Collateral Agent, their agents and counsel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declaration of acceleration of the Notes because an Event of Default has occurred and is Continuing as a result of the acceleration of any Indebtedness described in Section 6.01(4) hereof (excluding any resulting Payment Default under this Indenture or the Notes), the declaration of acceleration of the Notes shall be automatically annulled if the event of default or payment default triggering such Event of Default shall be remedied or cured, or waived by the holders of the Indebtedness, or the Indebtedness that gave rise to such Event of Default shall have been discharged in full, in each case, within 30 days of the date of such declaration of acceleration of the Notes, and if the annulment of the acceleration of the Notes would not conflict with any judgment or decree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Any notice of Default, notice of acceleration or instruction to the Trustee to provide a notice of Default, notice of acceleration or take any other action (a “</w:t>
      </w:r>
      <w:r>
        <w:rPr>
          <w:rFonts w:ascii="Times New Roman" w:hAnsi="Times New Roman"/>
          <w:i/>
          <w:sz w:val="20"/>
        </w:rPr>
        <w:t>Noteholder Direction</w:t>
      </w:r>
      <w:r>
        <w:rPr>
          <w:rFonts w:ascii="Times New Roman" w:hAnsi="Times New Roman"/>
          <w:sz w:val="20"/>
        </w:rPr>
        <w:t>”) provided by any one or more Holders (each, a “</w:t>
      </w:r>
      <w:r>
        <w:rPr>
          <w:rFonts w:ascii="Times New Roman" w:hAnsi="Times New Roman"/>
          <w:i/>
          <w:sz w:val="20"/>
        </w:rPr>
        <w:t>Directing Holder</w:t>
      </w:r>
      <w:r>
        <w:rPr>
          <w:rFonts w:ascii="Times New Roman" w:hAnsi="Times New Roman"/>
          <w:sz w:val="20"/>
        </w:rPr>
        <w:t>”) must be accompanied by a written representation from each such Holder delivered to the Company, the Trustee and the Notes Collateral Agent, as applicable, that such Holder is not (or, in the case such Holder is DTC or its nominee, that such Holder is being instructed solely by beneficial owners that have represented to such Holder that they are not) Net Short (a “</w:t>
      </w:r>
      <w:r>
        <w:rPr>
          <w:rFonts w:ascii="Times New Roman" w:hAnsi="Times New Roman"/>
          <w:i/>
          <w:sz w:val="20"/>
        </w:rPr>
        <w:t>Position Representation</w:t>
      </w:r>
      <w:r>
        <w:rPr>
          <w:rFonts w:ascii="Times New Roman" w:hAnsi="Times New Roman"/>
          <w:sz w:val="20"/>
        </w:rPr>
        <w:t>”), which representation, in the case of a Noteholder Direction relating to the delivery of a notice of Default shall be deemed a continuing representation until the resulting Event of Default is cured or otherwise ceases to exist or the Notes are accelerated. In addition, each Directing Holder is deemed, at the time of providing a Noteholder Direction, to covenant to provide the Company with such other information as the Company may reasonably request from time to time in order to verify the accuracy of such Noteholder’s Position Representation within five Business Days of request therefor (a “</w:t>
      </w:r>
      <w:r>
        <w:rPr>
          <w:rFonts w:ascii="Times New Roman" w:hAnsi="Times New Roman"/>
          <w:i/>
          <w:sz w:val="20"/>
        </w:rPr>
        <w:t>Verification Covenant</w:t>
      </w:r>
      <w:r>
        <w:rPr>
          <w:rFonts w:ascii="Times New Roman" w:hAnsi="Times New Roman"/>
          <w:sz w:val="20"/>
        </w:rPr>
        <w:t xml:space="preserve">”). In any case in which the Holder is DTC or its nominee, any Position Representation or Verification Covenant required hereunder shall be provided by the beneficial owner of the Notes in lieu of DTC or its nominee and DTC shall be entitled to conclusively rely on such Position Representation and Verification Covenant in delivering its direction to the Trustee and the Notes Collateral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and the Notes Collateral Agent, as applicable, an Officer’s Certificate stating that the Company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shall be automatically stayed and the cure period with respect to such Default or Event of Default shall be automatically reinstituted and any remedy stayed pending a final and non-appealable determination of a court of competent jurisdiction on such matter. If, following the delivery of a Noteholder Direction, but prior to acceleration of the Notes, the Company provides to the Trustee and the Notes Collateral Agent, as applicable, an Officer’s Certificate stating that a Directing Holder failed to satisfy its Verification Covenant, the cure period with respect to such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Default or Event of Default shall be deemed never to have occurred, acceleration voided and the Trustee and the Notes Collateral Agent, as applicable, shall be deemed not to have received such Noteholder Direction or any notice of such Default or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the preceding two paragraphs to the contrary, any Noteholder Direction delivered to the Trustee and the Notes Collateral Agent, as applicable, during the pendency of an Event of Default as the result of a bankruptcy or similar proceeding shall not require compliance with the foregoing paragraphs.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and the Notes Collateral Agent, as applicable, shall have no liability to the Company, any Holder or any other Person in acting in good faith on a Noteholder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Other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may pursue any available remedy to collect the payment of principal of, premium on, if any, or interest, if any, on, the Notes or to enforce the performance of any provision of the Notes or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then outstanding Notes by written notice to the Trustee may, on behalf of the Holders of all of the Notes waive all past and any existing Default or Event of Default and its consequences hereunder and under the Security Documents, except a continuing Default or Event of Default in the payment of principal of, premium on, if any, or interest, if any, on, the Notes (including in connection with an offer to purchase);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If a Default is deemed to occur solely as a consequence of the existence of another Default (the “</w:t>
      </w:r>
      <w:r>
        <w:rPr>
          <w:rFonts w:ascii="Times New Roman" w:hAnsi="Times New Roman"/>
          <w:i/>
          <w:sz w:val="20"/>
        </w:rPr>
        <w:t>Initial Default</w:t>
      </w:r>
      <w:r>
        <w:rPr>
          <w:rFonts w:ascii="Times New Roman" w:hAnsi="Times New Roman"/>
          <w:sz w:val="20"/>
        </w:rPr>
        <w:t xml:space="preserve">”), then, at the time such Initial Default is cured, the Default that resulted solely because of that Initial Default will also be cured without any further action. Any Default or Event of Default for the failure to comply with the time periods prescribed in Section 4.03 hereof or otherwise to deliver any notice or certificate pursuant to any other provision of this Indenture shall be deemed to be cured upon the delivery of any such report required by Section 4.03 hereof or such notice or certificate, as applicable, even though such delivery is not within the prescribed period specified in this Indenture. Any time period in this Indenture to cure any actual or alleged Default or Event of Default may be extended or stayed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Control by Majority.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aggregate principal amount of the then outstanding Notes may direct the time, method and place of conducting any proceeding for exercising any remedy available to the Trustee or the Notes Collateral Agent or exercising any trust or power conferred on it. </w:t>
      </w:r>
    </w:p>
    <w:p>
      <w:pPr>
        <w:pStyle w:val="TextBody"/>
        <w:bidi w:val="0"/>
        <w:spacing w:before="240" w:after="0"/>
        <w:jc w:val="left"/>
        <w:rPr>
          <w:rFonts w:ascii="Times New Roman" w:hAnsi="Times New Roman"/>
          <w:sz w:val="20"/>
        </w:rPr>
      </w:pPr>
      <w:r>
        <w:rPr>
          <w:rFonts w:ascii="Times New Roman" w:hAnsi="Times New Roman"/>
          <w:sz w:val="20"/>
        </w:rPr>
        <w:t xml:space="preserve">However, the Trustee or the Notes Collateral Agent may refuse to follow any direction that conflicts with law or this Indenture or any Security Document, that the Trustee or the Notes Collateral Agent determines may be unduly prejudicial to the rights of other Holders of Notes or that may involve the Trustee or the Notes Collateral Agent in personal liability, or that the Trustee or the Notes Collateral Agent determines in good faith may be unduly prejudicial to the rights of Holders of the Notes not joining in the giving of such direction and may take any other action it deems proper that is not inconsistent with any such direction received from Holders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 Note may pursue any remedy with respect to this Indenture or the Notes unless: </w:t>
      </w:r>
    </w:p>
    <w:p>
      <w:pPr>
        <w:pStyle w:val="TextBody"/>
        <w:bidi w:val="0"/>
        <w:spacing w:before="120" w:after="0"/>
        <w:jc w:val="left"/>
        <w:rPr>
          <w:rFonts w:ascii="Times New Roman" w:hAnsi="Times New Roman"/>
          <w:sz w:val="20"/>
        </w:rPr>
      </w:pPr>
      <w:r>
        <w:rPr>
          <w:rFonts w:ascii="Times New Roman" w:hAnsi="Times New Roman"/>
          <w:sz w:val="20"/>
        </w:rPr>
        <w:t xml:space="preserve">(1) such Holder has previously given the Trustee written notice that an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(2) Holders of at least 30% in aggregate principal amount of the then outstanding Notes make a written request to the Trustee to pursue the remedy; </w:t>
      </w:r>
    </w:p>
    <w:p>
      <w:pPr>
        <w:pStyle w:val="TextBody"/>
        <w:bidi w:val="0"/>
        <w:spacing w:before="120" w:after="0"/>
        <w:jc w:val="left"/>
        <w:rPr>
          <w:rFonts w:ascii="Times New Roman" w:hAnsi="Times New Roman"/>
          <w:sz w:val="20"/>
        </w:rPr>
      </w:pPr>
      <w:r>
        <w:rPr>
          <w:rFonts w:ascii="Times New Roman" w:hAnsi="Times New Roman"/>
          <w:sz w:val="20"/>
        </w:rPr>
        <w:t xml:space="preserve">(3) such Holder or Holders offer and, if requested, provide to the Trustee security or indemnity reasonably satisfactory to the Trustee against any loss, liability or expense; </w:t>
      </w:r>
    </w:p>
    <w:p>
      <w:pPr>
        <w:pStyle w:val="TextBody"/>
        <w:bidi w:val="0"/>
        <w:spacing w:before="120" w:after="0"/>
        <w:jc w:val="left"/>
        <w:rPr>
          <w:rFonts w:ascii="Times New Roman" w:hAnsi="Times New Roman"/>
          <w:sz w:val="20"/>
        </w:rPr>
      </w:pPr>
      <w:r>
        <w:rPr>
          <w:rFonts w:ascii="Times New Roman" w:hAnsi="Times New Roman"/>
          <w:sz w:val="20"/>
        </w:rPr>
        <w:t xml:space="preserve">(4) the Trustee does not comply with such request within 60 days after receipt of the notice, request and the offer of security or indemnity; and </w:t>
      </w:r>
    </w:p>
    <w:p>
      <w:pPr>
        <w:pStyle w:val="TextBody"/>
        <w:bidi w:val="0"/>
        <w:spacing w:before="120" w:after="0"/>
        <w:jc w:val="left"/>
        <w:rPr>
          <w:rFonts w:ascii="Times New Roman" w:hAnsi="Times New Roman"/>
          <w:sz w:val="20"/>
        </w:rPr>
      </w:pPr>
      <w:r>
        <w:rPr>
          <w:rFonts w:ascii="Times New Roman" w:hAnsi="Times New Roman"/>
          <w:sz w:val="20"/>
        </w:rPr>
        <w:t xml:space="preserve">(5) during such 60-day period, Holders of a majority in aggregate principal amount of the then outstanding Notes do not give the Trustee a direction inconsistent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A Holder of a Note may not use this Indenture to prejudice the rights of another Holder of a Note or to obtain a preference or priority over another Holder of a Note.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Rights of Holders of Notes to Receive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the right of any Holder of a Note to receive payment of principal of, premium on, if any, or interest, if any, on, the Note, on or after the respective due dates expressed or provided for in the Note (other than an offer to purchase pursuant to Sections 4.10 and 4.14 hereof), or to bring suit for the enforcement of any such payment on or after such respective dates,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Collection Suit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Section 6.01(1) or (2) hereof occurs and is continuing, the Trustee is authorized to recover judgment in its own name and as trustee of an express trust against the Company for the whole amount of principal of, premium on, if any, and interest, if any,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Restoration of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determined or abandoned for any reason, or has been determined adversely to the Trustee or to such Holder, then and in every such case, subject to any determination in such proceedings or any other proceedings, the Company, the Trustee and the Holders shall be restored severally and respectively to their former positions hereunder and thereafter all rights and remedies hereunder of the Trustee and the Holders shall continue as though no such proceeding had been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Priorities.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First Lien Intercreditor Agreement, if the Trustee collects any money pursuant to this Article 6, it shall pay out the money in the following order: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Trustee and the Notes Collateral Agent, its agents and attorneys for amounts due under Section 7.07 hereof, including payment of all compensation, expenses and liabilities incurred, and all advances made, by the Trustee and the Notes Collateral Agent and the costs and expenses of collection;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Holders of Notes for amounts due and unpaid on the Notes for principal, premium, if any, and interest, if any, ratably, without preference or priority of any kind, according to the amounts due and payable on the Notes for principal, premium, if any, and interest, if any, respectively; and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Company or to such party as a court of competent jurisdiction shall direct. </w:t>
      </w:r>
    </w:p>
    <w:p>
      <w:pPr>
        <w:pStyle w:val="TextBody"/>
        <w:bidi w:val="0"/>
        <w:spacing w:before="240" w:after="0"/>
        <w:jc w:val="left"/>
        <w:rPr>
          <w:rFonts w:ascii="Times New Roman" w:hAnsi="Times New Roman"/>
          <w:sz w:val="20"/>
        </w:rPr>
      </w:pPr>
      <w:r>
        <w:rPr>
          <w:rFonts w:ascii="Times New Roman" w:hAnsi="Times New Roman"/>
          <w:sz w:val="20"/>
        </w:rPr>
        <w:t xml:space="preserve">The Trustee, upon written notice to the Company, may fix a record date and payment date for any payment to Holders of Notes pursuant to this Section 6.11.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i/>
          <w:sz w:val="20"/>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Holder of a Note pursuant to Section 6.07 hereof, or a suit by Holders of more than 10% in aggregate principal amount of the then outstanding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Duties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(2)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(however the Trustee shall have no obligation to verify the mathematical calculations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liabilities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(1) this paragraph does not limit the effect of paragraph (b) of this Section 7.01; </w:t>
      </w:r>
    </w:p>
    <w:p>
      <w:pPr>
        <w:pStyle w:val="TextBody"/>
        <w:bidi w:val="0"/>
        <w:spacing w:before="120" w:after="0"/>
        <w:jc w:val="left"/>
        <w:rPr>
          <w:rFonts w:ascii="Times New Roman" w:hAnsi="Times New Roman"/>
          <w:sz w:val="20"/>
        </w:rPr>
      </w:pPr>
      <w:r>
        <w:rPr>
          <w:rFonts w:ascii="Times New Roman" w:hAnsi="Times New Roman"/>
          <w:sz w:val="20"/>
        </w:rPr>
        <w:t xml:space="preserve">(2) the Trustee will not be liable for any error of judgment made in good faith by a Responsible Officer, unless it is proved that the Trustee was negligent in ascertaining the pertinent facts; and </w:t>
      </w:r>
    </w:p>
    <w:p>
      <w:pPr>
        <w:pStyle w:val="TextBody"/>
        <w:bidi w:val="0"/>
        <w:spacing w:before="120" w:after="0"/>
        <w:jc w:val="left"/>
        <w:rPr>
          <w:rFonts w:ascii="Times New Roman" w:hAnsi="Times New Roman"/>
          <w:sz w:val="20"/>
        </w:rPr>
      </w:pPr>
      <w:r>
        <w:rPr>
          <w:rFonts w:ascii="Times New Roman" w:hAnsi="Times New Roman"/>
          <w:sz w:val="20"/>
        </w:rPr>
        <w:t xml:space="preserve">(3) the Trustee will not be liable with respect to any action it takes or omits to take in good faith in accordance with a direction received by it pursuant to Section 6.05 hereof.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expressly so provided, every provision of this Indenture that in any way relates to the Trustee is subject to paragraphs (a), (b), and (c) of this Section 7.01. </w:t>
      </w:r>
    </w:p>
    <w:p>
      <w:pPr>
        <w:pStyle w:val="TextBody"/>
        <w:bidi w:val="0"/>
        <w:spacing w:before="240" w:after="0"/>
        <w:jc w:val="left"/>
        <w:rPr>
          <w:rFonts w:ascii="Times New Roman" w:hAnsi="Times New Roman"/>
          <w:sz w:val="20"/>
        </w:rPr>
      </w:pPr>
      <w:r>
        <w:rPr>
          <w:rFonts w:ascii="Times New Roman" w:hAnsi="Times New Roman"/>
          <w:sz w:val="20"/>
        </w:rPr>
        <w:t xml:space="preserve">(e) No provision of this Indenture will require the Trustee to expend or risk its own funds or incur any liability. The Trustee will be under no obligation to exercise any of its rights or powers under this Indenture at the request or direction of any Holders, unless such Holder has offered to the Trustee reasonable indemnity or security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(f) The Trustee will not be liable for interest on any money received by it except as the Trustee may agree in writing with the Company. Money held in trust by the Trustee need not be segregated from other funds except to the extent required by law. The Trustee shall have no obligation to invest funds received by it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conclusively rely upon any document believed by it to be genuine and to have been signed or presented by the proper Person. The Trustee need not investigate any fact or matter stated in the document.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be full and complete authorization and protection from liability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act through its attorneys and agents and will not be responsible for the misconduct or negligence of any agent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will not be liable for any action it takes or omits to take in good faith that it believes to be authorized or within the rights or powers conferred upon it by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Unless otherwise specifically provided in this Indenture, any demand, request, direction or notice from the Company will be sufficient if signed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The Trustee will be under no obligation to exercise any of the rights or powers vested in it by this Indenture at the request or direction of any of the Holders unless such Holders have offered to the Trustee reasonable indemnity or security satisfactory to the Trustee against the losses, liabilities and expenses that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required to give any note, bond or surety in respect of the trusts and powers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(h) The Trustee may request that the Company deliver an Officer’s Certificate setting forth the names of individuals and / or titles of officers authorized at such time to take specified actions pursuant to this Indenture, which Officer’s Certificate may be signed by any person authorized to sign an Officer’s Certificate, including any person specified as so authorized in such certificate previously delivered and not superseded. </w:t>
      </w:r>
    </w:p>
    <w:p>
      <w:pPr>
        <w:pStyle w:val="TextBody"/>
        <w:bidi w:val="0"/>
        <w:spacing w:before="240" w:after="0"/>
        <w:jc w:val="left"/>
        <w:rPr>
          <w:rFonts w:ascii="Times New Roman" w:hAnsi="Times New Roman"/>
          <w:sz w:val="20"/>
        </w:rPr>
      </w:pPr>
      <w:r>
        <w:rPr>
          <w:rFonts w:ascii="Times New Roman" w:hAnsi="Times New Roman"/>
          <w:sz w:val="20"/>
        </w:rPr>
        <w:t xml:space="preserve">(i) Except with respect to receipt of payments of principal and interest on the Notes payable by the Company pursuant to Section 4.01 hereof and any Default or Event of Default information contained in the Officer’s Certificate delivered to it pursuant to Section 4.04 hereof, the Trustee shall have no duty to monitor the Company’s compliance with or the breach of any representation, warranty or covenant made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(j) Delivery of reports, information and documents to the Trustee described in Section 4.03 hereof is for informational purposes only and the Trustee’s receipt of such shall not constitute constructive notice of any information contained therein or determinable from information contained therein, including the Company’s or the Guarantors’ compliance with any of its covenants hereunder (as to which the Trustee is entitled to rely conclusively on Officer’s Certificates). The Trustee is under no duty to examine such reports, information or documents to ensure compliance with the provision of this Indenture or to ascertain the correctness or otherwise of the information or the statements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(k)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(l) The Trustee shall not be deemed to have notice of any Default or Event of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(m)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including the Notes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(n) Neither the Trustee nor the Registrar shall have any obligation or duty to monitor, determine or inquire as to compliance with any restrictions on transfer imposed under this Indenture or the Private Placement Legend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Individual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as defined in the TIA it must eliminate such conflict within 90 days, apply to the SEC for permission to continue as Trustee (if this Indenture has been qualified under the TIA) or resign. Any Agent may do the same with like rights and duties. The Trustee is also subject to Sections 7.10 and 7.11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Trustee</w:t>
      </w:r>
      <w:r>
        <w:rPr>
          <w:rFonts w:ascii="Times New Roman" w:hAnsi="Times New Roman"/>
          <w:sz w:val="20"/>
        </w:rPr>
        <w:t>’</w:t>
      </w:r>
      <w:r>
        <w:rPr>
          <w:rFonts w:ascii="Times New Roman" w:hAnsi="Times New Roman"/>
          <w:i/>
          <w:sz w:val="20"/>
        </w:rPr>
        <w:t>s Disclaimer.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be responsible for and makes no representation as to the validity or adequacy of this Indenture, the Security Documents, the First Lien Intercreditor Agreement or the Notes, it shall not be accountable for the Company’s use of the proceeds from the Notes or any money paid to the Company or upon the Company’s direction under any provision of this Indenture, the Security Documents or the First Lien Intercreditor Agreement , it will not be responsible for the use or application of any money received by any Paying Agent other than the Trustee, and it will not be responsible for any statement or recital herein, the Security Documents, the First Lien Intercreditor Agreement or any statement in the Notes or any other document in connection with the sale of the Notes or pursuant to this Indenture other than its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Default or Event of Default occurs and is Continuing and if it is actually known to the Trustee, the Trustee will mail to Holders of Notes a notice of the Default or Event of Default within 90 days after the Trustee obtains knowledge thereof. Except in the case of a Default or Event of Default in payment of principal of, premium on, if any, or interest, if any, on, any Note, the Trustee may withhold the notice if and so long as a committee of its Responsible Officers in good faith determines that withholding the notice is in the interests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Compensation and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pay to the Trustee from time to time reasonable compensation for its acceptance of this Indenture and services hereunder in accordance with a written schedule provided by the Trustee to the Company. The Trustee’s compensation will not be limited by any law on compensation of a trustee of an express trust. The Company will reimburse the Trustee promptly upon request for all reasonable out-of-pocket disbursements, advances and expenses incurred or made by it in addition to the compensation for its services except for any such disbursements, advance or expense as shall have been caused by the Trustee’s negligence or willful misconduct. Such expenses will include the reasonable compensation, disbursements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the Guarantors will indemnify on a joint and several basis the Trustee (including its officers, directors, employees and agents) against any and all losses, liabilities, claims or expenses incurred by it arising out of or in connection with the acceptance or administration of its duties under this Indenture, including the reasonable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negligence or willful misconduct. The Trustee will notify the Company promptly of any claim of which a Responsible Officer has received written notice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obligations of the Company and the Guarantors under this Section 7.07 will survive the satisfaction and discharge of this Indenture and the resignation or removal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secure the Company’s and the Guarantors’ payment obligations in this Section 7.07, the Trustee will have a Lien prior to the Notes on all money or property held or collected by the Trustee, except that held in trust to pay principal of, premium on, if any, or interest, if any, on, particular Notes. Such Lien will survive the satisfaction and discharge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(e) Without prejudice to any other rights available to the Trustee under applicable law, when the Trustee incurs expenses or renders services after an Event of Default specified in clauses (6) and (7) of Section 6.01 hereof occurs, the expenses and the compensation for the services (including the fees and expenses of its agents and counsel)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Replacement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resignation or removal of the Trustee and appointment of a successor Trustee will become effective only upon the successor Trustee’s acceptance of appointment as provided in this Section 7.08.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fails to comply with Section 7.10 hereof; </w:t>
      </w:r>
    </w:p>
    <w:p>
      <w:pPr>
        <w:pStyle w:val="TextBody"/>
        <w:bidi w:val="0"/>
        <w:spacing w:before="120" w:after="0"/>
        <w:jc w:val="left"/>
        <w:rPr>
          <w:rFonts w:ascii="Times New Roman" w:hAnsi="Times New Roman"/>
          <w:sz w:val="20"/>
        </w:rPr>
      </w:pPr>
      <w:r>
        <w:rPr>
          <w:rFonts w:ascii="Times New Roman" w:hAnsi="Times New Roman"/>
          <w:sz w:val="20"/>
        </w:rPr>
        <w:t xml:space="preserve">(2)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(3)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(c) 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 successor Trustee does not take office within 60 days after the retiring Trustee resigns or is removed, the retiring Trustee, at the expense of the Company, the Company, or the Holders of at least 10% in aggregate principal amount of the then outstanding Notes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(e) If the Trustee, after written request by any Holder who has been a Holder for at least six months, fails to comply with Section 7.10 hereof, such Holder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(f) 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provided all sums owing to the Trustee hereunder have been paid and subject to the Lien provided for in Section 7.07 hereof. Notwithstanding replacement of the Trustee pursuant to this Section 7.08, the Company’s and the Guarantors’ obligations under Section 7.07 hereof will continue for the benefit of the retiring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Successor Trustee by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consolidates, merges or converts into, or transfers all or substantially all of its corporate trust business to, another corporation, the successor corporation without any further act will be the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Eligibility; Disqualification.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will at all times be a Trustee hereunder that is a corporation or national banking association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Security Documents; Intercreditor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By their acceptance of the Notes, the Holders hereby authorize and direct the Trustee and the Notes Collateral Agent, as the case may be, to execute and deliver the First Lien Intercreditor Agreement, the Junior Lien Intercreditor Agreement, if any, and any other Security Documents in which the Trustee or the Notes Collateral Agent, as applicable, is named as a party, including any Security Documents executed on or after the Issue Date.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the First Lien Intercreditor Agreement, the Junior Lien Intercreditor Agreement, if any, or any other Security Documents, the Trustee and the Notes Collateral Agent each shall have all of the rights, privileges, benefits, immunities, indemnities and other protections granted to it under this Indenture (in addition to those that may be granted to it under the terms of such other agreement or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i/>
          <w:sz w:val="20"/>
        </w:rPr>
        <w:t>Limitation on Duty of Trustee in Respect of Collateral;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Beyond the exercise of reasonable care in the custody thereof, the Trustee shall have no duty as to any Collateral in its possession or control or in the possession or control of any agent or bailee or any income thereon or as to preservation of rights against prior parties or any other rights pertaining thereto and the Trustee shall not be responsible for filing any financing or continuation statements or recording any documents or instruments in any public office at any time or times or otherwise perfecting or maintaining the perfection of any security interest in the Collateral. The Notes Collateral Agent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Trustee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The Trustee and Notes Collateral Agent shall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except to the extent such action or omission constitutes gross negligence, bad faith or willful misconduct on the part of the Trustee and Notes Collateral Agent, for the validity or sufficiency of the Collateral or any agreement or assignment contained therein, for the validity of the title of the Company to the Collateral, for insuring the Collateral or for the payment of taxes, charges, assessments or Liens upon the Collateral or otherwise as to the maintenance of the Collateral (except with respect to certificates delivered to the Notes Collateral Agent representing securities pledged under the Security Documents). The Trustee and Notes Collateral Agent shall have no duty to ascertain or inquire as to the performance or observance of any of the terms of this Indenture, the First Lien Intercreditor Agreement, the Junior Lien Intercreditor Agreement, if any, or the Security Documents by the Company, any Guarantor, the Bank Collateral Agent or the Junior Lien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Option to Effect Legal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at the option of the Company’s Board of Directors evidenced by resolutions set forth in an Officer’s Certificate, elect to have either Section 8.02 or 8.03 hereof applied to all outstanding Notes upon compliance with the conditions set forth below in this Article 8.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Legal Defeasance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the Company’s exercise under Section 8.01 hereof of the option applicable to this Section 8.02, the Company and each of the Guarantors will, subject to the satisfaction of the conditions set forth in Section 8.04 hereof, be deemed to have been discharged from their Obligations with respect to all outstanding Notes (including the Note Guarantees and the Security Documents) on the date the conditions set forth below are satisfied (hereinafter, “</w:t>
      </w:r>
      <w:r>
        <w:rPr>
          <w:rFonts w:ascii="Times New Roman" w:hAnsi="Times New Roman"/>
          <w:i/>
          <w:sz w:val="20"/>
        </w:rPr>
        <w:t>Legal Defeasance</w:t>
      </w:r>
      <w:r>
        <w:rPr>
          <w:rFonts w:ascii="Times New Roman" w:hAnsi="Times New Roman"/>
          <w:sz w:val="20"/>
        </w:rPr>
        <w:t xml:space="preserve">”).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except for the following provisions which will survive until otherwise terminated or discharged hereunder: </w:t>
      </w:r>
    </w:p>
    <w:p>
      <w:pPr>
        <w:pStyle w:val="TextBody"/>
        <w:bidi w:val="0"/>
        <w:spacing w:before="120" w:after="0"/>
        <w:jc w:val="left"/>
        <w:rPr>
          <w:rFonts w:ascii="Times New Roman" w:hAnsi="Times New Roman"/>
          <w:sz w:val="20"/>
        </w:rPr>
      </w:pPr>
      <w:r>
        <w:rPr>
          <w:rFonts w:ascii="Times New Roman" w:hAnsi="Times New Roman"/>
          <w:sz w:val="20"/>
        </w:rPr>
        <w:t xml:space="preserve">(1) the rights of Holders of outstanding Notes to receive payments in respect of the principal of, premium on, if any, and interest, if any, on, such Notes when such payments are due from the trust referred to in Section 8.04 hereof; </w:t>
      </w:r>
    </w:p>
    <w:p>
      <w:pPr>
        <w:pStyle w:val="TextBody"/>
        <w:bidi w:val="0"/>
        <w:spacing w:before="120" w:after="0"/>
        <w:jc w:val="left"/>
        <w:rPr>
          <w:rFonts w:ascii="Times New Roman" w:hAnsi="Times New Roman"/>
          <w:sz w:val="20"/>
        </w:rPr>
      </w:pPr>
      <w:r>
        <w:rPr>
          <w:rFonts w:ascii="Times New Roman" w:hAnsi="Times New Roman"/>
          <w:sz w:val="20"/>
        </w:rPr>
        <w:t xml:space="preserve">(2) the Company’s Obligations with respect to such Notes under Article 2 and Section 4.02 hereof; </w:t>
      </w:r>
    </w:p>
    <w:p>
      <w:pPr>
        <w:pStyle w:val="TextBody"/>
        <w:bidi w:val="0"/>
        <w:spacing w:before="120" w:after="0"/>
        <w:jc w:val="left"/>
        <w:rPr>
          <w:rFonts w:ascii="Times New Roman" w:hAnsi="Times New Roman"/>
          <w:sz w:val="20"/>
        </w:rPr>
      </w:pPr>
      <w:r>
        <w:rPr>
          <w:rFonts w:ascii="Times New Roman" w:hAnsi="Times New Roman"/>
          <w:sz w:val="20"/>
        </w:rPr>
        <w:t xml:space="preserve">(3) the rights, powers, trusts, duties and immunities of the Trustee hereunder and the Company’s and the Guarantors’ obligations in connection therewith (including, without limitation, those contained in Article 7 hereof); and </w:t>
      </w:r>
    </w:p>
    <w:p>
      <w:pPr>
        <w:pStyle w:val="TextBody"/>
        <w:bidi w:val="0"/>
        <w:spacing w:before="120" w:after="0"/>
        <w:jc w:val="left"/>
        <w:rPr>
          <w:rFonts w:ascii="Times New Roman" w:hAnsi="Times New Roman"/>
          <w:sz w:val="20"/>
        </w:rPr>
      </w:pPr>
      <w:r>
        <w:rPr>
          <w:rFonts w:ascii="Times New Roman" w:hAnsi="Times New Roman"/>
          <w:sz w:val="20"/>
        </w:rPr>
        <w:t xml:space="preserve">(4) this Article 8. </w:t>
      </w:r>
    </w:p>
    <w:p>
      <w:pPr>
        <w:pStyle w:val="TextBody"/>
        <w:bidi w:val="0"/>
        <w:spacing w:before="240" w:after="0"/>
        <w:jc w:val="left"/>
        <w:rPr>
          <w:rFonts w:ascii="Times New Roman" w:hAnsi="Times New Roman"/>
          <w:sz w:val="20"/>
        </w:rPr>
      </w:pPr>
      <w:r>
        <w:rPr>
          <w:rFonts w:ascii="Times New Roman" w:hAnsi="Times New Roman"/>
          <w:sz w:val="20"/>
        </w:rPr>
        <w:t xml:space="preserve">Subject to compliance with this Article 8, the Company may exercise its option under this Section 8.02 notwithstanding the prior exercise of their option under Section 8.03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the Company’s exercise under Section 8.01 hereof of the option applicable to this Section 8.03, the Company and each of the Guarantors will, subject to the satisfaction of the conditions set forth in Section 8.04 hereof, be released from each of their obligations under the covenants contained in Sections 4.03, 4.07, 4.08, 4.09, 4.10, 4.11, 4.12, 4.14, 4.16, 4.17 and 4.19, clauses (3) and (4) of Section 5.01 hereof and Article 12 hereof with respect to the outstanding Notes and will have the Liens on the Collateral released on and after the date the conditions set forth in Section 8.04 hereof are satisfied (hereinafter, “</w:t>
      </w:r>
      <w:r>
        <w:rPr>
          <w:rFonts w:ascii="Times New Roman" w:hAnsi="Times New Roman"/>
          <w:i/>
          <w:sz w:val="20"/>
        </w:rPr>
        <w:t>Covenant Defeasance</w:t>
      </w:r>
      <w:r>
        <w:rPr>
          <w:rFonts w:ascii="Times New Roman" w:hAnsi="Times New Roman"/>
          <w:sz w:val="20"/>
        </w:rPr>
        <w:t xml:space="preserve">”), the Note Guarantees will be released pursuant to Section 10.05 hereof and the Notes and Note Guarantees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and Note Guarantees will not be deemed outstanding for accounting purposes). For this purpose, Covenant Defeasance 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Sections 6.01(3) (to the extent relating to the covenants that are subject to Covenant Defeasance), (4), (5), (8), (9) and (10) hereof will not constitute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Conditions to Legal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under either Section 8.02 or 8.03 hereof: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must irrevocably deposit with the Trustee, in trust, for the benefit of the Holders, (x) cash in U.S. dollars in an amount, (y) non-callable Government Securities, the scheduled payments of principal of and interest thereon will be in an amount, or (z) a combination thereof in amounts, as will be sufficient, to pay the principal of, premium on, if any, and interest, if any, on, the outstanding Notes on the stated dates for payment thereof or on the applicable redemption date, as the case may be, and all interest, if any, accrued to such dates, and the Company must specify whether the Notes are being defeased to such stated date for payment or to a particular redemption date; </w:t>
      </w:r>
      <w:r>
        <w:rPr>
          <w:rFonts w:ascii="Times New Roman" w:hAnsi="Times New Roman"/>
          <w:i/>
          <w:sz w:val="20"/>
        </w:rPr>
        <w:t>provided</w:t>
      </w:r>
      <w:r>
        <w:rPr>
          <w:rFonts w:ascii="Times New Roman" w:hAnsi="Times New Roman"/>
          <w:sz w:val="20"/>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Times New Roman" w:hAnsi="Times New Roman"/>
          <w:i/>
          <w:sz w:val="20"/>
        </w:rPr>
        <w:t>Applicable Premium Deficit</w:t>
      </w:r>
      <w:r>
        <w:rPr>
          <w:rFonts w:ascii="Times New Roman" w:hAnsi="Times New Roman"/>
          <w:sz w:val="20"/>
        </w:rPr>
        <w:t xml:space="preserve">”) only required to be deposited with the Trustee on or prior to the date of redemption. Any Applicable Premium Deficit shall be set forth in an Officer’s Certificate delivered to the Trustee substantially concurrently with the deposit of such Applicable Premium Deficit that confirms that such Applicable Premium Deficit shall be applied toward such redemption;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an election under Section 8.02 hereof, the Company must deliver to the Trustee, subject to customary assumptions and exclusions, an Opinion of Counsel reasonably acceptable to the Trustee confirming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received from, or there has been published by, the Internal Revenue Service a ruling; or </w:t>
      </w:r>
    </w:p>
    <w:p>
      <w:pPr>
        <w:pStyle w:val="TextBody"/>
        <w:bidi w:val="0"/>
        <w:spacing w:before="120" w:after="0"/>
        <w:jc w:val="left"/>
        <w:rPr>
          <w:rFonts w:ascii="Times New Roman" w:hAnsi="Times New Roman"/>
          <w:sz w:val="20"/>
        </w:rPr>
      </w:pPr>
      <w:r>
        <w:rPr>
          <w:rFonts w:ascii="Times New Roman" w:hAnsi="Times New Roman"/>
          <w:sz w:val="20"/>
        </w:rPr>
        <w:t xml:space="preserve">(B) since the Issue Date, there has been a change in the applicable U.S. federal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in either case to the effect that, and based thereon such Opinion of Counsel will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an election under Section 8.03 hereof, the Company must deliver to the Trustee, subject to customary assumptions and exclusions, an Opinion of Counsel reasonably acceptable to the Trustee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 as would have been the case if such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(4) no Default or Event of Default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the Guarantors is a party or by which the Company or any of the Guarantors is bound; </w:t>
      </w:r>
    </w:p>
    <w:p>
      <w:pPr>
        <w:pStyle w:val="TextBody"/>
        <w:bidi w:val="0"/>
        <w:spacing w:before="120" w:after="0"/>
        <w:jc w:val="left"/>
        <w:rPr>
          <w:rFonts w:ascii="Times New Roman" w:hAnsi="Times New Roman"/>
          <w:sz w:val="20"/>
        </w:rPr>
      </w:pPr>
      <w:r>
        <w:rPr>
          <w:rFonts w:ascii="Times New Roman" w:hAnsi="Times New Roman"/>
          <w:sz w:val="20"/>
        </w:rPr>
        <w:t xml:space="preserve">(6) 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 </w:t>
      </w:r>
    </w:p>
    <w:p>
      <w:pPr>
        <w:pStyle w:val="TextBody"/>
        <w:bidi w:val="0"/>
        <w:spacing w:before="120" w:after="0"/>
        <w:jc w:val="left"/>
        <w:rPr>
          <w:rFonts w:ascii="Times New Roman" w:hAnsi="Times New Roman"/>
          <w:sz w:val="20"/>
        </w:rPr>
      </w:pPr>
      <w:r>
        <w:rPr>
          <w:rFonts w:ascii="Times New Roman" w:hAnsi="Times New Roman"/>
          <w:sz w:val="20"/>
        </w:rPr>
        <w:t xml:space="preserve">(7) the Company must deliver to the Trustee an Officer’s Certificate and an Opinion of Counsel (which opinion of counsel may be subject to customary assumptions and exclusions), each stating that all conditions precedent relating to the Legal Defeasance or the Covenant Defeasance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Deposited Money and Government Securities to be Held in Trust; Other 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8.06 hereof, all money and non-callable Government Securities (including the proceeds thereof) deposited with the Trustee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if any,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Article 8 to the contrary, the Trustee will deliver or pay to the Company from time to time upon the written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i/>
          <w:sz w:val="20"/>
        </w:rPr>
        <w:t>Repayment to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the principal of, premium on, if any, or interest, if any, on, any Note and remaining unclaimed for two years after such principal, premium, if any, or interest, if any,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i/>
          <w:sz w:val="20"/>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makes any payment of principal of, premium on, if any, or interest, if any, on, any Note following the reinstatement of its obligations, the Company will be subrogated to the rights of the Holders of such Notes to receive such payment from the money held by the Trustee or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Without Consent of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9.02 hereof, without the consent of any Holder of Notes, the Company, the Notes Collateral Agent and the Trustee may amend or supplement this Indenture, the Notes, the Security Documents or the Note Guarantees: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omission, mistake, defect, error or inconsistency (as determined by the Company in good faith); </w:t>
      </w:r>
    </w:p>
    <w:p>
      <w:pPr>
        <w:pStyle w:val="TextBody"/>
        <w:bidi w:val="0"/>
        <w:spacing w:before="120" w:after="0"/>
        <w:jc w:val="left"/>
        <w:rPr>
          <w:rFonts w:ascii="Times New Roman" w:hAnsi="Times New Roman"/>
          <w:sz w:val="20"/>
        </w:rPr>
      </w:pPr>
      <w:r>
        <w:rPr>
          <w:rFonts w:ascii="Times New Roman" w:hAnsi="Times New Roman"/>
          <w:sz w:val="20"/>
        </w:rPr>
        <w:t xml:space="preserve">(2) to provide for uncertificated Notes in addition to or in place of certificated Notes or to alter the provisions of this Indenture relating to the form of the Notes (including related definitions); </w:t>
      </w:r>
    </w:p>
    <w:p>
      <w:pPr>
        <w:pStyle w:val="TextBody"/>
        <w:bidi w:val="0"/>
        <w:spacing w:before="120" w:after="0"/>
        <w:jc w:val="left"/>
        <w:rPr>
          <w:rFonts w:ascii="Times New Roman" w:hAnsi="Times New Roman"/>
          <w:sz w:val="20"/>
        </w:rPr>
      </w:pPr>
      <w:r>
        <w:rPr>
          <w:rFonts w:ascii="Times New Roman" w:hAnsi="Times New Roman"/>
          <w:sz w:val="20"/>
        </w:rPr>
        <w:t xml:space="preserve">(3) to provide for the assumption of the Company’s or any Guarantor’s Obligations to the Holders of the Notes and Note Guarantees by a successor to the Company or such Guarantor pursuant to Article 5 or Article 10 hereof; </w:t>
      </w:r>
    </w:p>
    <w:p>
      <w:pPr>
        <w:pStyle w:val="TextBody"/>
        <w:bidi w:val="0"/>
        <w:spacing w:before="120" w:after="0"/>
        <w:jc w:val="left"/>
        <w:rPr>
          <w:rFonts w:ascii="Times New Roman" w:hAnsi="Times New Roman"/>
          <w:sz w:val="20"/>
        </w:rPr>
      </w:pPr>
      <w:r>
        <w:rPr>
          <w:rFonts w:ascii="Times New Roman" w:hAnsi="Times New Roman"/>
          <w:sz w:val="20"/>
        </w:rPr>
        <w:t xml:space="preserve">(4) to add to Article 4 hereof or provide any Note Guarantee for the benefit of the Holders or to surrender any right or power conferred upon the Company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(5) to make any change that would provide any additional rights or benefits to the Holders of the Notes or that does not adversely affect the legal rights hereunder of any Holder in any material respect (as determined by the Company in good faith); </w:t>
      </w:r>
    </w:p>
    <w:p>
      <w:pPr>
        <w:pStyle w:val="TextBody"/>
        <w:bidi w:val="0"/>
        <w:spacing w:before="120" w:after="0"/>
        <w:jc w:val="left"/>
        <w:rPr>
          <w:rFonts w:ascii="Times New Roman" w:hAnsi="Times New Roman"/>
          <w:sz w:val="20"/>
        </w:rPr>
      </w:pPr>
      <w:r>
        <w:rPr>
          <w:rFonts w:ascii="Times New Roman" w:hAnsi="Times New Roman"/>
          <w:sz w:val="20"/>
        </w:rPr>
        <w:t xml:space="preserve">(6) at the Company’s election, to comply with any requirement of the SEC in order to effect or maintain the qualification of this Indenture under the TIA; </w:t>
      </w:r>
    </w:p>
    <w:p>
      <w:pPr>
        <w:pStyle w:val="TextBody"/>
        <w:bidi w:val="0"/>
        <w:spacing w:before="120" w:after="0"/>
        <w:jc w:val="left"/>
        <w:rPr>
          <w:rFonts w:ascii="Times New Roman" w:hAnsi="Times New Roman"/>
          <w:sz w:val="20"/>
        </w:rPr>
      </w:pPr>
      <w:r>
        <w:rPr>
          <w:rFonts w:ascii="Times New Roman" w:hAnsi="Times New Roman"/>
          <w:sz w:val="20"/>
        </w:rPr>
        <w:t xml:space="preserve">(7) to conform the text of this Indenture, the Notes, the Security Documents or the Note Guarantees to any provision of the “Description of the Notes” section of the Offering Memorandum (as determined by the Company in good faith) or to reduce the minimum denomination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(8) to allow any Subsidiary to execute a supplemental indenture, supplements or joinders to the Security Documents and/or a Note Guarantee with respect to the Notes in accordance with the terms of this Indenture and the Security Documents, to add Note Guarantees, to add security to or for the benefit of the Notes or Note Guarantees, or to confirm and evidence the release, termination, discharge or retaking of any Note Guarantee or Lien with respect to or securing the Notes when such release, termination, discharge or retaking is provided for under this Indenture and the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(9) to evidence and provide for the acceptance and appointment under this Indenture of a successor trustee or a successor paying agent pursuant to the requirements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to make such provisions as necessary for the issuance of Additional Notes (as determined by the Company in good faith); </w:t>
      </w:r>
    </w:p>
    <w:p>
      <w:pPr>
        <w:pStyle w:val="TextBody"/>
        <w:bidi w:val="0"/>
        <w:spacing w:before="120" w:after="0"/>
        <w:jc w:val="left"/>
        <w:rPr>
          <w:rFonts w:ascii="Times New Roman" w:hAnsi="Times New Roman"/>
          <w:sz w:val="20"/>
        </w:rPr>
      </w:pPr>
      <w:r>
        <w:rPr>
          <w:rFonts w:ascii="Times New Roman" w:hAnsi="Times New Roman"/>
          <w:sz w:val="20"/>
        </w:rPr>
        <w:t xml:space="preserve">(11) to make any amendment to the provisions of this Indenture relating to the transfer and legending of Notes as permitted by this Indenture, including to facilitate the issuance and administration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amendment does not materially and adversely affect the rights of Holders to transfer the Notes; </w:t>
      </w:r>
    </w:p>
    <w:p>
      <w:pPr>
        <w:pStyle w:val="TextBody"/>
        <w:bidi w:val="0"/>
        <w:spacing w:before="120" w:after="0"/>
        <w:jc w:val="left"/>
        <w:rPr>
          <w:rFonts w:ascii="Times New Roman" w:hAnsi="Times New Roman"/>
          <w:sz w:val="20"/>
        </w:rPr>
      </w:pPr>
      <w:r>
        <w:rPr>
          <w:rFonts w:ascii="Times New Roman" w:hAnsi="Times New Roman"/>
          <w:sz w:val="20"/>
        </w:rPr>
        <w:t xml:space="preserve">(12) to comply with the rules and procedures of any applicable securities depositary; </w:t>
      </w:r>
    </w:p>
    <w:p>
      <w:pPr>
        <w:pStyle w:val="TextBody"/>
        <w:bidi w:val="0"/>
        <w:spacing w:before="120" w:after="0"/>
        <w:jc w:val="left"/>
        <w:rPr>
          <w:rFonts w:ascii="Times New Roman" w:hAnsi="Times New Roman"/>
          <w:sz w:val="20"/>
        </w:rPr>
      </w:pPr>
      <w:r>
        <w:rPr>
          <w:rFonts w:ascii="Times New Roman" w:hAnsi="Times New Roman"/>
          <w:sz w:val="20"/>
        </w:rPr>
        <w:t xml:space="preserve">(13) to make any amendment to the provisions of this Indenture, the Note Guarantees and/or the Notes to eliminate the effect of any Accounting Change or in the application thereof as described in the last paragraph of the definition of “GAAP;” </w:t>
      </w:r>
    </w:p>
    <w:p>
      <w:pPr>
        <w:pStyle w:val="TextBody"/>
        <w:bidi w:val="0"/>
        <w:spacing w:before="120" w:after="0"/>
        <w:jc w:val="left"/>
        <w:rPr>
          <w:rFonts w:ascii="Times New Roman" w:hAnsi="Times New Roman"/>
          <w:sz w:val="20"/>
        </w:rPr>
      </w:pPr>
      <w:r>
        <w:rPr>
          <w:rFonts w:ascii="Times New Roman" w:hAnsi="Times New Roman"/>
          <w:sz w:val="20"/>
        </w:rPr>
        <w:t xml:space="preserve">(14) in the case of any Security Document, include therein any legend required to be set forth therein pursuant to the First Lien Intercreditor Agreement or to modify any such legend as required by the First Lien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(15) enter into any intercreditor agreement having substantially similar terms with respect to the Holders as those set forth in the First Lien Intercreditor Agreement, taken as a whole, or any joinder thereto or enter into a Junior Lien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(16) mortgage, pledge, or grant any other Lien in favor of Notes Collateral Agent for the benefit of the holders, as additional security for the payment and performance of all or any portion of the Obligations under this Indenture and the Notes, in any property or assets, including any which are required to be mortgaged or pledged, or in which a Lien is required to be granted to or for the benefit of the Trustee or the Notes Collateral Agent pursuant to this Indenture, any of the Security Documents or otherwise; </w:t>
      </w:r>
    </w:p>
    <w:p>
      <w:pPr>
        <w:pStyle w:val="TextBody"/>
        <w:bidi w:val="0"/>
        <w:spacing w:before="120" w:after="0"/>
        <w:jc w:val="left"/>
        <w:rPr>
          <w:rFonts w:ascii="Times New Roman" w:hAnsi="Times New Roman"/>
          <w:sz w:val="20"/>
        </w:rPr>
      </w:pPr>
      <w:r>
        <w:rPr>
          <w:rFonts w:ascii="Times New Roman" w:hAnsi="Times New Roman"/>
          <w:sz w:val="20"/>
        </w:rPr>
        <w:t xml:space="preserve">(17) provide for the succession of any parties to the Security Documents (and other amendments that are administrative or ministerial in nature) in connection with an amendment, renewal, extension, substitution, refinancing, restructuring, replacement, supplementing or other modification from time to time of the Credit Agreement or any other agreement relating to First Lien Obligations that is not prohibited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(18) to add co-issuers of the Notes to the extent it does not result in material adverse tax consequences to the beneficial owners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(19) to make any amendment to the provisions of this Indenture relating to the transfer and legending of Notes as permitted by this Indenture, including to facilitate the issuance and administration of Notes; </w:t>
      </w:r>
      <w:r>
        <w:rPr>
          <w:rFonts w:ascii="Times New Roman" w:hAnsi="Times New Roman"/>
          <w:i/>
          <w:sz w:val="20"/>
        </w:rPr>
        <w:t>provided, however</w:t>
      </w:r>
      <w:r>
        <w:rPr>
          <w:rFonts w:ascii="Times New Roman" w:hAnsi="Times New Roman"/>
          <w:sz w:val="20"/>
        </w:rPr>
        <w:t xml:space="preserve">, that (A) compliance with this Indenture as so amended would not result in Notes being transferred in violation of the Securities Act or any other applicable securities law and (B) such amendment does not adversely affect the rights of Holders to transfer Notes in any material respect; or </w:t>
      </w:r>
    </w:p>
    <w:p>
      <w:pPr>
        <w:pStyle w:val="TextBody"/>
        <w:bidi w:val="0"/>
        <w:spacing w:before="120" w:after="0"/>
        <w:jc w:val="left"/>
        <w:rPr>
          <w:rFonts w:ascii="Times New Roman" w:hAnsi="Times New Roman"/>
          <w:sz w:val="20"/>
        </w:rPr>
      </w:pPr>
      <w:r>
        <w:rPr>
          <w:rFonts w:ascii="Times New Roman" w:hAnsi="Times New Roman"/>
          <w:sz w:val="20"/>
        </w:rPr>
        <w:t xml:space="preserve">(20) to provide for the release of Collateral from the Lien securing the Notes, the Security Documents and the First Lien Intercreditor Agreements when permitted or required by this Indenture, the Security Documents and the First Lien Intercreditor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consent of the Holders is not necessary under this Indenture to approve the particular form of any proposed amendment. It is sufficient if such consent approves the substance of the proposed amendment. A consent to any amendment or waiver under this Indenture by any Holder of Notes given in connection with a tender of such Holder’s Notes will not be rendered invalid by such tender.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and upon receipt by the Trustee of the documents described in Section 7.02, 9.06, 12.04 and 12.05 hereof, the Trustee will join with the Company and any Guarantor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With Consent of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this Section 9.02, the Company, the Trustee and the Notes Collateral Agent may amend or supplement this Indenture, the Notes or the Security Documents and the Note Guarantees with the consent of the Holders of at least a majority in aggregate principal amount of the then outstanding Notes (including Additional Notes, if any) voting as a single class (including consents obtained in connection with a tender offer or exchange offer for, or purchase of, the Notes), and, subject to Sections 6.04 and 6.07 hereof, any existing Default or Event of Default (other than a Default or Event of Default in the payment of the principal of, premium on, if any, or interest, if any, on, the Notes, except a payment default resulting from an acceleration that has been rescinded) or compliance with any provision of this Indenture or the Notes or the Security Documents or the Note Guarantees may be waived with the consent of the Holders of at least a majority in aggregate principal amount of the then outstanding Notes (including Additional Notes, if any) voting as a single class (including consents obtained in connection with a purchase of, or tender offer or exchange offer for, the Notes). Sections 2.08 and 2.09 hereof shall determine which Notes are considered to be “outstanding” for purposes of this Section 9.02.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and upon the filing with the Trustee of evidence reasonably satisfactory to the Trustee of the consent of the Holders of Notes as aforesaid, and upon receipt by the Trustee of the documents described in Section 7.02, 9.06, 12.04 and 12.05 hereof,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is not necessary for the consent of the Holders of Notes under this Section 9.02 to approve the particular form of any proposed amendment, supplement or waiver, but it is sufficient if such consent approves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under this Section 9.02 becomes effective, the Company will mail to the Holders of Notes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or Guarantors with any provision of this Indenture, the Notes or the Note Guarantees. However, without the consent of each Holder affected, an amendment, supplement or waiver under this Section 9.02 may not (with respect to any Notes held by a non-consenting Holder): </w:t>
      </w:r>
    </w:p>
    <w:p>
      <w:pPr>
        <w:pStyle w:val="TextBody"/>
        <w:bidi w:val="0"/>
        <w:spacing w:before="120" w:after="0"/>
        <w:jc w:val="left"/>
        <w:rPr>
          <w:rFonts w:ascii="Times New Roman" w:hAnsi="Times New Roman"/>
          <w:sz w:val="20"/>
        </w:rPr>
      </w:pPr>
      <w:r>
        <w:rPr>
          <w:rFonts w:ascii="Times New Roman" w:hAnsi="Times New Roman"/>
          <w:sz w:val="20"/>
        </w:rPr>
        <w:t xml:space="preserve">(1) reduce the principal amount of Notes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(2) reduce the principal of or change the fixed maturity of any Note (other than pursuant to Sections 4.10 and 4.14 hereof) or alter or waive any of the provisions relating to the dates on which the Notes may be redeemed or the redemption price thereof with respect to the redemption of the Notes (other than changes to the notice periods with respect to such redemption); </w:t>
      </w:r>
    </w:p>
    <w:p>
      <w:pPr>
        <w:pStyle w:val="TextBody"/>
        <w:bidi w:val="0"/>
        <w:spacing w:before="120" w:after="0"/>
        <w:jc w:val="left"/>
        <w:rPr>
          <w:rFonts w:ascii="Times New Roman" w:hAnsi="Times New Roman"/>
          <w:sz w:val="20"/>
        </w:rPr>
      </w:pPr>
      <w:r>
        <w:rPr>
          <w:rFonts w:ascii="Times New Roman" w:hAnsi="Times New Roman"/>
          <w:sz w:val="20"/>
        </w:rPr>
        <w:t xml:space="preserve">(3) reduce the rate of or change the time for payment of interest, including default interest, on any Note (it being understood that any forbearance or waiver of any Event of Default will not in and of itself be deemed to have the foregoing effects); </w:t>
      </w:r>
    </w:p>
    <w:p>
      <w:pPr>
        <w:pStyle w:val="TextBody"/>
        <w:bidi w:val="0"/>
        <w:spacing w:before="120" w:after="0"/>
        <w:jc w:val="left"/>
        <w:rPr>
          <w:rFonts w:ascii="Times New Roman" w:hAnsi="Times New Roman"/>
          <w:sz w:val="20"/>
        </w:rPr>
      </w:pPr>
      <w:r>
        <w:rPr>
          <w:rFonts w:ascii="Times New Roman" w:hAnsi="Times New Roman"/>
          <w:sz w:val="20"/>
        </w:rPr>
        <w:t xml:space="preserve">(4) waive a Default or Event of Default in the payment of principal of, premium on, if any, or interest, if any, on, the Notes (except a rescission of acceleration of the Notes by the Holders of at least a majority in aggregate principal amount of the then outstanding Notes and a waiver of the payment default that resulted from such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make any Note payable in money other than that stated in the Notes; </w:t>
      </w:r>
    </w:p>
    <w:p>
      <w:pPr>
        <w:pStyle w:val="TextBody"/>
        <w:bidi w:val="0"/>
        <w:spacing w:before="120" w:after="0"/>
        <w:jc w:val="left"/>
        <w:rPr>
          <w:rFonts w:ascii="Times New Roman" w:hAnsi="Times New Roman"/>
          <w:sz w:val="20"/>
        </w:rPr>
      </w:pPr>
      <w:r>
        <w:rPr>
          <w:rFonts w:ascii="Times New Roman" w:hAnsi="Times New Roman"/>
          <w:sz w:val="20"/>
        </w:rPr>
        <w:t xml:space="preserve">(6) make any change in the provisions of this Indenture relating to waivers of past Defaults or impair the right of any Holder to institute suit for the enforcement of any payment of principal of and interest on such Holder’s Notes on or after the due dates therefor; </w:t>
      </w:r>
    </w:p>
    <w:p>
      <w:pPr>
        <w:pStyle w:val="TextBody"/>
        <w:bidi w:val="0"/>
        <w:spacing w:before="120" w:after="0"/>
        <w:jc w:val="left"/>
        <w:rPr>
          <w:rFonts w:ascii="Times New Roman" w:hAnsi="Times New Roman"/>
          <w:sz w:val="20"/>
        </w:rPr>
      </w:pPr>
      <w:r>
        <w:rPr>
          <w:rFonts w:ascii="Times New Roman" w:hAnsi="Times New Roman"/>
          <w:sz w:val="20"/>
        </w:rPr>
        <w:t xml:space="preserve">(7) modify the obligation of the Company to repurchase Notes pursuant to Section 3.09, 4.10 or 4.14 hereof, after the date of an event giving rise to such repurchase obligation; </w:t>
      </w:r>
    </w:p>
    <w:p>
      <w:pPr>
        <w:pStyle w:val="TextBody"/>
        <w:bidi w:val="0"/>
        <w:spacing w:before="120" w:after="0"/>
        <w:jc w:val="left"/>
        <w:rPr>
          <w:rFonts w:ascii="Times New Roman" w:hAnsi="Times New Roman"/>
          <w:sz w:val="20"/>
        </w:rPr>
      </w:pPr>
      <w:r>
        <w:rPr>
          <w:rFonts w:ascii="Times New Roman" w:hAnsi="Times New Roman"/>
          <w:sz w:val="20"/>
        </w:rPr>
        <w:t xml:space="preserve">(8) release any Guarantor from any of its obligations under its Note Guarantee, the Security Documents or this Indenture, except in accordance with the terms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(9) make any change in the preceding amendment and waiver provisions; or </w:t>
      </w:r>
    </w:p>
    <w:p>
      <w:pPr>
        <w:pStyle w:val="TextBody"/>
        <w:bidi w:val="0"/>
        <w:spacing w:before="120" w:after="0"/>
        <w:jc w:val="left"/>
        <w:rPr>
          <w:rFonts w:ascii="Times New Roman" w:hAnsi="Times New Roman"/>
          <w:sz w:val="20"/>
        </w:rPr>
      </w:pPr>
      <w:r>
        <w:rPr>
          <w:rFonts w:ascii="Times New Roman" w:hAnsi="Times New Roman"/>
          <w:sz w:val="20"/>
        </w:rPr>
        <w:t xml:space="preserve">(10) make any change to or modify, the ranking of the Notes in respect of right of payment that would adversely affect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without the consent of the Holders of at least 66-2/3% in aggregate principal amount of the Notes then outstanding, no amendment or waiver may (A) make any change in any Security Document or the provisions in this Indenture dealing with Collateral or application of trust proceeds of the Collateral with the effect of releasing the Liens on all or substantially all of the Collateral which secure the First Lien Notes Obligations or (B) change or alter the priority of the Liens securing the First Lien Notes Obligations in any material portion of the Collateral in any way materially adverse, taken as a whole, to the Holders, other than, in each case, as provided under the terms of this Indenture or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Revocation and Effect of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a Responsible Officer of the Trustee receives written notice of revocation before the date on which the Trustee receives an Officer’s Certificate certifying that the Holders of the requisite principal amount of Notes have consented (and not theretofore revoked such consent) to the amendment, supplement or waiver. An amendment, supplement or waiver becomes effective in accordance with its terms and thereafter binds every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Notation on or Exchange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Failure to make the appropriate notation or issue a new Note will not affect the validity and effect of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Trustee to Sign Amendments,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and the Notes Collateral Agent will sign any amended or supplemental indenture authorized pursuant to this Article 9 if the amendment or supplement does not adversely affect the rights, duties, liabilities or immunities of the Trustee and the Notes Collateral Agent. The Company may not sign an amended or supplemental indenture until the Board of Directors of the Company approves it. In executing any amended or supplemental indenture, the Trustee and the Notes Collateral Agent will be entitled to receive and (subject to 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NOTE 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of, premium on, if any, and interest, if any, on, the Notes will be promptly paid in full when due, whether at maturity, by acceleration, redemption or otherwise, and interest on the overdue principal of, premium on, if any, and interest, if any, on, the Notes, if lawful, and all other Obligations of the Company to the Holders or the Trustee hereunder or thereunder will be promptly paid in full or performed, all in accordance with the terms hereof and thereof; and </w:t>
      </w:r>
    </w:p>
    <w:p>
      <w:pPr>
        <w:pStyle w:val="TextBody"/>
        <w:bidi w:val="0"/>
        <w:spacing w:before="120" w:after="0"/>
        <w:jc w:val="left"/>
        <w:rPr>
          <w:rFonts w:ascii="Times New Roman" w:hAnsi="Times New Roman"/>
          <w:sz w:val="20"/>
        </w:rPr>
      </w:pPr>
      <w:r>
        <w:rPr>
          <w:rFonts w:ascii="Times New Roman" w:hAnsi="Times New Roman"/>
          <w:sz w:val="20"/>
        </w:rPr>
        <w:t xml:space="preserve">(2) in case of any extension of time of payment or renewal of any Notes or any of such other obligations, that same will be promptly paid in full when due or performed in accordance with the terms of the extension or renewal, whether at Stated Maturity, by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 The Guarantors hereby agree (to the fullest extent permitted by law)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(to the fullest extent permitted by law) diligence, presentment, demand of payment, filing of claims with a court in the event of insolvency or bankruptcy of the Company, any right to require a proceeding first against the Company, protest, notice and all demands whatsoever and covenants that this Note Guarantee will not be discharged except by complete performance of the Obligations contained in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Note Guarantee, to the extent theretofore discharged, will be reinstated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(d) 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Limitation on Guarantor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and by its acceptance of Notes, each Holder, hereby confirms that it is the intention of all such parties that the Note Guarantee of such Guarantor not constitute a fraudulent conveyance, fraudulent transfer or unjust preference, for purposes of Bankruptcy Law, the Uniform Fraudulent Conveyance Act, the Uniform Fraudulent Transfer Act or any comparable provision of foreign or state law or provincial law to comply with corporate benefit, financial assistance and other laws to the extent applicable to any Note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Note Guarantee not constituting a fraudulent conveyance, fraudulent transfer or unjust preference, for purposes of Bankruptcy Law, the Uniform Fraudulent Conveyance Act, the Uniform Fraudulent Transfer Act or any comparable provision of foreign or state law or provincial law to comply with corporate benefit, financial assistance and other laws.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Execution and Delivery of Note 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evidence its Note Guarantee set forth in Section 10.01 hereof, each Guarantor hereby agrees that this Indenture (or a supplemental indenture pursuant to Section 4.16 hereof) shall be executed on behalf of such Guarantor by one of its Officers.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hereby agrees that its Note Guarantee set forth in Section 10.01 hereof will remain in full force and effect notwithstanding any failure to endorse on each Note a notation of such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this Indenture (or a supplemental indenture pursuant to Section 4.16 hereof) no longer holds that office at the time the Trustee authenticates a Note, the Note Guarantee in respect of such Note will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The delivery of any Note by the Trustee, after the authentication thereof hereunder, will constitute due delivery of the Note Guarantee set forth in this Indenture on behalf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or any of its Restricted Subsidiaries creates or acquires any Domestic Subsidiary after the Issue Date, if required by Section 4.16 hereof, the Company will cause such Domestic Subsidiary to comply with the provisions of Section 4.16 hereof and this Article 10.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any Guarantor shall be required to make a notation on the Notes to reflect a Note Guarantee issued after the date such Notes are executed and authenticated or any release, termination or discharge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Guarantors May Consolidate, etc., on Certain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Articles 4 and 5 hereof,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this Indenture or the Notes , any Guarantor may (a) consolidate or otherwise combine with, merge into or transfer all or part of its properties and assets to another Guarantor or the Company, (b) consolidate or otherwise combine with or merge into an Affiliate (that becomes a Guarantor)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Guarantor and (d) liquidate or dissolve or change its legal form if the Company determines in good faith that such action is in the best interests of the Company. Notwithstanding anything to the contrary in this Article 10, the Company may contribute Capital Stock of any or all of its Subsidiaries to any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reference in this Indenture to a merger, consolidation,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Releases.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 Guarantee of a Guarantor will be automatically and unconditionally released and discharged and such Guarantor will be relieved of any Obligations under its Note Guarantee (without any action of any Person): </w:t>
      </w:r>
    </w:p>
    <w:p>
      <w:pPr>
        <w:pStyle w:val="TextBody"/>
        <w:bidi w:val="0"/>
        <w:spacing w:before="120" w:after="0"/>
        <w:jc w:val="left"/>
        <w:rPr>
          <w:rFonts w:ascii="Times New Roman" w:hAnsi="Times New Roman"/>
          <w:sz w:val="20"/>
        </w:rPr>
      </w:pPr>
      <w:r>
        <w:rPr>
          <w:rFonts w:ascii="Times New Roman" w:hAnsi="Times New Roman"/>
          <w:sz w:val="20"/>
        </w:rPr>
        <w:t xml:space="preserve">(a) in connection with any sale, exchange, transfer or other disposition of all or substantially all of the assets of that Guarantor, including by way of merger, consolidation or otherwise, to a Person that is not (either before or after giving effect to such transaction) the Company or a Restricted Subsidiary of the Company, if such sale, exchange, transfer or other disposition is otherwise permitted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sale, exchange, transfer or other disposition of Capital Stock of that Guarantor, including by way of merger, consolidation, dividend distribution or otherwise, to a Person that is not (either before or after giving effect to such transaction) the Company or a Restricted Subsidiary of the Company, if such sale, exchange, transfer or other disposition is otherwise permitted by this Indenture and the Guarantor ceases to be a Restricted Subsidiary of the Company as a result of the sale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(c) upon such Guarantor becoming an Excluded Subsidiary (including as a result of any action described in clauses (a) and (b) above) (it being understood that no Guarantor shall be released from its Note Guarantee in connection with a de minimis transfer of Equity Interests in such Guarantor if there is no bona fide business purpose for such transfer of Equity Interests and/or such transfer of Equity Interest is intended solely to obtain a release of the Note Guarantee, in each case as determined in good faith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designates any Restricted Subsidiary that is a Guarantor to be an Unrestricted Subsidiary in accordance with the applicable provisions of this Indenture or an event occurs as a result of which the Guarantor is no longer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(e) upon the release or discharge of the Guarantee of such Guarantor from all of its Guarantees of payment (i) by the Company of any Indebtedness of the Company under the Credit Agreement (except if a release or discharge is by or as a result of payment in connection with the enforcement of remedies under such Guarantee) or (ii) in the case of a Note Guarantee made by a Guarantor as a result of its guarantee of other Indebtedness of the Company or a Guarantor pursuant to Section 4.16 hereof by the Company or the applicable Guarantor of the relevant Indebtedness (except if a release or discharge is by or as a result of payment in connection with the enforcement of remedies under such Guarantee (it being understood that a release subject to a contingent reinstatement is still considered a release); </w:t>
      </w:r>
      <w:r>
        <w:rPr>
          <w:rFonts w:ascii="Times New Roman" w:hAnsi="Times New Roman"/>
          <w:i/>
          <w:sz w:val="20"/>
        </w:rPr>
        <w:t>provided</w:t>
      </w:r>
      <w:r>
        <w:rPr>
          <w:rFonts w:ascii="Times New Roman" w:hAnsi="Times New Roman"/>
          <w:sz w:val="20"/>
        </w:rPr>
        <w:t xml:space="preserve">, that, in each case of sub-clauses (i) and (ii) of this clause (e), following such release or discharge, such Guarantor does not guarantee any Credit Facilities or any Capital Markets Debt issued by the Company or any Guarantor, in each case, with an aggregate outstanding principal amount in excess of $200.0 million; </w:t>
      </w:r>
    </w:p>
    <w:p>
      <w:pPr>
        <w:pStyle w:val="TextBody"/>
        <w:bidi w:val="0"/>
        <w:spacing w:before="240" w:after="0"/>
        <w:jc w:val="left"/>
        <w:rPr>
          <w:rFonts w:ascii="Times New Roman" w:hAnsi="Times New Roman"/>
          <w:sz w:val="20"/>
        </w:rPr>
      </w:pPr>
      <w:r>
        <w:rPr>
          <w:rFonts w:ascii="Times New Roman" w:hAnsi="Times New Roman"/>
          <w:sz w:val="20"/>
        </w:rPr>
        <w:t xml:space="preserve">(f) upon Legal Defeasance or Covenant Defeasance in accordance with Article 8 hereof or satisfaction and discharge of this Indenture in accordance with Article 11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upon the merger, consolidation, combination, amalgamation or similar transaction of any Guarantor with and into the Company or another Guarantor or upon the liquidation of such Guarantor, in each case, in compliance with the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(h) upon the achievement of Investment Grade Status by the notes; </w:t>
      </w:r>
      <w:r>
        <w:rPr>
          <w:rFonts w:ascii="Times New Roman" w:hAnsi="Times New Roman"/>
          <w:i/>
          <w:sz w:val="20"/>
        </w:rPr>
        <w:t>provided</w:t>
      </w:r>
      <w:r>
        <w:rPr>
          <w:rFonts w:ascii="Times New Roman" w:hAnsi="Times New Roman"/>
          <w:sz w:val="20"/>
        </w:rPr>
        <w:t xml:space="preserve"> that such Note Guarantee shall be reinstated upon the Reversion Date; and </w:t>
      </w:r>
    </w:p>
    <w:p>
      <w:pPr>
        <w:pStyle w:val="TextBody"/>
        <w:bidi w:val="0"/>
        <w:spacing w:before="240" w:after="0"/>
        <w:jc w:val="left"/>
        <w:rPr>
          <w:rFonts w:ascii="Times New Roman" w:hAnsi="Times New Roman"/>
          <w:sz w:val="20"/>
        </w:rPr>
      </w:pPr>
      <w:r>
        <w:rPr>
          <w:rFonts w:ascii="Times New Roman" w:hAnsi="Times New Roman"/>
          <w:sz w:val="20"/>
        </w:rPr>
        <w:t xml:space="preserve">(i) as described under Article 9 hereof or in accordance with the provisions of the First Lien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neither the consent nor the acknowledgement of the Trustee shall be necessary to effect any such release. None of the Trustee, the Company or any Guarantor will be required to make a notation on the Notes or the Note Guarantees to reflect any such release, termination or discharge. Upon request of the Company and delivery by the Company to the Trustee of an Officer’s Certificate and an Opinion of Counsel to the effect that one of the foregoing requirements has been satisfied and the conditions to the release of a Guarantor under this Section 10.05 has been met, the Trustee will execute any documents reasonably required in order to evidence the release of a Guarantor from its obligations under its Note Guarantee. In connection with any release under clauses (a) and (b) above, the Net Proceeds of such sale or other disposition shall be applied, if required, in accordance with the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Any Guarantor not released from its obligations under its Note Guarantee as provided in this Section 10.05 will remain liable for the full amount of principal of, premium on, if any, and interest, if any, on, the Notes and for the other obligations of any Guarantor under this Indenture as provided in this Article 10.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Satisfaction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will be discharged and will cease to be of further effect as to all Notes issued hereunder (except as to rights of registration of transfer or exchange of Notes) and the Liens, if any, on the Collateral securing the Notes will be automatically released, when: </w:t>
      </w:r>
    </w:p>
    <w:p>
      <w:pPr>
        <w:pStyle w:val="TextBody"/>
        <w:bidi w:val="0"/>
        <w:spacing w:before="120" w:after="0"/>
        <w:jc w:val="left"/>
        <w:rPr>
          <w:rFonts w:ascii="Times New Roman" w:hAnsi="Times New Roman"/>
          <w:sz w:val="20"/>
        </w:rPr>
      </w:pPr>
      <w:r>
        <w:rPr>
          <w:rFonts w:ascii="Times New Roman" w:hAnsi="Times New Roman"/>
          <w:sz w:val="20"/>
        </w:rPr>
        <w:t xml:space="preserve">(1) either: </w:t>
      </w:r>
    </w:p>
    <w:p>
      <w:pPr>
        <w:pStyle w:val="TextBody"/>
        <w:bidi w:val="0"/>
        <w:spacing w:before="120" w:after="0"/>
        <w:jc w:val="left"/>
        <w:rPr>
          <w:rFonts w:ascii="Times New Roman" w:hAnsi="Times New Roman"/>
          <w:sz w:val="20"/>
        </w:rPr>
      </w:pPr>
      <w:r>
        <w:rPr>
          <w:rFonts w:ascii="Times New Roman" w:hAnsi="Times New Roman"/>
          <w:sz w:val="20"/>
        </w:rPr>
        <w:t xml:space="preserve">(A) all Notes that have been authenticated, except lost, stolen or destroyed Notes that have been replaced or paid and Notes for whose payment money has been deposited in trust and thereafter repaid to the Company or discharged from such trust, have been cancelled or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(B) all such Notes have become due and payable at final maturity or by reason of the delivery of a notice of redemption or will become due and payable within one year or will be redeemed within one year under arrangements satisfactory to the Trustee for the giving of a notice of redemption in the name and at the expense of the Company and the Company or any Guarantor has irrevocably deposited or caused to be deposited with the Trustee in trust solely for the benefit of the Holders, cash in U.S. dollars in an amount, non-callable Government Securities, the scheduled payments of principal of and interest thereon will be in an amount, or a combination thereof in amounts, as will be sufficient (in case Government Securities have been deposited), without consideration of any reinvestment of interest, to pay and discharge the entire Indebtedness on such Notes for principal of, premium on, if any, and interest, if any, on, the Notes to the date of maturity or redemption; </w:t>
      </w:r>
      <w:r>
        <w:rPr>
          <w:rFonts w:ascii="Times New Roman" w:hAnsi="Times New Roman"/>
          <w:i/>
          <w:sz w:val="20"/>
        </w:rPr>
        <w:t>provided</w:t>
      </w:r>
      <w:r>
        <w:rPr>
          <w:rFonts w:ascii="Times New Roman" w:hAnsi="Times New Roman"/>
          <w:sz w:val="20"/>
        </w:rPr>
        <w:t xml:space="preserve">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as calculated by the Company or on behalf of the Company by such Person as the Company shall designate, with any Applicable Premium Deficit only required to be deposited with the Trustee on or prior to the date of redemption, and any Applicable Premium Deficit shall be set forth in an Officer’s Certificate delivered to the Trustee simultaneously with the deposit of such Applicable Premium Deficit that confirms that such Applicable Premium Deficit shall be applied toward such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Company or any Guarantor has paid or caused to be paid all sums payable by it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delivered irrevocable instructions to the Trustee under this Indenture to apply the deposited money toward the payment of the Notes at maturity or on the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must deliver an Officer’s Certificate and an Opinion of Counsel to the Trustee stating that all conditions precedent to satisfaction and discharge have been satisfied </w:t>
      </w:r>
      <w:r>
        <w:rPr>
          <w:rFonts w:ascii="Times New Roman" w:hAnsi="Times New Roman"/>
          <w:i/>
          <w:sz w:val="20"/>
        </w:rPr>
        <w:t>provided</w:t>
      </w:r>
      <w:r>
        <w:rPr>
          <w:rFonts w:ascii="Times New Roman" w:hAnsi="Times New Roman"/>
          <w:sz w:val="20"/>
        </w:rPr>
        <w:t xml:space="preserve"> that any such counsel may rely on any Officer’s Certificate as to matters of fact (including as to compliance with clauses (1), (2) and (3)).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if money has been deposited with the Trustee pursuant to subclause (B) of clause (1) of this Section 11.01, the provisions of Sections 11.02 and 8.06 hereof will survive. In addition, nothing in this Section 11.01 will be deemed to discharge those provisions of Section 7.07 hereof, that, by their terms, survive the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Upon satisfaction of the conditions set forth herein and upon written request of the Company, the Trustee shall acknowledge in writing the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Application of Trust Money.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8.06 hereof, all money and non-callable Government Securities (including the proceeds thereof) deposited with the Trustee pursuant to Section 11.01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premium, if any, and interest, if any, for whose payment such money has been deposited with the Trustee;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11.01 hereof; </w:t>
      </w:r>
      <w:r>
        <w:rPr>
          <w:rFonts w:ascii="Times New Roman" w:hAnsi="Times New Roman"/>
          <w:i/>
          <w:sz w:val="20"/>
        </w:rPr>
        <w:t>provided</w:t>
      </w:r>
      <w:r>
        <w:rPr>
          <w:rFonts w:ascii="Times New Roman" w:hAnsi="Times New Roman"/>
          <w:sz w:val="20"/>
        </w:rPr>
        <w:t xml:space="preserve"> that if the Company has made any payment of principal of, premium on, if any, or interest, if any, on, any Notes because of the reinstatement of its Obligations, the Company shall be subrogated to the rights of the Holders of such Notes to receive such payment from the money or Government Securities held by the Trustee or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and indemnify the Trustee against any tax, fee or other charge imposed on or assessed against the cash or non-callable Government Securities deposited pursuant to Section 11.01 hereof or the principal and interest received in respect thereof other than any such tax, fee or other charge which by law is for the account of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Article 11 to the contrary, the Trustee will deliver or pay to the Company from time to time upon the request of the Company any money or non-callable Government Securities held by it as provided in Section 11.01 hereof which, in the opinion of a nationally recognized firm of independent public accountants expressed in a written certification thereof delivered to the Trustee, are in excess of the amount thereof that would then be required to be deposited to effect a discharge in accordance with this Article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Issue Date, 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Obligations of the Company and the Guarantors to the Holders, the Trustee or the Notes Collateral Agent under this Indenture, the Notes, the Note Guarantees, the First Lien Intercreditor Agreement, the Junior Lien Intercreditor Agreement, if any, and the Security Documents, according to the terms hereunder or thereunder, shall be secured as provided in the Security Documents, which define the terms of the Liens that secure First Lien Notes Obligations, subject to the terms of the First Lien Intercreditor Agreement. The Trustee, the Company and the Guarantors hereby acknowledge and agree that the Notes Collateral Agent holds the Collateral in trust for the benefit of the Holders, the Trustee and the Notes Collateral Agent and pursuant to the terms of the Security Documents and the First Lien Intercreditor Agreement. Each Holder, by accepting a Note, consents and agrees to the terms of the Security Documents (including the provisions providing for the possession, use, release and foreclosure of Collateral) and the First Lien Intercreditor Agreement and Junior Lien Intercreditor Agreement, if any, each as may be in effect or may be amended from time to time in accordance with their terms and this Indenture, and authorizes and directs the Notes Collateral Agent to enter into the Security Documents and the First Lien Intercreditor Agreement on the Issue Date, and any other Security Documents and the Junior Lien Intercreditor Agreement, if any, at any time after the Issue Date, if applicable, and to perform its obligations and exercise its rights thereunder in accordance therewith. The Company shall deliver to the Notes Collateral Agent filed copies of all documents required to be filed pursuant to the Security Documents, and will do or cause to be done all such acts and things as may be reasonably required by the next sentence of this Section 12.01,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On or following the Issue Date and subject to the First Lien Intercreditor Agreement, the Company and the Guarantors shall execute any and all further documents, agreements and instruments, file all financing statements (including continuation statements and amendments to financing statements) and take all further action that may be required under applicable law in order to grant, preserve, maintain, protect and perfect (or continue the perfection of) the validity and priority of the Liens and security interests created or intended to be created by the Security Documents in the Collateral. Such security interest and Liens will be created under the Security Documents and other security agreements, instruments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i/>
          <w:sz w:val="20"/>
        </w:rPr>
        <w:t>Release of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Liens securing the Note Guarantee of any Guarantor will be automatically released upon the release of such Guarantor from its Note Guarantee in accordance with the terms of this Indenture. In addition, the Liens securing the Obligations under the Notes and this Indenture will be automatically released, and the Trustee (subject to its receipt of an Officer’s Certificate as provided below) shall execute documents evidencing such release, or instruct the Notes Collateral Agent to execute, as applicable, the same at the Company’s sole cost and expense, under one or more of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(1) in whole, upon a Legal Defeasance or Covenant Defeasance of this Indenture as set forth under Article 8; </w:t>
      </w:r>
    </w:p>
    <w:p>
      <w:pPr>
        <w:pStyle w:val="TextBody"/>
        <w:bidi w:val="0"/>
        <w:spacing w:before="120" w:after="0"/>
        <w:jc w:val="left"/>
        <w:rPr>
          <w:rFonts w:ascii="Times New Roman" w:hAnsi="Times New Roman"/>
          <w:sz w:val="20"/>
        </w:rPr>
      </w:pPr>
      <w:r>
        <w:rPr>
          <w:rFonts w:ascii="Times New Roman" w:hAnsi="Times New Roman"/>
          <w:sz w:val="20"/>
        </w:rPr>
        <w:t xml:space="preserve">(2) in whole, upon satisfaction and discharge of this Indenture as set forth under Article 11; </w:t>
      </w:r>
    </w:p>
    <w:p>
      <w:pPr>
        <w:pStyle w:val="TextBody"/>
        <w:bidi w:val="0"/>
        <w:spacing w:before="120" w:after="0"/>
        <w:jc w:val="left"/>
        <w:rPr>
          <w:rFonts w:ascii="Times New Roman" w:hAnsi="Times New Roman"/>
          <w:sz w:val="20"/>
        </w:rPr>
      </w:pPr>
      <w:r>
        <w:rPr>
          <w:rFonts w:ascii="Times New Roman" w:hAnsi="Times New Roman"/>
          <w:sz w:val="20"/>
        </w:rPr>
        <w:t xml:space="preserve">(3) in whole, upon payment in full of principal, interest and all other Obligations (other than contingent claims for which no demand has been made) on the Notes issued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(4) in whole or in part, with the consent of the requisite Holders of the Notes in accordance with Section 9.02 hereof, including consents obtained in connection with a tender offer or exchange offer for, or purchase of, the Notes;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in part, as to any asset constituting Collateral: </w:t>
      </w:r>
    </w:p>
    <w:p>
      <w:pPr>
        <w:pStyle w:val="TextBody"/>
        <w:bidi w:val="0"/>
        <w:spacing w:before="120" w:after="0"/>
        <w:jc w:val="left"/>
        <w:rPr>
          <w:rFonts w:ascii="Times New Roman" w:hAnsi="Times New Roman"/>
          <w:sz w:val="20"/>
        </w:rPr>
      </w:pPr>
      <w:r>
        <w:rPr>
          <w:rFonts w:ascii="Times New Roman" w:hAnsi="Times New Roman"/>
          <w:sz w:val="20"/>
        </w:rPr>
        <w:t xml:space="preserve">(A) that is sold or otherwise disposed of or transferred: </w:t>
      </w:r>
    </w:p>
    <w:p>
      <w:pPr>
        <w:pStyle w:val="TextBody"/>
        <w:bidi w:val="0"/>
        <w:spacing w:before="120" w:after="0"/>
        <w:jc w:val="left"/>
        <w:rPr>
          <w:rFonts w:ascii="Times New Roman" w:hAnsi="Times New Roman"/>
          <w:sz w:val="20"/>
        </w:rPr>
      </w:pPr>
      <w:r>
        <w:rPr>
          <w:rFonts w:ascii="Times New Roman" w:hAnsi="Times New Roman"/>
          <w:sz w:val="20"/>
        </w:rPr>
        <w:t xml:space="preserve">(i) by the Company or any of the Guarantors to any Person that is not the Company or a Guarantor in a transaction permitted by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(ii) if all other Liens on that asset securing the First Lien Obligations then secured by that asset are released (other than any release in connection with the discharge of such First Lien Obligations) and no Default or Event of Default has occurred and is continuing under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(B) that is held by a Guarantor that ceases to be a Guarantor; </w:t>
      </w:r>
    </w:p>
    <w:p>
      <w:pPr>
        <w:pStyle w:val="TextBody"/>
        <w:bidi w:val="0"/>
        <w:spacing w:before="120" w:after="0"/>
        <w:jc w:val="left"/>
        <w:rPr>
          <w:rFonts w:ascii="Times New Roman" w:hAnsi="Times New Roman"/>
          <w:sz w:val="20"/>
        </w:rPr>
      </w:pPr>
      <w:r>
        <w:rPr>
          <w:rFonts w:ascii="Times New Roman" w:hAnsi="Times New Roman"/>
          <w:sz w:val="20"/>
        </w:rPr>
        <w:t xml:space="preserve">(C) that becomes Excluded Property; or </w:t>
      </w:r>
    </w:p>
    <w:p>
      <w:pPr>
        <w:pStyle w:val="TextBody"/>
        <w:bidi w:val="0"/>
        <w:spacing w:before="120" w:after="0"/>
        <w:jc w:val="left"/>
        <w:rPr>
          <w:rFonts w:ascii="Times New Roman" w:hAnsi="Times New Roman"/>
          <w:sz w:val="20"/>
        </w:rPr>
      </w:pPr>
      <w:r>
        <w:rPr>
          <w:rFonts w:ascii="Times New Roman" w:hAnsi="Times New Roman"/>
          <w:sz w:val="20"/>
        </w:rPr>
        <w:t xml:space="preserve">(D) that is otherwise released in accordance with, and as expressly provided for by the terms of, this Indenture, the First Lien Intercreditor Agreement and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release of Collateral, upon receipt of an Officer’s Certificate stating that all conditions precedent under this Indenture, the Security Documents and the First Lien Intercreditor Agreement, as applicable, to such release have been met and that it is permitted for the Trustee and/or Notes Collateral Agent to execute and deliver the documents requested by the Company in connection with such release and any necessary or proper instruments of termination, satisfaction or release prepared by the Company, the Trustee and the Notes Collateral Agent shall, execute, deliver or acknowledge (at the Company’s expense) such instruments or releases to evidence the release of any Collateral permitted to be released pursuant to this Indenture or the Security Documents or the First Lien Intercreditor Agreement and shall do or cause to be done (at the Company’s expense) all acts reasonably requested of them to release such Lien as soon as is reasonably practicable. Neither the Trustee nor the Notes Collateral Agent shall be liable for any such release undertaken in reliance upon any such Officer’s Certificate, and notwithstanding any term hereof or in any Security Document or in the First Lien Intercreditor Agreement to the contrary, the Trustee and the Notes Collateral Agent shall not be under any obligation to release any such Lien and security interest, or execute and deliver any such instrument of release, satisfaction or termination, unless and until it receives such Officer’s Certificate, upon which it shall be entitled to conclusively rely.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i/>
          <w:sz w:val="20"/>
        </w:rPr>
        <w:t>Suits to Protect the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Article 7 and the Security Documents and the First Lien Intercreditor Agreement, the Trustee may or may direct the Notes Collateral Agent to take all actions it determines in order to: </w:t>
      </w:r>
    </w:p>
    <w:p>
      <w:pPr>
        <w:pStyle w:val="TextBody"/>
        <w:bidi w:val="0"/>
        <w:spacing w:before="240" w:after="0"/>
        <w:jc w:val="left"/>
        <w:rPr>
          <w:rFonts w:ascii="Times New Roman" w:hAnsi="Times New Roman"/>
          <w:sz w:val="20"/>
        </w:rPr>
      </w:pPr>
      <w:r>
        <w:rPr>
          <w:rFonts w:ascii="Times New Roman" w:hAnsi="Times New Roman"/>
          <w:sz w:val="20"/>
        </w:rPr>
        <w:t xml:space="preserve">(a) enforce any of the terms of the Security Documents; and </w:t>
      </w:r>
    </w:p>
    <w:p>
      <w:pPr>
        <w:pStyle w:val="TextBody"/>
        <w:bidi w:val="0"/>
        <w:spacing w:before="240" w:after="0"/>
        <w:jc w:val="left"/>
        <w:rPr>
          <w:rFonts w:ascii="Times New Roman" w:hAnsi="Times New Roman"/>
          <w:sz w:val="20"/>
        </w:rPr>
      </w:pPr>
      <w:r>
        <w:rPr>
          <w:rFonts w:ascii="Times New Roman" w:hAnsi="Times New Roman"/>
          <w:sz w:val="20"/>
        </w:rPr>
        <w:t xml:space="preserve">(b) collect and receive any and all amounts payable in respect of the First Lien Notes Obligations.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Security Documents and the First Lien Intercreditor Agreement, the Trustee and the Notes Collateral Agent shall have power to institute and to maintain such suits and proceedings as the Trustee or the Notes Collateral Agent may determine to prevent any impairment of the Collateral by any acts which may be unlawful or in violation of any of the Security Documents or this Indenture, and such suits and proceedings as the Trustee or the Notes Collateral Agent may determine to preserve or protect its interests and the interests of the Holders in the Collateral. Nothing in this Section 12.03 shall be considered to impose any such duty or obligation to act on the part of the Trustee or the Notes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12.04. </w:t>
      </w:r>
      <w:r>
        <w:rPr>
          <w:rFonts w:ascii="Times New Roman" w:hAnsi="Times New Roman"/>
          <w:i/>
          <w:sz w:val="20"/>
        </w:rPr>
        <w:t>Authorization of Receipt of Funds by the Trustee Under the 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First Lien Intercreditor Agreement, the Trustee is authorized to receive any funds for the benefit of the Holders distributed under the Security Documents, and to make further distributions of such funds to the Holders according to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12.05. </w:t>
      </w:r>
      <w:r>
        <w:rPr>
          <w:rFonts w:ascii="Times New Roman" w:hAnsi="Times New Roman"/>
          <w:i/>
          <w:sz w:val="20"/>
        </w:rPr>
        <w:t>Purchaser Protected.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any purchaser in good faith of any property purported to be released hereunder be bound to ascertain the authority of the Notes Collateral Agent or the Trustee to execute the applicable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Article 12 to be sold be under any obligation to ascertain or inquire into the authority of the Company or the applicable Guarantor to make any such sale or other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12.06. </w:t>
      </w:r>
      <w:r>
        <w:rPr>
          <w:rFonts w:ascii="Times New Roman" w:hAnsi="Times New Roman"/>
          <w:i/>
          <w:sz w:val="20"/>
        </w:rPr>
        <w:t>Powers Exercisable by Receiver or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the Collateral shall be in the possession of a receiver or trustee, lawfully appointed, the powers conferred in this Article 12 upon the Company or a Guarantor with respect to the release, sale or other disposition of such property may be exercised by such receiver or trustee, and an instrument signed by such receiver or trustee shall be deemed the equivalent of any similar instrument of the Company or a Guarantor or of any Officer or Officers thereof required by the provisions of this Article 12; and if the Trustee or the Notes Collateral Agent shall be in the possession of the Collateral under any provision of this Indenture, then such powers may be exercised by the Trustee or the Notes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12.07. </w:t>
      </w:r>
      <w:r>
        <w:rPr>
          <w:rFonts w:ascii="Times New Roman" w:hAnsi="Times New Roman"/>
          <w:i/>
          <w:sz w:val="20"/>
        </w:rPr>
        <w:t>Notes 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the Holders by acceptance of the Notes hereby designates and appoints the Notes Collateral Agent as its agent under this Indenture, the Security Documents, the First Lien Intercreditor Agreement and the Junior Lien Intercreditor Agreement, if any, and the Company and each of the Holders by acceptance of the Notes hereby irrevocably authorizes the Notes Collateral Agent to take such action on its behalf under the provisions of this Indenture, the Security Documents, the First Lien Intercreditor Agreement and the Junior Lien Intercreditor Agreement, if any, and to exercise such powers and perform such duties as are expressly delegated to the Notes Collateral Agent by the terms of this Indenture, the Security Documents, the First Lien Intercreditor Agreement and the Junior Lien Intercreditor Agreement, if any, and consents and agrees to the terms of the First Lien Intercreditor Agreement, the Junior Lien Intercreditor Agreement, if any, and each Security Document, as the same may be in effect or may be amended, restated, supplemented or otherwise modified from time to time in accordance with their respective terms. The Notes Collateral Agent agrees to act as such on the express conditions contained in this Section 12.07. Each Holder agrees that any action taken by the Notes Collateral Agent in accordance with the provisions of this Indenture, the First Lien Intercreditor Agreement, the Junior Lien Intercreditor Agreement, if any, and the Security Documents, and the exercise by the Notes Collateral Agent of any rights or remedies set forth herein and therein shall be authorized and binding upon all Holders. Notwithstanding any provision to the contrary contained elsewhere in this Indenture, the Security Documents, the First Lien Intercreditor Agreement and the Junior Lien Intercreditor Agreement, if any, the duties of the Notes Collateral Agent shall be ministerial and administrative in nature, and the Notes Collateral Agent shall not have any duties or responsibilities, except those expressly set forth herein and in the Security Documents, the First Lien Intercreditor Agreement and the Junior Lien Intercreditor Agreement, if any, to which the Notes Collateral Agent is a party, nor shall the Notes Collateral Agent have or be deemed to have any trust or other fiduciary relationship with the Trustee, any Holder or any Grantor, and no implied covenants, functions, responsibilities, duties, obligations or liabilities shall be read into this Indenture, the Security Documents, the First Lien Intercreditor Agreement and the Junior Lien Intercreditor Agreement, if any,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Notes Collateral Agent may perform any of its duties under this Indenture, the Security Documents, the First Lien Intercreditor Agreement or the Junior Lien Intercreditor Agreement, if any,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hAnsi="Times New Roman"/>
          <w:i/>
          <w:sz w:val="20"/>
        </w:rPr>
        <w:t>Related Person</w:t>
      </w:r>
      <w:r>
        <w:rPr>
          <w:rFonts w:ascii="Times New Roman" w:hAnsi="Times New Roman"/>
          <w:sz w:val="20"/>
        </w:rPr>
        <w:t xml:space="preserve">”),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misconduct of any receiver, agent, employee, attorney-in-fact or Related Person that it selects as long as such selection was made in good faith and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(c) None of the Notes Collateral Agent or any of its respective Related Persons shall (i) be liable for any action taken or omitted to be taken by any of them under or in connection with this Indenture or the transactions contemplated hereby (except for its own gross negligence or willful misconduct) or under or in connection with any Security Document, the First Lien Intercreditor Agreement or the Junior Lien Intercreditor Agreement, if any, or the transactions contemplated thereby (except for its own gross negligence or willful misconduct), or (ii) be responsible in any manner to any of the Trustee or any Holder for any recital, statement, representation, warranty, covenant or agreement made by the Company or any other Grantor or Affiliate of any Grantor, or any Officer or Related Person thereof, contained in this Indenture, the Security Documents, the First Lien Intercreditor Agreement, or the Junior Lien Intercreditor Agreement, if any, or in any certificate, report, statement or other document referred to or provided for in, or received by the Notes Collateral Agent under or in connection with, this Indenture, the Security Documents, the First Lien Intercreditor Agreement or the Junior Lien Intercreditor Agreement, if any, or the validity, effectiveness, genuineness, enforceability or sufficiency of this Indenture, the Security Documents, the First Lien Intercreditor Agreement or the Junior Lien Intercreditor Agreement, if any, or for any failure of any Grantor or any other party to this Indenture, the Security Documents, the First Lien Intercreditor Agreement or the Junior Lien Intercreditor Agreement, if any, to perform its obligations hereunder or thereunder. None of the Notes Collateral Agent or any of its respective Related Persons shall be under any obligation to the Trustee or any Holder to ascertain or to inquire as to the observance or performance of any of the agreements contained in, or conditions of, this Indenture, the Security Documents, the First Lien Intercreditor Agreement or the Junior Lien Intercreditor Agreement, if any, or to inspect the properties, books, or records of any Grantor or any Grantor’s Affiliates. </w:t>
      </w:r>
    </w:p>
    <w:p>
      <w:pPr>
        <w:pStyle w:val="TextBody"/>
        <w:bidi w:val="0"/>
        <w:spacing w:before="240" w:after="0"/>
        <w:jc w:val="left"/>
        <w:rPr>
          <w:rFonts w:ascii="Times New Roman" w:hAnsi="Times New Roman"/>
          <w:sz w:val="20"/>
        </w:rPr>
      </w:pPr>
      <w:r>
        <w:rPr>
          <w:rFonts w:ascii="Times New Roman" w:hAnsi="Times New Roman"/>
          <w:sz w:val="20"/>
        </w:rPr>
        <w:t xml:space="preserve">(d) 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Company or any other Grantor), independent accountants and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 Indenture, the Security Documents, the First Lien Intercreditor Agreement or the Junior Lien Intercreditor Agreement, if any, unless it shall first receive such advice or concurrence of the Trustee or the Holders of a majority in aggregate principal amount of the Notes as it determines and, if it so requests, it shall first be indemnified to its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the Security Documents, the First Lien Intercreditor Agreement or the Junior Lien Intercreditor Agreement, if any,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(e) The Notes Collateral Agent shall not be deemed to have knowledge or notice of the occurrence of any Default or Event of Default, unless a Responsible Officer of the Notes Collateral Agent shall have received written notice from the Trustee or the Company referring to this Indenture, describing such Default or Event of Default. The Notes Collateral Agent shall take such action with respect to such Default or Event of Default as may be requested by the Trustee in accordance with Article VI or the Holders of a majority in aggregate principal amount of the Notes (subject to this Section 12.07).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Notes Collateral Agent may resign at any time by 30 days’ written notice to the Trustee and the Company, such resignation to be effective upon the acceptance of a successor agent to its appointment as Notes Collateral Agent. If the Notes Collateral Agent resigns under this Indenture, the Company shall appoint a successor collateral agent. If no successor collateral agent is appointed prior to the intended effective date of the resignation of the Notes Collateral Agent (as stated in the notice of resignation), the Trustee, at the direction of the Holders of a majority of the aggregate principal amount of the Notes then outstanding, may appoint a successor collateral agent, subject to the consent of the Company (which consent shall not be unreasonably withheld and which shall not be required during a continuing Event of Default). If no successor collateral agent is appointed and consented to by the Company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“Notes Collateral Agent” shall mean such successor collateral agent, and the retiring Notes Collateral Agent’s appointment, powers and duties as the Notes Collateral Agent shall be terminated. After the retiring Notes Collateral Agent’s resignation hereunder, the provisions of this Section 12.07 (and Section 7.06 hereof) shall continue to inure to its benefit and the retiring Notes Collateral Agent shall not by reason of such resignation be deemed to be released from liability as to any actions taken or omitted to be taken by it while it was the Notes Collateral Agent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initially act as Notes Collateral Agent and shall be authorized to appoint co-Notes Collateral Agents as necessary in its sole discretion. Except as otherwise explicitly provided herein or in the Security Documents or the First Lien Intercreditor Agreement or the Junior Lien Intercreditor Agreement, if any,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(h) The Notes Collateral Agent is authorized and directed to (i) enter into the Security Documents to which it is party, whether executed on or after the Issue Date, (ii) enter into the First Lien Intercreditor Agreement on the Issue Date, (iii) enter into the Junior Lien Intercreditor Agreement, if any, after the Issue Date, (iv) make the representations of the Holders set forth in the Security Documents, the First Lien Intercreditor Agreement or the Junior Lien Intercreditor Agreement, if any, (v) bind the Holders on the terms as set forth in the Security Documents, the First Lien Intercreditor Agreement or Junior Lien Intercreditor Agreement, if any, and (vi) perform and observe its obligations under the Security Documents, the First Lien Intercreditor Agreement and the Junior Lien Intercreditor Agreement, if any. </w:t>
      </w:r>
    </w:p>
    <w:p>
      <w:pPr>
        <w:pStyle w:val="TextBody"/>
        <w:bidi w:val="0"/>
        <w:spacing w:before="240" w:after="0"/>
        <w:jc w:val="left"/>
        <w:rPr>
          <w:rFonts w:ascii="Times New Roman" w:hAnsi="Times New Roman"/>
          <w:sz w:val="20"/>
        </w:rPr>
      </w:pPr>
      <w:r>
        <w:rPr>
          <w:rFonts w:ascii="Times New Roman" w:hAnsi="Times New Roman"/>
          <w:sz w:val="20"/>
        </w:rPr>
        <w:t xml:space="preserve">(i) 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Article 6,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the Security Documents and the First Lien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(j) The Notes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Company, the Trustee shall notify the Notes Collateral Agent thereof and promptly shall deliver such Collateral to the Notes Collateral Agent or otherwise deal with such Collateral in accordance with the Notes Collateral Agent’s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Notes Collateral Agent shall have no obligation whatsoever to the Trustee or any of the Holders to assure that the Collateral exists or is owned by any Grantor or is cared for, protected, or insured or has been encumbered, or that the Notes Collateral Agent’s Liens have been properly or sufficiently or lawfully created, perfected, protected, maintained or enforced or are entitled to any particular priority, or to determine whether all or the Grantor’s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Security Document, the First Lien Intercreditor Agreement or the Junior Lien Intercreditor Agreement, if any, other than pursuant to the instructions of the Holders of a majority in aggregate principal amount of the Notes or as otherwise provided in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(l) If the Company or any Guarantor (i) incurs any obligations in respect of First Lien Obligations or Junior Lien Obligations at any time when no applicable intercreditor agreement is in effect or at any time when Indebtedness constituting First Lien Obligations or Junior Lien Obligations entitled to the benefit of an existing First Lien Intercreditor Agreement or Junior Lien Intercreditor Agreement is concurrently retired, and (ii) delivers to the Notes Collateral Agent an Officer’s Certificate so stating and requesting the Notes Collateral Agent to enter into an intercreditor agreement (on substantially the same terms as the applicable First Lien Intercreditor Agreement or Junior Lien Intercreditor Agreement) in favor of a designated agent or representative for the holders of the First Lien Obligations or Junior Lien Obligations so incurred, the Notes Collateral Agent shall (and is hereby authorized and directed to) enter into such intercreditor agreement (at the sole expense and cost of the Company, including legal fees and expenses of the Notes Collateral Agent), bind the Holders on the terms set forth therein and perform and observe its obligations thereunder; provided that no Officer’s Certificate shall be required in connection with the First Lien Intercreditor Agreement to be entered into by the Notes Collateral Agent on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(m) No provision of this Indenture, the First Lien Intercreditor Agreement, the Junior Lien Intercreditor Agreement, if any, or any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received indemnity reasonably satisfactory to the Notes Collateral Agent and the Trustee against potential costs and liabilities incurred by the Notes Collateral Agent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Indenture, the First Lien Intercreditor Agreement, the Junior Lien Intercreditor Agreement, if any, or the Security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clause (m) if it no longer reasonably deems any indemnity, security or undertaking from the Company or the Holders to be sufficient. </w:t>
      </w:r>
    </w:p>
    <w:p>
      <w:pPr>
        <w:pStyle w:val="TextBody"/>
        <w:bidi w:val="0"/>
        <w:spacing w:before="240" w:after="0"/>
        <w:jc w:val="left"/>
        <w:rPr>
          <w:rFonts w:ascii="Times New Roman" w:hAnsi="Times New Roman"/>
          <w:sz w:val="20"/>
        </w:rPr>
      </w:pPr>
      <w:r>
        <w:rPr>
          <w:rFonts w:ascii="Times New Roman" w:hAnsi="Times New Roman"/>
          <w:sz w:val="20"/>
        </w:rPr>
        <w:t xml:space="preserve">(n) The Collateral Agent (i) shall not be liable for any action taken or omitted to be taken by it in connection with this Indenture, the First Lien Intercreditor Agreement, the Junior Lien Intercreditor Agreement, if any, and the Security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Company (and money held in trust Notes by the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work stoppages, accidents, acts of war or terrorism, civil or military disturbances, pandemics, epidemics, recognized public emergencies, quarantine restrictions, executive orders, changes in policies of federal or state governmental entities, changes to implementation, interpretation or enforcement of policy, unilateral actions of elected officials, nuclear or natural catastrophes or acts of God, interruptions, loss or malfunctions of utilities, communications or computer (software and hardware) services, and hacking, cyber-attacks, or other use or infiltration of the Notes Collateral Agent’s or Trustee’s technological infrastructure exceeding authorized access.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(p) The Notes Collateral Agent does not assume any responsibility for any failure or delay in performance or any breach by the Company or any other Grantor under this Indenture, the First Lien Intercreditor Agreement, the Junior Lien Intercreditor Agreement, if any, and the Security Documents. The Notes Collateral Agent shall not be responsible to the Holders or any other Person for any recitals, statements, information, representations or warranties contained in this Indenture, the Security Documents, the First Lien Intercreditor Agreement, the Junior Lien Intercreditor Agreement, if any, or in any certificate, report, statement, or other document referred to or provided for in, or received by the Notes Collateral Agent under or in connection with, this Indenture, the First Lien Intercreditor Agreement, the Junior Lien Intercreditor Agreement, if any, or any Security Document; the execution, validity, genuineness, effectiveness or enforceability of the First Lien Intercreditor Agreement, the Junior Lien Intercreditor Agreement, if any, and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First Lien Intercreditor Agreement, the Junior Lien Intercreditor Agreement, if any, and the Security Documents. The Notes Collateral Agent shall have no obligation to any Holder or any other Person to ascertain or inquire into the existence of any Default or Event of Default, the observance or performance by any obligor of any terms of this Indenture, the First Lien Intercreditor Agreement, the Junior Lien Intercreditor Agreement, if any, and the Security Documents, or the satisfaction of any conditions precedent contained in this Indenture, the First Lien Intercreditor Agreement, the Junior Lien Intercreditor Agreement, if any, and any Security Documents. The Notes Collateral Agent shall not be required to initiate or conduct any litigation or collection or other proceeding under this Indenture, the First Lien Intercreditor Agreement, the Junior Lien Intercreditor Agreement, if any, and the Security Documents unless expressly set forth hereunder or thereunder. The Notes Collateral Agent shall have the right at any time to seek instructions from the Holders with respect to the administration of this Indenture, the Security Documents, the First Lien Intercreditor Agreement and the Junior Lien Intercreditor Agreement, if any. </w:t>
      </w:r>
    </w:p>
    <w:p>
      <w:pPr>
        <w:pStyle w:val="TextBody"/>
        <w:bidi w:val="0"/>
        <w:spacing w:before="240" w:after="0"/>
        <w:jc w:val="left"/>
        <w:rPr>
          <w:rFonts w:ascii="Times New Roman" w:hAnsi="Times New Roman"/>
          <w:sz w:val="20"/>
        </w:rPr>
      </w:pPr>
      <w:r>
        <w:rPr>
          <w:rFonts w:ascii="Times New Roman" w:hAnsi="Times New Roman"/>
          <w:sz w:val="20"/>
        </w:rPr>
        <w:t xml:space="preserve">(q) 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First Lien Intercreditor Agreement, the Junior Lien Intercreditor Agreement, if any, the Security Documents or any actions taken pursuant hereto or thereto. Further, the parties hereto and the Holders hereby agree and acknowledge that in the exercise of its rights under this Indenture, the First Lien Intercreditor Agreement, the Junior Lien Intercreditor Agreement, if any, and the Security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the Notes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Agent or the Trustee’s sole discretion may cause the Notes Collateral Agent or the Trustee to be considered an “owner or operator” under the provisions of the Comprehensive Environmental Response, Compensation and Liability Act (“</w:t>
      </w:r>
      <w:r>
        <w:rPr>
          <w:rFonts w:ascii="Times New Roman" w:hAnsi="Times New Roman"/>
          <w:i/>
          <w:sz w:val="20"/>
        </w:rPr>
        <w:t>CERCLA</w:t>
      </w:r>
      <w:r>
        <w:rPr>
          <w:rFonts w:ascii="Times New Roman" w:hAnsi="Times New Roman"/>
          <w:sz w:val="20"/>
        </w:rPr>
        <w:t xml:space="preserve">”), 42 U.S.C. §9601, et seq., or otherwise cause the Notes Collateral Agent or the Trustee to incur liability under CERCLA or any other federal, state or local law, the Notes Collateral Agent and the Trustee each reserves the right, instead of taking such action, to either resign as the Notes Collateral Agent or the Trustee or arrange for the transfer of the title or control of the asset to a court-appointed receiver. Neither the Notes Collateral Agent nor the Trustee shall be liable to the Company, the Guarantors or any other Person for any environmental claims or contribution actions under any federal, state or local law, rule or regulation by reason of the Notes Collateral Agent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the Company or the Guarantors, Holders of a majority in aggregate principal amount of the then outstanding Notes shall direct the Notes Collateral Agent or the Trustee to appoint an appropriately qualified Person (excluding the Notes Collateral Agent or the Trustee) who they shall designate to possess, own, operate or manage, as the case may be, the property. </w:t>
      </w:r>
    </w:p>
    <w:p>
      <w:pPr>
        <w:pStyle w:val="TextBody"/>
        <w:bidi w:val="0"/>
        <w:spacing w:before="240" w:after="0"/>
        <w:jc w:val="left"/>
        <w:rPr>
          <w:rFonts w:ascii="Times New Roman" w:hAnsi="Times New Roman"/>
          <w:sz w:val="20"/>
        </w:rPr>
      </w:pPr>
      <w:r>
        <w:rPr>
          <w:rFonts w:ascii="Times New Roman" w:hAnsi="Times New Roman"/>
          <w:sz w:val="20"/>
        </w:rPr>
        <w:t>(r) Upon the receipt by the Notes Collateral Agent of a written request of the Company signed by an Officer (a “</w:t>
      </w:r>
      <w:r>
        <w:rPr>
          <w:rFonts w:ascii="Times New Roman" w:hAnsi="Times New Roman"/>
          <w:i/>
          <w:sz w:val="20"/>
        </w:rPr>
        <w:t>Security Document Order</w:t>
      </w:r>
      <w:r>
        <w:rPr>
          <w:rFonts w:ascii="Times New Roman" w:hAnsi="Times New Roman"/>
          <w:sz w:val="20"/>
        </w:rPr>
        <w:t xml:space="preserve">”), the Notes Collateral Agent is hereby authorized to execute and enter into, and shall execute and enter into, without the further consent of any Holder or the Trustee, any Security Document or amendment or supplement thereto to be executed after the Issue Date; provided that the Notes Collateral Agent shall not be required to execute or enter into any such Security Document which, in the Notes Collateral Agent’s reasonable opinion is reasonably likely to adversely affect the rights, duties, liabilities or immunities of the Notes Collateral Agent or that the Notes Collateral Agent determines is reasonably likely to involve the Notes Collateral Agent in personal liability. Such Security Document Order shall (i) state that it is being delivered to the Notes Collateral Agent pursuant to, and is a Security Document Order referred to in, this Section 12.07(r), and (ii) instruct the Notes Collateral Agent to execute and enter into such Security Document. Other than as set forth in this Indenture, any such execution of a Security Document shall be at the direction and expense of the Company, upon delivery to the Notes Collateral Agent of an Officer’s Certificate stating that all conditions precedent to the execution and delivery of the Security Document have been satisfied. The Holders, by their acceptance of the Notes, hereby authorize and direct the Notes Collateral Agent to execute such Security Documents (subject to the first sentence of this Section 12.07(r)). </w:t>
      </w:r>
    </w:p>
    <w:p>
      <w:pPr>
        <w:pStyle w:val="TextBody"/>
        <w:bidi w:val="0"/>
        <w:spacing w:before="240" w:after="0"/>
        <w:jc w:val="left"/>
        <w:rPr>
          <w:rFonts w:ascii="Times New Roman" w:hAnsi="Times New Roman"/>
          <w:sz w:val="20"/>
        </w:rPr>
      </w:pPr>
      <w:r>
        <w:rPr>
          <w:rFonts w:ascii="Times New Roman" w:hAnsi="Times New Roman"/>
          <w:sz w:val="20"/>
        </w:rPr>
        <w:t xml:space="preserve">(s) Subject to the provisions of the applicable Security Documents, the First Lien Intercreditor Agreement and the Junior Lien Intercreditor Agreement, if any, each Holder, by acceptance of the Notes, agrees that the Notes Collateral Agent shall execute and deliver the First Lien Intercreditor Agreement, the Junior Lien Intercreditor Agreement, if any, and the Security Documents to which it is a party and all agreements, documents and instruments incidental thereto, and act in accordance with the terms thereof. For the avoidance of doubt, the Notes Collateral Agent shall have no discretion under this Indenture, the First Lien Intercreditor Agreement, the Junior Lien Intercreditor Agreement, if any, or the Security Documents and shall not be required to make or give any determination, consent, approval, request or direction without the written direction of the Holders of a majority in aggregate principal amount of the then outstanding Notes or the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 After the occurrence and continuance of an Event of Default, the Trustee, acting at the direction of the Holders of a majority of the aggregate principal amount of the Notes then outstanding, may direct the Notes Collateral Agent in connection with any action required or permitted by this Indenture, the Security Documents or the First Lien Intercreditor Agreement or the Junior Lien Intercreditor Agreement, if any. </w:t>
      </w:r>
    </w:p>
    <w:p>
      <w:pPr>
        <w:pStyle w:val="TextBody"/>
        <w:bidi w:val="0"/>
        <w:spacing w:before="240" w:after="0"/>
        <w:jc w:val="left"/>
        <w:rPr>
          <w:rFonts w:ascii="Times New Roman" w:hAnsi="Times New Roman"/>
          <w:sz w:val="20"/>
        </w:rPr>
      </w:pPr>
      <w:r>
        <w:rPr>
          <w:rFonts w:ascii="Times New Roman" w:hAnsi="Times New Roman"/>
          <w:sz w:val="20"/>
        </w:rPr>
        <w:t xml:space="preserve">(u) The Notes Collateral Agent is authorized to receive any funds for the benefit of itself, the Trustee and the Holders distributed under the Security Documents or the First Lien Intercreditor Agreement or the Junior Lien Intercreditor Agreement, if any, and to the extent not prohibited under the First Lien Intercreditor Agreement or the Junior Lien Intercreditor Agreement, if any, for turnover to the Trustee to make further distributions of such funds to itself, the Trustee and the Holders in accordance with the provisions of Section 6.11 and the other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In each case that the Notes Collateral Agent may or is required hereunder or under any Security Document, the First Lien Intercreditor Agreement or the Junior Lien Intercreditor Agreement, if any, to take any action (an “</w:t>
      </w:r>
      <w:r>
        <w:rPr>
          <w:rFonts w:ascii="Times New Roman" w:hAnsi="Times New Roman"/>
          <w:i/>
          <w:sz w:val="20"/>
        </w:rPr>
        <w:t>Action</w:t>
      </w:r>
      <w:r>
        <w:rPr>
          <w:rFonts w:ascii="Times New Roman" w:hAnsi="Times New Roman"/>
          <w:sz w:val="20"/>
        </w:rPr>
        <w:t xml:space="preserve">”), including without limitation to make any determination, to give consents, to exercise rights, powers or remedies, to release or sell Collateral or otherwise to act hereunder or under any Security Document or the First Lien Intercreditor Agreement or the Junior Lien Intercreditor Agreement, if any,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If the Notes Collateral Agent shall request direction from the Holders of a majority in aggregate principal amount of the then outstanding Notes with respect to any Action, the Notes Collateral Agent shall be entitled to refrain from such Action unless and until the Notes Collateral Agent shall have received direction from the Holders of a majority in aggregate principal amount of the then outstanding Notes, and the Notes Collateral Agent shall not incur liability to any Person by reason of so refraining. </w:t>
      </w:r>
    </w:p>
    <w:p>
      <w:pPr>
        <w:pStyle w:val="TextBody"/>
        <w:bidi w:val="0"/>
        <w:spacing w:before="240" w:after="0"/>
        <w:jc w:val="left"/>
        <w:rPr>
          <w:rFonts w:ascii="Times New Roman" w:hAnsi="Times New Roman"/>
          <w:sz w:val="20"/>
        </w:rPr>
      </w:pPr>
      <w:r>
        <w:rPr>
          <w:rFonts w:ascii="Times New Roman" w:hAnsi="Times New Roman"/>
          <w:sz w:val="20"/>
        </w:rPr>
        <w:t xml:space="preserve">(w) Notwithstanding anything to the contrary in this Indenture or in any Security Document or the First Lien Intercreditor Agreement or the Junior Lien Intercreditor Agreement, if any, in no event shall the Notes Collateral Agent or the Trustee be responsible for, or have any duty or obligation with respect to, the recording, filing, registering, perfection, protection or maintenance of the security interests or Liens intended to be created by this Indenture, the Security Documents, the First Lien Intercreditor Agreement or the Junior Lien Intercreditor Agreement, if any (including without limitation the filing or continuation of any UCC financing or continuation statements or similar documents or instruments), nor shall the Notes Collateral Agent or the Trustee be responsible for, and neither the Notes Collateral Agent nor the Trustee makes any representation regarding, the validity, effectiveness or priority of any of the Security Documents or the security interests or Liens intended to be created thereby. </w:t>
      </w:r>
    </w:p>
    <w:p>
      <w:pPr>
        <w:pStyle w:val="TextBody"/>
        <w:bidi w:val="0"/>
        <w:spacing w:before="240" w:after="0"/>
        <w:jc w:val="left"/>
        <w:rPr>
          <w:rFonts w:ascii="Times New Roman" w:hAnsi="Times New Roman"/>
          <w:sz w:val="20"/>
        </w:rPr>
      </w:pPr>
      <w:r>
        <w:rPr>
          <w:rFonts w:ascii="Times New Roman" w:hAnsi="Times New Roman"/>
          <w:sz w:val="20"/>
        </w:rPr>
        <w:t xml:space="preserve">(x) Before the Notes Collateral Agent acts or refrains from acting in each case at the request or direction of the Company or the Guarantors, other than as set forth in this Indenture, it may require an Officer’s Certificate and an Opinion of Counsel, which shall conform to the provisions of this Section 12.07 and Section 13.04 hereof. The Notes Collateral Agent shall not be liable for any action it takes or omits to take in good faith in reliance on such certificate or opinion. </w:t>
      </w:r>
    </w:p>
    <w:p>
      <w:pPr>
        <w:pStyle w:val="TextBody"/>
        <w:bidi w:val="0"/>
        <w:spacing w:before="240" w:after="0"/>
        <w:jc w:val="left"/>
        <w:rPr>
          <w:rFonts w:ascii="Times New Roman" w:hAnsi="Times New Roman"/>
          <w:sz w:val="20"/>
        </w:rPr>
      </w:pPr>
      <w:r>
        <w:rPr>
          <w:rFonts w:ascii="Times New Roman" w:hAnsi="Times New Roman"/>
          <w:sz w:val="20"/>
        </w:rPr>
        <w:t xml:space="preserve">(y) Notwithstanding anything to the contrary contained herein, the Notes Collateral Agent shall act pursuant to the instructions of the Holders and the Trustee solely with respect to the Security Documents and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(z) The rights, privileges, benefits, immunities, indemnities and other protections given to the Trustee are extended to, and shall be enforceable by, the Notes Collateral Agent as if the Notes Collateral Agent were named as the Trustee herein and the Security Documents were named as this Indenture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i/>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the Company, any Guarantor or the Trustee to the others or to them by the Holders is duly given if in writing and delivered in Person or by first class mail (registered or certified, return receipt requested), facsimile transmission or overnight air courier guaranteeing next day delivery, to the others’ address: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and/or any Guarantor: </w:t>
      </w:r>
    </w:p>
    <w:p>
      <w:pPr>
        <w:pStyle w:val="TextBody"/>
        <w:bidi w:val="0"/>
        <w:spacing w:before="120" w:after="0"/>
        <w:jc w:val="left"/>
        <w:rPr>
          <w:rFonts w:ascii="Times New Roman" w:hAnsi="Times New Roman"/>
          <w:sz w:val="20"/>
        </w:rPr>
      </w:pPr>
      <w:r>
        <w:rPr>
          <w:rFonts w:ascii="Times New Roman" w:hAnsi="Times New Roman"/>
          <w:sz w:val="20"/>
        </w:rPr>
        <w:t xml:space="preserve">Integra LifeSciences Holdings Corporation </w:t>
      </w:r>
    </w:p>
    <w:p>
      <w:pPr>
        <w:pStyle w:val="TextBody"/>
        <w:bidi w:val="0"/>
        <w:spacing w:before="0" w:after="0"/>
        <w:jc w:val="left"/>
        <w:rPr>
          <w:rFonts w:ascii="Times New Roman" w:hAnsi="Times New Roman"/>
          <w:sz w:val="20"/>
        </w:rPr>
      </w:pPr>
      <w:r>
        <w:rPr>
          <w:rFonts w:ascii="Times New Roman" w:hAnsi="Times New Roman"/>
          <w:sz w:val="20"/>
        </w:rPr>
        <w:t xml:space="preserve">1100 Campus Road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0" w:after="0"/>
        <w:jc w:val="left"/>
        <w:rPr>
          <w:rFonts w:ascii="Times New Roman" w:hAnsi="Times New Roman"/>
          <w:sz w:val="20"/>
        </w:rPr>
      </w:pPr>
      <w:r>
        <w:rPr>
          <w:rFonts w:ascii="Times New Roman" w:hAnsi="Times New Roman"/>
          <w:sz w:val="20"/>
        </w:rPr>
        <w:t xml:space="preserve">Attention: Timothy Swiss, Vice President, Treasurer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Electronic 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Integra LifeSciences Corporation </w:t>
      </w:r>
    </w:p>
    <w:p>
      <w:pPr>
        <w:pStyle w:val="TextBody"/>
        <w:bidi w:val="0"/>
        <w:spacing w:before="0" w:after="0"/>
        <w:jc w:val="left"/>
        <w:rPr>
          <w:rFonts w:ascii="Times New Roman" w:hAnsi="Times New Roman"/>
          <w:sz w:val="20"/>
        </w:rPr>
      </w:pPr>
      <w:r>
        <w:rPr>
          <w:rFonts w:ascii="Times New Roman" w:hAnsi="Times New Roman"/>
          <w:sz w:val="20"/>
        </w:rPr>
        <w:t xml:space="preserve">1100 Campus Road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0" w:after="0"/>
        <w:jc w:val="left"/>
        <w:rPr>
          <w:rFonts w:ascii="Times New Roman" w:hAnsi="Times New Roman"/>
          <w:sz w:val="20"/>
        </w:rPr>
      </w:pPr>
      <w:r>
        <w:rPr>
          <w:rFonts w:ascii="Times New Roman" w:hAnsi="Times New Roman"/>
          <w:sz w:val="20"/>
        </w:rPr>
        <w:t xml:space="preserve">Attention: Lesha Shinn, Corporate Vice President, Chief Legal Officer &amp; Secretary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Electronic Mail: [***] </w:t>
      </w:r>
    </w:p>
    <w:p>
      <w:pPr>
        <w:pStyle w:val="TextBody"/>
        <w:bidi w:val="0"/>
        <w:spacing w:before="24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125 Broad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10004 </w:t>
      </w:r>
    </w:p>
    <w:p>
      <w:pPr>
        <w:pStyle w:val="TextBody"/>
        <w:bidi w:val="0"/>
        <w:spacing w:before="0" w:after="0"/>
        <w:jc w:val="left"/>
        <w:rPr>
          <w:rFonts w:ascii="Times New Roman" w:hAnsi="Times New Roman"/>
          <w:sz w:val="20"/>
        </w:rPr>
      </w:pPr>
      <w:r>
        <w:rPr>
          <w:rFonts w:ascii="Times New Roman" w:hAnsi="Times New Roman"/>
          <w:sz w:val="20"/>
        </w:rPr>
        <w:t xml:space="preserve">Attention: Ari B. Blaut; Catherine M. Clarkin </w:t>
      </w:r>
    </w:p>
    <w:p>
      <w:pPr>
        <w:pStyle w:val="TextBody"/>
        <w:bidi w:val="0"/>
        <w:spacing w:before="0" w:after="0"/>
        <w:jc w:val="left"/>
        <w:rPr>
          <w:rFonts w:ascii="Times New Roman" w:hAnsi="Times New Roman"/>
          <w:sz w:val="20"/>
        </w:rPr>
      </w:pPr>
      <w:r>
        <w:rPr>
          <w:rFonts w:ascii="Times New Roman" w:hAnsi="Times New Roman"/>
          <w:sz w:val="20"/>
        </w:rPr>
        <w:t xml:space="preserve">Electronic Mail: [***]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Truist Bank </w:t>
      </w:r>
    </w:p>
    <w:p>
      <w:pPr>
        <w:pStyle w:val="TextBody"/>
        <w:bidi w:val="0"/>
        <w:spacing w:before="0" w:after="0"/>
        <w:jc w:val="left"/>
        <w:rPr>
          <w:rFonts w:ascii="Times New Roman" w:hAnsi="Times New Roman"/>
          <w:sz w:val="20"/>
        </w:rPr>
      </w:pPr>
      <w:r>
        <w:rPr>
          <w:rFonts w:ascii="Times New Roman" w:hAnsi="Times New Roman"/>
          <w:sz w:val="20"/>
        </w:rPr>
        <w:t xml:space="preserve">Corporate Trust &amp; Escrow Services </w:t>
      </w:r>
    </w:p>
    <w:p>
      <w:pPr>
        <w:pStyle w:val="TextBody"/>
        <w:bidi w:val="0"/>
        <w:spacing w:before="0" w:after="0"/>
        <w:jc w:val="left"/>
        <w:rPr>
          <w:rFonts w:ascii="Times New Roman" w:hAnsi="Times New Roman"/>
          <w:sz w:val="20"/>
        </w:rPr>
      </w:pPr>
      <w:r>
        <w:rPr>
          <w:rFonts w:ascii="Times New Roman" w:hAnsi="Times New Roman"/>
          <w:sz w:val="20"/>
        </w:rPr>
        <w:t xml:space="preserve">2713 Forest Hills Rd SW </w:t>
      </w:r>
    </w:p>
    <w:p>
      <w:pPr>
        <w:pStyle w:val="TextBody"/>
        <w:bidi w:val="0"/>
        <w:spacing w:before="0" w:after="0"/>
        <w:jc w:val="left"/>
        <w:rPr>
          <w:rFonts w:ascii="Times New Roman" w:hAnsi="Times New Roman"/>
          <w:sz w:val="20"/>
        </w:rPr>
      </w:pPr>
      <w:r>
        <w:rPr>
          <w:rFonts w:ascii="Times New Roman" w:hAnsi="Times New Roman"/>
          <w:sz w:val="20"/>
        </w:rPr>
        <w:t xml:space="preserve">Building 2, Floor 2 </w:t>
      </w:r>
    </w:p>
    <w:p>
      <w:pPr>
        <w:pStyle w:val="TextBody"/>
        <w:bidi w:val="0"/>
        <w:spacing w:before="0" w:after="0"/>
        <w:jc w:val="left"/>
        <w:rPr>
          <w:rFonts w:ascii="Times New Roman" w:hAnsi="Times New Roman"/>
          <w:sz w:val="20"/>
        </w:rPr>
      </w:pPr>
      <w:r>
        <w:rPr>
          <w:rFonts w:ascii="Times New Roman" w:hAnsi="Times New Roman"/>
          <w:sz w:val="20"/>
        </w:rPr>
        <w:t xml:space="preserve">Wilson, NC 27893 </w:t>
      </w:r>
    </w:p>
    <w:p>
      <w:pPr>
        <w:pStyle w:val="TextBody"/>
        <w:bidi w:val="0"/>
        <w:spacing w:before="0" w:after="0"/>
        <w:jc w:val="left"/>
        <w:rPr>
          <w:rFonts w:ascii="Times New Roman" w:hAnsi="Times New Roman"/>
          <w:sz w:val="20"/>
        </w:rPr>
      </w:pPr>
      <w:r>
        <w:rPr>
          <w:rFonts w:ascii="Times New Roman" w:hAnsi="Times New Roman"/>
          <w:sz w:val="20"/>
        </w:rPr>
        <w:t xml:space="preserve">Attention: Patrick Giordano – Client Manager – Integra </w:t>
      </w:r>
    </w:p>
    <w:p>
      <w:pPr>
        <w:pStyle w:val="TextBody"/>
        <w:bidi w:val="0"/>
        <w:spacing w:before="0" w:after="0"/>
        <w:jc w:val="left"/>
        <w:rPr>
          <w:rFonts w:ascii="Times New Roman" w:hAnsi="Times New Roman"/>
          <w:sz w:val="20"/>
        </w:rPr>
      </w:pPr>
      <w:r>
        <w:rPr>
          <w:rFonts w:ascii="Times New Roman" w:hAnsi="Times New Roman"/>
          <w:sz w:val="20"/>
        </w:rPr>
        <w:t xml:space="preserve">Phone: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Thompson Hine LLP </w:t>
      </w:r>
    </w:p>
    <w:p>
      <w:pPr>
        <w:pStyle w:val="TextBody"/>
        <w:bidi w:val="0"/>
        <w:spacing w:before="0" w:after="0"/>
        <w:jc w:val="left"/>
        <w:rPr>
          <w:rFonts w:ascii="Times New Roman" w:hAnsi="Times New Roman"/>
          <w:sz w:val="20"/>
        </w:rPr>
      </w:pPr>
      <w:r>
        <w:rPr>
          <w:rFonts w:ascii="Times New Roman" w:hAnsi="Times New Roman"/>
          <w:sz w:val="20"/>
        </w:rPr>
        <w:t xml:space="preserve">300 Madison Avenue, </w:t>
      </w:r>
    </w:p>
    <w:p>
      <w:pPr>
        <w:pStyle w:val="TextBody"/>
        <w:bidi w:val="0"/>
        <w:spacing w:before="0" w:after="0"/>
        <w:jc w:val="left"/>
        <w:rPr>
          <w:rFonts w:ascii="Times New Roman" w:hAnsi="Times New Roman"/>
          <w:sz w:val="20"/>
        </w:rPr>
      </w:pPr>
      <w:r>
        <w:rPr>
          <w:rFonts w:ascii="Times New Roman" w:hAnsi="Times New Roman"/>
          <w:sz w:val="20"/>
        </w:rPr>
        <w:t xml:space="preserve">27th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10017-6232 </w:t>
      </w:r>
    </w:p>
    <w:p>
      <w:pPr>
        <w:pStyle w:val="TextBody"/>
        <w:bidi w:val="0"/>
        <w:spacing w:before="0" w:after="0"/>
        <w:jc w:val="left"/>
        <w:rPr>
          <w:rFonts w:ascii="Times New Roman" w:hAnsi="Times New Roman"/>
          <w:sz w:val="20"/>
        </w:rPr>
      </w:pPr>
      <w:r>
        <w:rPr>
          <w:rFonts w:ascii="Times New Roman" w:hAnsi="Times New Roman"/>
          <w:sz w:val="20"/>
        </w:rPr>
        <w:t xml:space="preserve">Attention: Irving Apar </w:t>
      </w:r>
    </w:p>
    <w:p>
      <w:pPr>
        <w:pStyle w:val="TextBody"/>
        <w:bidi w:val="0"/>
        <w:spacing w:before="0" w:after="0"/>
        <w:jc w:val="left"/>
        <w:rPr>
          <w:rFonts w:ascii="Times New Roman" w:hAnsi="Times New Roman"/>
          <w:sz w:val="20"/>
        </w:rPr>
      </w:pPr>
      <w:r>
        <w:rPr>
          <w:rFonts w:ascii="Times New Roman" w:hAnsi="Times New Roman"/>
          <w:sz w:val="20"/>
        </w:rPr>
        <w:t xml:space="preserve">Electronic Mail: [***] </w:t>
      </w:r>
    </w:p>
    <w:p>
      <w:pPr>
        <w:pStyle w:val="TextBody"/>
        <w:bidi w:val="0"/>
        <w:spacing w:before="240" w:after="0"/>
        <w:jc w:val="left"/>
        <w:rPr>
          <w:rFonts w:ascii="Times New Roman" w:hAnsi="Times New Roman"/>
          <w:sz w:val="20"/>
        </w:rPr>
      </w:pPr>
      <w:r>
        <w:rPr>
          <w:rFonts w:ascii="Times New Roman" w:hAnsi="Times New Roman"/>
          <w:sz w:val="20"/>
        </w:rPr>
        <w:t xml:space="preserve">The Company, any Guarantor or the Trustee, by notice to the others,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e-mail; and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Note, where this Indenture or any Note provides for notice of any event (including any notice of redemption or repurchase) to a Holder of a Global Note (whether by mail or otherwise), such notice shall be sufficiently given if given to DTC (or its designee) pursuant to the standing instructions from DTC or its designee, including by electronic mail in accordance with accepted practices at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notice or communication is mailed in the manner provided above within the time prescribed,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mails a notice or communication to Holders, it will mail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i/>
          <w:sz w:val="20"/>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i/>
          <w:sz w:val="20"/>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Company or a Guarantor to the Trustee to take any action under this Indenture, the Company or such Guarantor, as applicable,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in form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(2) an Opinion of Counsel in form reasonably satisfactory to the Trustee (which must include the statements set forth in Section 13.05 hereof) stating that, in the opinion of such counsel, all such conditions precedent and covenants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i/>
          <w:sz w:val="20"/>
        </w:rPr>
        <w:t>Statements Required in Certificate 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and must include: </w:t>
      </w:r>
    </w:p>
    <w:p>
      <w:pPr>
        <w:pStyle w:val="TextBody"/>
        <w:bidi w:val="0"/>
        <w:spacing w:before="120" w:after="0"/>
        <w:jc w:val="left"/>
        <w:rPr>
          <w:rFonts w:ascii="Times New Roman" w:hAnsi="Times New Roman"/>
          <w:sz w:val="20"/>
        </w:rPr>
      </w:pPr>
      <w:r>
        <w:rPr>
          <w:rFonts w:ascii="Times New Roman" w:hAnsi="Times New Roman"/>
          <w:sz w:val="20"/>
        </w:rPr>
        <w:t xml:space="preserve">(1)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(2)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(3) a statement that, in the opinion of such Person, he or she has made such examination or investigation as is necessary to enable him or her to express an informed opinion as to whether or not such covenant or condition has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(4) a statement as to whether or not, in the opinion of such Person, such condition or covenant has been satisfied.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an issuer of an Opinion of Counsel may rely as to matters of fact on an Officer’s Certificate or a certificate of a public official.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13.06. </w:t>
      </w:r>
      <w:r>
        <w:rPr>
          <w:rFonts w:ascii="Times New Roman" w:hAnsi="Times New Roman"/>
          <w:i/>
          <w:sz w:val="20"/>
        </w:rPr>
        <w:t>Rules by Trustee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make reasonable rules for action by or at a meeting of Holders. </w:t>
      </w:r>
    </w:p>
    <w:p>
      <w:pPr>
        <w:pStyle w:val="TextBody"/>
        <w:bidi w:val="0"/>
        <w:spacing w:before="240" w:after="0"/>
        <w:jc w:val="left"/>
        <w:rPr>
          <w:rFonts w:ascii="Times New Roman" w:hAnsi="Times New Roman"/>
          <w:sz w:val="20"/>
        </w:rPr>
      </w:pPr>
      <w:r>
        <w:rPr>
          <w:rFonts w:ascii="Times New Roman" w:hAnsi="Times New Roman"/>
          <w:sz w:val="20"/>
        </w:rPr>
        <w:t xml:space="preserve">The Registrar or Paying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i/>
          <w:sz w:val="20"/>
        </w:rPr>
        <w:t>No Personal Liability of Directors, Officers, Employees and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director, officer, employee, incorporator or stockholder of the Company or any of its Subsidiaries or Affiliates, as such, will have any liability for any Obligations of the Company or the Guarantors under the Notes, this Indenture, the Security Documents,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i/>
          <w:sz w:val="20"/>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INTERNAL LAW OF THE STATE OF NEW YORK WILL GOVERN AND BE USED TO CONSTRUE THIS INDENTURE, THE NOTES AND THE NOTE GUARANTEES WITHOUT GIVING EFFECT TO APPLICABLE PRINCIPLES OF CONFLICTS OF LAW TO THE EXTENT THAT THE APPLICATION OF THE LAWS OF ANOTHER JURISDICTION WOULD BE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13.09. </w:t>
      </w:r>
      <w:r>
        <w:rPr>
          <w:rFonts w:ascii="Times New Roman" w:hAnsi="Times New Roman"/>
          <w:i/>
          <w:sz w:val="20"/>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any other indenture, loan or debt agreement of the Company or its Subsidiaries or of any other Person.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i/>
          <w:sz w:val="20"/>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in this Indenture and the Notes will bind its successors. All agreements of the Trustee in this Indenture will bind its successors. All agreements of each Guarantor in this Indenture will bind its successors, except as otherwise provided in Section 10.05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i/>
          <w:sz w:val="20"/>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Notes is invalid, illegal or unenforceable, the validity, legality and enforceability of the remaining provisions will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i/>
          <w:sz w:val="20"/>
        </w:rPr>
        <w:t>Counterpart Originals.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sign any number of copies of this Indenture. Each signed copy will be an original, but all of them together represent the same agreement. This Indenture may be executed in multiple counterparts which, when taken together, shall constitute one instrument. The exchange of copies of this Indenture and of signature pages by facsimile or PDF transmissions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The Trustee shall have the right to accept and act upon any notice, instruction, or other communication, including any funds transfer instruction (each, a “</w:t>
      </w:r>
      <w:r>
        <w:rPr>
          <w:rFonts w:ascii="Times New Roman" w:hAnsi="Times New Roman"/>
          <w:i/>
          <w:sz w:val="20"/>
        </w:rPr>
        <w:t>Notice</w:t>
      </w:r>
      <w:r>
        <w:rPr>
          <w:rFonts w:ascii="Times New Roman" w:hAnsi="Times New Roman"/>
          <w:sz w:val="20"/>
        </w:rPr>
        <w:t xml:space="preserve">”) received pursuant to this Indenture by electronic transmission (including by e-mail, facsimile transmission, web portal or other electronic methods) and shall not have any duty to confirm that the person sending such Notice is, in fact, a person authorized to do so. Electronic signatures believed by the Trustee to comply with the ESIGN Act of 2000 or other applicable law (including electronic images of handwritten signatures and digital signatures provided by DocuSign, Orbit, Adobe Sign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digital signature provider identified by any other party hereto and acceptable to the Trustee) shall be deemed original signatures for all purposes. Each other party to this Indenture assumes all risks arising out of the use of electronic signatures and electronic methods to send Notices to the Trustee, including without limitation the risk of the Trustee acting on an unauthorized Notice and the risk of interception or misuse by third parties.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i/>
          <w:sz w:val="20"/>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to be considered a part of this Indenture and will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13.14. </w:t>
      </w:r>
      <w:r>
        <w:rPr>
          <w:rFonts w:ascii="Times New Roman" w:hAnsi="Times New Roman"/>
          <w:i/>
          <w:sz w:val="20"/>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pandemics, epidemics, recognized public emergencies, quarantine restrictions, executive orders, changes in policies of federal or state governmental entities, changes to implementation, interpretation or enforcement of policy, unilateral actions of elected officials, and interruptions, loss or malfunctions of utilities, communications or computer (software and hardware) services and hacking, cyber-attacks, or other use or infiltration of the Trustee’s technological infrastructure exceeding authorized access;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13.15. </w:t>
      </w:r>
      <w:r>
        <w:rPr>
          <w:rFonts w:ascii="Times New Roman" w:hAnsi="Times New Roman"/>
          <w:i/>
          <w:sz w:val="20"/>
        </w:rPr>
        <w:t>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 THE GUARANTORS, THE TRUSTEE AND THE NOTES COLLATERAL AGENT HEREBY IRREVOCABLY WAIVES, TO THE FULLEST EXTENT PERMITTED BY APPLICABLE LAW, ANY AND ALL RIGHT TO TRIAL BY JURY IN ANY LEGAL PROCEEDING ARISING OUT OF OR RELATING TO THIS INDENTURE, THE NOTES, THE SECURITY DOCUMENTS, THE NOTE GUARANTEES OR THE TRANSACTION CONTEMPLATED HEREBY.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INTEGRA LIFESCIENCES HOLDINGS CORPORATION,</w:t>
            </w:r>
            <w:r>
              <w:rPr/>
              <w:t xml:space="preserve"> a Delaware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Vice President,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INTEGRA LIFESCIENCES CORPORATION,</w:t>
            </w:r>
            <w:r>
              <w:rPr/>
              <w:t xml:space="preserve"> a Delaware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Vice President,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ACCLARENT, INC.</w:t>
            </w:r>
            <w:r>
              <w:rPr/>
              <w:t>, a Delaware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ACELL, INC.</w:t>
            </w:r>
            <w:r>
              <w:rPr/>
              <w:t>, a Delaware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CONFLUENT SURGICAL, INC.</w:t>
            </w:r>
            <w:r>
              <w:rPr/>
              <w:t>, a Delaware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Timothy Swiss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39"/>
        <w:gridCol w:w="61"/>
        <w:gridCol w:w="3582"/>
      </w:tblGrid>
      <w:tr>
        <w:trPr/>
        <w:tc>
          <w:tcPr>
            <w:tcW w:w="43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ENDOSOLUTIONS, INC</w:t>
            </w:r>
            <w:r>
              <w:rPr/>
              <w:t>., a Delaware corporation</w:t>
            </w:r>
          </w:p>
        </w:tc>
      </w:tr>
      <w:tr>
        <w:trPr>
          <w:trHeight w:val="240" w:hRule="atLeast"/>
        </w:trPr>
        <w:tc>
          <w:tcPr>
            <w:tcW w:w="439" w:type="dxa"/>
            <w:tcBorders/>
            <w:vAlign w:val="center"/>
          </w:tcPr>
          <w:p>
            <w:pPr>
              <w:pStyle w:val="TableContents"/>
              <w:bidi w:val="0"/>
              <w:spacing w:before="0" w:after="283"/>
              <w:jc w:val="left"/>
              <w:rPr>
                <w:sz w:val="4"/>
                <w:szCs w:val="4"/>
              </w:rPr>
            </w:pPr>
            <w:r>
              <w:rPr>
                <w:sz w:val="4"/>
                <w:szCs w:val="4"/>
              </w:rPr>
            </w:r>
          </w:p>
        </w:tc>
        <w:tc>
          <w:tcPr>
            <w:tcW w:w="3643"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Name: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INTEGRA LIFESCIENCES PRODUCTION</w:t>
            </w:r>
          </w:p>
        </w:tc>
      </w:tr>
      <w:tr>
        <w:trPr/>
        <w:tc>
          <w:tcPr>
            <w:tcW w:w="4082" w:type="dxa"/>
            <w:gridSpan w:val="3"/>
            <w:tcBorders/>
          </w:tcPr>
          <w:p>
            <w:pPr>
              <w:pStyle w:val="TableContents"/>
              <w:bidi w:val="0"/>
              <w:spacing w:before="0" w:after="283"/>
              <w:jc w:val="left"/>
              <w:rPr/>
            </w:pPr>
            <w:r>
              <w:rPr>
                <w:b/>
              </w:rPr>
              <w:t>CORPORATION</w:t>
            </w:r>
            <w:r>
              <w:rPr/>
              <w:t>, a Delaware corporation</w:t>
            </w:r>
          </w:p>
        </w:tc>
      </w:tr>
      <w:tr>
        <w:trPr>
          <w:trHeight w:val="240" w:hRule="atLeast"/>
        </w:trPr>
        <w:tc>
          <w:tcPr>
            <w:tcW w:w="439" w:type="dxa"/>
            <w:tcBorders/>
            <w:vAlign w:val="center"/>
          </w:tcPr>
          <w:p>
            <w:pPr>
              <w:pStyle w:val="TableContents"/>
              <w:bidi w:val="0"/>
              <w:spacing w:before="0" w:after="283"/>
              <w:jc w:val="left"/>
              <w:rPr>
                <w:sz w:val="4"/>
                <w:szCs w:val="4"/>
              </w:rPr>
            </w:pPr>
            <w:r>
              <w:rPr>
                <w:sz w:val="4"/>
                <w:szCs w:val="4"/>
              </w:rPr>
            </w:r>
          </w:p>
        </w:tc>
        <w:tc>
          <w:tcPr>
            <w:tcW w:w="3643"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Name: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INTEGRA NEUROSCIENCES</w:t>
            </w:r>
          </w:p>
        </w:tc>
      </w:tr>
      <w:tr>
        <w:trPr/>
        <w:tc>
          <w:tcPr>
            <w:tcW w:w="4082" w:type="dxa"/>
            <w:gridSpan w:val="3"/>
            <w:tcBorders/>
          </w:tcPr>
          <w:p>
            <w:pPr>
              <w:pStyle w:val="TableContents"/>
              <w:bidi w:val="0"/>
              <w:spacing w:before="0" w:after="283"/>
              <w:jc w:val="left"/>
              <w:rPr/>
            </w:pPr>
            <w:r>
              <w:rPr>
                <w:b/>
              </w:rPr>
              <w:t>(INTERNATIONAL), INC.,</w:t>
            </w:r>
            <w:r>
              <w:rPr/>
              <w:t xml:space="preserve"> a Delaware corporation</w:t>
            </w:r>
          </w:p>
        </w:tc>
      </w:tr>
      <w:tr>
        <w:trPr>
          <w:trHeight w:val="240" w:hRule="atLeast"/>
        </w:trPr>
        <w:tc>
          <w:tcPr>
            <w:tcW w:w="439" w:type="dxa"/>
            <w:tcBorders/>
            <w:vAlign w:val="center"/>
          </w:tcPr>
          <w:p>
            <w:pPr>
              <w:pStyle w:val="TableContents"/>
              <w:bidi w:val="0"/>
              <w:spacing w:before="0" w:after="283"/>
              <w:jc w:val="left"/>
              <w:rPr>
                <w:sz w:val="4"/>
                <w:szCs w:val="4"/>
              </w:rPr>
            </w:pPr>
            <w:r>
              <w:rPr>
                <w:sz w:val="4"/>
                <w:szCs w:val="4"/>
              </w:rPr>
            </w:r>
          </w:p>
        </w:tc>
        <w:tc>
          <w:tcPr>
            <w:tcW w:w="3643"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Name: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INTEGRA BURLINGTON MA, INC.</w:t>
            </w:r>
            <w:r>
              <w:rPr/>
              <w:t>, a Delaware corporation</w:t>
            </w:r>
          </w:p>
        </w:tc>
      </w:tr>
      <w:tr>
        <w:trPr>
          <w:trHeight w:val="240" w:hRule="atLeast"/>
        </w:trPr>
        <w:tc>
          <w:tcPr>
            <w:tcW w:w="439" w:type="dxa"/>
            <w:tcBorders/>
            <w:vAlign w:val="center"/>
          </w:tcPr>
          <w:p>
            <w:pPr>
              <w:pStyle w:val="TableContents"/>
              <w:bidi w:val="0"/>
              <w:spacing w:before="0" w:after="283"/>
              <w:jc w:val="left"/>
              <w:rPr>
                <w:sz w:val="4"/>
                <w:szCs w:val="4"/>
              </w:rPr>
            </w:pPr>
            <w:r>
              <w:rPr>
                <w:sz w:val="4"/>
                <w:szCs w:val="4"/>
              </w:rPr>
            </w:r>
          </w:p>
        </w:tc>
        <w:tc>
          <w:tcPr>
            <w:tcW w:w="3643"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Name: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INTEGRA YORK PA, INC.</w:t>
            </w:r>
            <w:r>
              <w:rPr/>
              <w:t>, a Delaware corporation</w:t>
            </w:r>
          </w:p>
        </w:tc>
      </w:tr>
      <w:tr>
        <w:trPr>
          <w:trHeight w:val="240" w:hRule="atLeast"/>
        </w:trPr>
        <w:tc>
          <w:tcPr>
            <w:tcW w:w="439" w:type="dxa"/>
            <w:tcBorders/>
            <w:vAlign w:val="center"/>
          </w:tcPr>
          <w:p>
            <w:pPr>
              <w:pStyle w:val="TableContents"/>
              <w:bidi w:val="0"/>
              <w:spacing w:before="0" w:after="283"/>
              <w:jc w:val="left"/>
              <w:rPr>
                <w:sz w:val="4"/>
                <w:szCs w:val="4"/>
              </w:rPr>
            </w:pPr>
            <w:r>
              <w:rPr>
                <w:sz w:val="4"/>
                <w:szCs w:val="4"/>
              </w:rPr>
            </w:r>
          </w:p>
        </w:tc>
        <w:tc>
          <w:tcPr>
            <w:tcW w:w="3643"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Name: Timothy Swiss</w:t>
            </w:r>
          </w:p>
        </w:tc>
      </w:tr>
      <w:tr>
        <w:trPr/>
        <w:tc>
          <w:tcPr>
            <w:tcW w:w="43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582" w:type="dxa"/>
            <w:tcBorders/>
          </w:tcPr>
          <w:p>
            <w:pPr>
              <w:pStyle w:val="TableContents"/>
              <w:bidi w:val="0"/>
              <w:spacing w:before="0" w:after="283"/>
              <w:jc w:val="left"/>
              <w:rPr/>
            </w:pPr>
            <w:r>
              <w:rPr/>
              <w:t>Title: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14"/>
        <w:gridCol w:w="60"/>
        <w:gridCol w:w="3608"/>
      </w:tblGrid>
      <w:tr>
        <w:trPr/>
        <w:tc>
          <w:tcPr>
            <w:tcW w:w="41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J. JAMNER SURGICAL INSTRUMENTS, INC.</w:t>
            </w:r>
            <w:r>
              <w:rPr/>
              <w:t>, a Delaware corporation</w:t>
            </w:r>
          </w:p>
        </w:tc>
      </w:tr>
      <w:tr>
        <w:trPr>
          <w:trHeight w:val="240" w:hRule="atLeast"/>
        </w:trPr>
        <w:tc>
          <w:tcPr>
            <w:tcW w:w="414"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r>
      <w:tr>
        <w:trPr/>
        <w:tc>
          <w:tcPr>
            <w:tcW w:w="41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Name: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SURGICAL INNOVATION ASSOCIATES, INC.</w:t>
            </w:r>
            <w:r>
              <w:rPr/>
              <w:t>,a Delaware corporation</w:t>
            </w:r>
          </w:p>
        </w:tc>
      </w:tr>
      <w:tr>
        <w:trPr>
          <w:trHeight w:val="240" w:hRule="atLeast"/>
        </w:trPr>
        <w:tc>
          <w:tcPr>
            <w:tcW w:w="414"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r>
      <w:tr>
        <w:trPr/>
        <w:tc>
          <w:tcPr>
            <w:tcW w:w="41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Name: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INTEGRA LIFESCIENCES BRAINTREE INC.</w:t>
            </w:r>
            <w:r>
              <w:rPr/>
              <w:t>, a Delaware corporation</w:t>
            </w:r>
          </w:p>
        </w:tc>
      </w:tr>
      <w:tr>
        <w:trPr>
          <w:trHeight w:val="240" w:hRule="atLeast"/>
        </w:trPr>
        <w:tc>
          <w:tcPr>
            <w:tcW w:w="414"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r>
      <w:tr>
        <w:trPr/>
        <w:tc>
          <w:tcPr>
            <w:tcW w:w="41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Name: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TEI MEDICAL INC.</w:t>
            </w:r>
            <w:r>
              <w:rPr/>
              <w:t>, a Delaware corporation</w:t>
            </w:r>
          </w:p>
        </w:tc>
      </w:tr>
      <w:tr>
        <w:trPr>
          <w:trHeight w:val="240" w:hRule="atLeast"/>
        </w:trPr>
        <w:tc>
          <w:tcPr>
            <w:tcW w:w="414"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r>
      <w:tr>
        <w:trPr/>
        <w:tc>
          <w:tcPr>
            <w:tcW w:w="41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Name: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ILS FINANCING CORPORATION,</w:t>
            </w:r>
            <w:r>
              <w:rPr/>
              <w:t xml:space="preserve"> a Delaware corporation</w:t>
            </w:r>
          </w:p>
        </w:tc>
      </w:tr>
      <w:tr>
        <w:trPr>
          <w:trHeight w:val="240" w:hRule="atLeast"/>
        </w:trPr>
        <w:tc>
          <w:tcPr>
            <w:tcW w:w="414" w:type="dxa"/>
            <w:tcBorders/>
            <w:vAlign w:val="center"/>
          </w:tcPr>
          <w:p>
            <w:pPr>
              <w:pStyle w:val="TableContents"/>
              <w:bidi w:val="0"/>
              <w:spacing w:before="0" w:after="283"/>
              <w:jc w:val="left"/>
              <w:rPr>
                <w:sz w:val="4"/>
                <w:szCs w:val="4"/>
              </w:rPr>
            </w:pPr>
            <w:r>
              <w:rPr>
                <w:sz w:val="4"/>
                <w:szCs w:val="4"/>
              </w:rPr>
            </w:r>
          </w:p>
        </w:tc>
        <w:tc>
          <w:tcPr>
            <w:tcW w:w="3668" w:type="dxa"/>
            <w:gridSpan w:val="2"/>
            <w:tcBorders/>
            <w:vAlign w:val="center"/>
          </w:tcPr>
          <w:p>
            <w:pPr>
              <w:pStyle w:val="TableContents"/>
              <w:bidi w:val="0"/>
              <w:spacing w:before="0" w:after="283"/>
              <w:jc w:val="left"/>
              <w:rPr>
                <w:sz w:val="4"/>
                <w:szCs w:val="4"/>
              </w:rPr>
            </w:pPr>
            <w:r>
              <w:rPr>
                <w:sz w:val="4"/>
                <w:szCs w:val="4"/>
              </w:rPr>
            </w:r>
          </w:p>
        </w:tc>
      </w:tr>
      <w:tr>
        <w:trPr/>
        <w:tc>
          <w:tcPr>
            <w:tcW w:w="41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Name: Timothy Swiss</w:t>
            </w:r>
          </w:p>
        </w:tc>
      </w:tr>
      <w:tr>
        <w:trPr/>
        <w:tc>
          <w:tcPr>
            <w:tcW w:w="4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8" w:type="dxa"/>
            <w:tcBorders/>
          </w:tcPr>
          <w:p>
            <w:pPr>
              <w:pStyle w:val="TableContents"/>
              <w:bidi w:val="0"/>
              <w:spacing w:before="0" w:after="283"/>
              <w:jc w:val="left"/>
              <w:rPr/>
            </w:pPr>
            <w:r>
              <w:rPr/>
              <w:t>Title: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73"/>
        <w:gridCol w:w="63"/>
        <w:gridCol w:w="3546"/>
      </w:tblGrid>
      <w:tr>
        <w:trPr/>
        <w:tc>
          <w:tcPr>
            <w:tcW w:w="473"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INTEGRA LIFESCIENCES SALES LLC,</w:t>
            </w:r>
            <w:r>
              <w:rPr/>
              <w:t xml:space="preserve"> a Delaware limited liability 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By: </w:t>
            </w:r>
            <w:r>
              <w:rPr>
                <w:b/>
              </w:rPr>
              <w:t>INTEGRA LIFESCIENCES CORPORATION</w:t>
            </w:r>
            <w:r>
              <w:rPr/>
              <w:t>, its sole member</w:t>
            </w:r>
          </w:p>
        </w:tc>
      </w:tr>
      <w:tr>
        <w:trPr>
          <w:trHeight w:val="240" w:hRule="atLeast"/>
        </w:trPr>
        <w:tc>
          <w:tcPr>
            <w:tcW w:w="473" w:type="dxa"/>
            <w:tcBorders/>
            <w:vAlign w:val="center"/>
          </w:tcPr>
          <w:p>
            <w:pPr>
              <w:pStyle w:val="TableContents"/>
              <w:bidi w:val="0"/>
              <w:spacing w:before="0" w:after="283"/>
              <w:jc w:val="left"/>
              <w:rPr>
                <w:sz w:val="4"/>
                <w:szCs w:val="4"/>
              </w:rPr>
            </w:pPr>
            <w:r>
              <w:rPr>
                <w:sz w:val="4"/>
                <w:szCs w:val="4"/>
              </w:rPr>
            </w:r>
          </w:p>
        </w:tc>
        <w:tc>
          <w:tcPr>
            <w:tcW w:w="3609" w:type="dxa"/>
            <w:gridSpan w:val="2"/>
            <w:tcBorders/>
            <w:vAlign w:val="center"/>
          </w:tcPr>
          <w:p>
            <w:pPr>
              <w:pStyle w:val="TableContents"/>
              <w:bidi w:val="0"/>
              <w:spacing w:before="0" w:after="283"/>
              <w:jc w:val="left"/>
              <w:rPr>
                <w:sz w:val="4"/>
                <w:szCs w:val="4"/>
              </w:rPr>
            </w:pPr>
            <w:r>
              <w:rPr>
                <w:sz w:val="4"/>
                <w:szCs w:val="4"/>
              </w:rPr>
            </w:r>
          </w:p>
        </w:tc>
      </w:tr>
      <w:tr>
        <w:trPr/>
        <w:tc>
          <w:tcPr>
            <w:tcW w:w="473" w:type="dxa"/>
            <w:tcBorders/>
          </w:tcPr>
          <w:p>
            <w:pPr>
              <w:pStyle w:val="TableContents"/>
              <w:bidi w:val="0"/>
              <w:spacing w:before="0" w:after="283"/>
              <w:jc w:val="left"/>
              <w:rPr/>
            </w:pPr>
            <w:r>
              <w:rPr/>
              <w:t>By:</w:t>
            </w:r>
          </w:p>
        </w:tc>
        <w:tc>
          <w:tcPr>
            <w:tcW w:w="63" w:type="dxa"/>
            <w:tcBorders/>
            <w:vAlign w:val="bottom"/>
          </w:tcPr>
          <w:p>
            <w:pPr>
              <w:pStyle w:val="TableContents"/>
              <w:bidi w:val="0"/>
              <w:spacing w:before="0" w:after="283"/>
              <w:jc w:val="left"/>
              <w:rPr/>
            </w:pPr>
            <w:r>
              <w:rPr/>
              <w:t> </w:t>
            </w:r>
          </w:p>
        </w:tc>
        <w:tc>
          <w:tcPr>
            <w:tcW w:w="35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73" w:type="dxa"/>
            <w:tcBorders/>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Name: Timothy Swiss</w:t>
            </w:r>
          </w:p>
        </w:tc>
      </w:tr>
      <w:tr>
        <w:trPr/>
        <w:tc>
          <w:tcPr>
            <w:tcW w:w="473" w:type="dxa"/>
            <w:tcBorders/>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3546" w:type="dxa"/>
            <w:tcBorders/>
          </w:tcPr>
          <w:p>
            <w:pPr>
              <w:pStyle w:val="TableContents"/>
              <w:bidi w:val="0"/>
              <w:spacing w:before="0" w:after="283"/>
              <w:jc w:val="left"/>
              <w:rPr/>
            </w:pPr>
            <w:r>
              <w:rPr/>
              <w:t>Title: Vice President,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TRUIST BANK, as Trustee and Notes Collateral Agent</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Giordano</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Patrick Giordano</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left"/>
        <w:rPr>
          <w:rFonts w:ascii="Times New Roman" w:hAnsi="Times New Roman"/>
          <w:i/>
          <w:sz w:val="20"/>
        </w:rPr>
      </w:pPr>
      <w:r>
        <w:rPr>
          <w:rFonts w:ascii="Times New Roman" w:hAnsi="Times New Roman"/>
          <w:i/>
          <w:sz w:val="20"/>
        </w:rPr>
        <w:t xml:space="preserve">[Insert the Global Note Legend, if applicable pursuant to the provisions of the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[Insert the Private Placement Legend, if applicable pursuant to the provisions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CUSIP/CINS [457985 AN9][U4579B AA3] </w:t>
      </w:r>
    </w:p>
    <w:p>
      <w:pPr>
        <w:pStyle w:val="TextBody"/>
        <w:bidi w:val="0"/>
        <w:spacing w:before="0" w:after="0"/>
        <w:jc w:val="right"/>
        <w:rPr>
          <w:rFonts w:ascii="Times New Roman" w:hAnsi="Times New Roman"/>
          <w:sz w:val="20"/>
        </w:rPr>
      </w:pPr>
      <w:r>
        <w:rPr>
          <w:rFonts w:ascii="Times New Roman" w:hAnsi="Times New Roman"/>
          <w:sz w:val="20"/>
        </w:rPr>
        <w:t xml:space="preserve">ISIN [US457985AN95][USU4579BAA36] </w:t>
      </w:r>
    </w:p>
    <w:p>
      <w:pPr>
        <w:pStyle w:val="TextBody"/>
        <w:bidi w:val="0"/>
        <w:spacing w:before="240" w:after="0"/>
        <w:jc w:val="center"/>
        <w:rPr>
          <w:rFonts w:ascii="Times New Roman" w:hAnsi="Times New Roman"/>
          <w:sz w:val="20"/>
        </w:rPr>
      </w:pPr>
      <w:r>
        <w:rPr>
          <w:rFonts w:ascii="Times New Roman" w:hAnsi="Times New Roman"/>
          <w:sz w:val="20"/>
        </w:rPr>
        <w:t xml:space="preserve">9.500% Senior Secured Notes due 2033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4"/>
        <w:gridCol w:w="122"/>
        <w:gridCol w:w="3194"/>
        <w:gridCol w:w="122"/>
        <w:gridCol w:w="3143"/>
      </w:tblGrid>
      <w:tr>
        <w:trPr/>
        <w:tc>
          <w:tcPr>
            <w:tcW w:w="3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r>
      <w:tr>
        <w:trPr/>
        <w:tc>
          <w:tcPr>
            <w:tcW w:w="3624" w:type="dxa"/>
            <w:tcBorders/>
          </w:tcPr>
          <w:p>
            <w:pPr>
              <w:pStyle w:val="TableContents"/>
              <w:bidi w:val="0"/>
              <w:spacing w:before="0" w:after="283"/>
              <w:jc w:val="left"/>
              <w:rPr/>
            </w:pPr>
            <w:r>
              <w:rPr/>
              <w:t>No. [144A][S]-[_]</w:t>
            </w:r>
          </w:p>
        </w:tc>
        <w:tc>
          <w:tcPr>
            <w:tcW w:w="122"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43" w:type="dxa"/>
            <w:tcBorders/>
          </w:tcPr>
          <w:p>
            <w:pPr>
              <w:pStyle w:val="TableContents"/>
              <w:bidi w:val="0"/>
              <w:spacing w:before="0" w:after="283"/>
              <w:jc w:val="right"/>
              <w:rPr/>
            </w:pPr>
            <w:r>
              <w:rPr/>
              <w:t>$</w:t>
            </w:r>
            <w:r>
              <w:rPr>
                <w:u w:val="single"/>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INTEGRA LIFESCIENCES HOLDINGS CORPORATION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w:t>
      </w:r>
      <w:r>
        <w:rPr>
          <w:rFonts w:ascii="Times New Roman" w:hAnsi="Times New Roman"/>
          <w:sz w:val="20"/>
          <w:u w:val="single"/>
        </w:rPr>
        <w:t xml:space="preserve">                                  </w:t>
      </w:r>
      <w:r>
        <w:rPr>
          <w:rFonts w:ascii="Times New Roman" w:hAnsi="Times New Roman"/>
          <w:sz w:val="20"/>
        </w:rPr>
        <w:t xml:space="preserve">or registered assigns, the principal sum of </w:t>
      </w:r>
      <w:r>
        <w:rPr>
          <w:rFonts w:ascii="Times New Roman" w:hAnsi="Times New Roman"/>
          <w:sz w:val="20"/>
          <w:u w:val="single"/>
        </w:rPr>
        <w:t>              </w:t>
      </w:r>
      <w:r>
        <w:rPr>
          <w:rFonts w:ascii="Times New Roman" w:hAnsi="Times New Roman"/>
          <w:sz w:val="20"/>
        </w:rPr>
        <w:t xml:space="preserve"> DOLLARS [or such other principal sum as shall be set forth in the Schedule of Exchanges of Interests in the Global Note attached hereto]* on November 1, 2033.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May 1 and November 1 </w:t>
      </w:r>
    </w:p>
    <w:p>
      <w:pPr>
        <w:pStyle w:val="TextBody"/>
        <w:bidi w:val="0"/>
        <w:spacing w:before="240" w:after="0"/>
        <w:jc w:val="left"/>
        <w:rPr>
          <w:rFonts w:ascii="Times New Roman" w:hAnsi="Times New Roman"/>
          <w:sz w:val="20"/>
        </w:rPr>
      </w:pPr>
      <w:r>
        <w:rPr>
          <w:rFonts w:ascii="Times New Roman" w:hAnsi="Times New Roman"/>
          <w:sz w:val="20"/>
        </w:rPr>
        <w:t xml:space="preserve">Record Dates: April 15 and October 15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INTEGRA LIFESCIENCES HOLDINGS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Notes referred to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TRUIST BANK, as Trustee and Notes Collateral Agent</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Back of Note </w:t>
      </w:r>
    </w:p>
    <w:p>
      <w:pPr>
        <w:pStyle w:val="TextBody"/>
        <w:bidi w:val="0"/>
        <w:spacing w:before="0" w:after="0"/>
        <w:jc w:val="center"/>
        <w:rPr>
          <w:rFonts w:ascii="Times New Roman" w:hAnsi="Times New Roman"/>
          <w:sz w:val="20"/>
        </w:rPr>
      </w:pPr>
      <w:r>
        <w:rPr>
          <w:rFonts w:ascii="Times New Roman" w:hAnsi="Times New Roman"/>
          <w:sz w:val="20"/>
        </w:rPr>
        <w:t xml:space="preserve">9.500% Senior Secured Notes due 2033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INTEREST</w:t>
      </w:r>
      <w:r>
        <w:rPr>
          <w:rFonts w:ascii="Times New Roman" w:hAnsi="Times New Roman"/>
          <w:sz w:val="20"/>
        </w:rPr>
        <w:t>. Integra LifeSciences Holdings Corporation, a Delaware corporation (the “</w:t>
      </w:r>
      <w:r>
        <w:rPr>
          <w:rFonts w:ascii="Times New Roman" w:hAnsi="Times New Roman"/>
          <w:i/>
          <w:sz w:val="20"/>
        </w:rPr>
        <w:t>Company</w:t>
      </w:r>
      <w:r>
        <w:rPr>
          <w:rFonts w:ascii="Times New Roman" w:hAnsi="Times New Roman"/>
          <w:sz w:val="20"/>
        </w:rPr>
        <w:t>”) promises to pay or cause to be paid interest on the principal amount of this Note at the rate of 9.500% per annum from October 19, 2026 until maturity. The Company will pay interest, if any, semi-annually in arrears on May 1 and November 1 of each year (each, an “</w:t>
      </w:r>
      <w:r>
        <w:rPr>
          <w:rFonts w:ascii="Times New Roman" w:hAnsi="Times New Roman"/>
          <w:i/>
          <w:sz w:val="20"/>
        </w:rPr>
        <w:t>Interest Payment Date</w:t>
      </w:r>
      <w:r>
        <w:rPr>
          <w:rFonts w:ascii="Times New Roman" w:hAnsi="Times New Roman"/>
          <w:sz w:val="20"/>
        </w:rPr>
        <w:t xml:space="preserve">”), or if any such day is not a Business Day, on the next succeeding Business Day. Interest on the Notes will accrue from the most recent date to which interest has been paid or duly provided for or, if no interest has been paid or duly provided for, from the date of original issuance; </w:t>
      </w:r>
      <w:r>
        <w:rPr>
          <w:rFonts w:ascii="Times New Roman" w:hAnsi="Times New Roman"/>
          <w:i/>
          <w:sz w:val="20"/>
        </w:rPr>
        <w:t>provided</w:t>
      </w:r>
      <w:r>
        <w:rPr>
          <w:rFonts w:ascii="Times New Roman" w:hAnsi="Times New Roman"/>
          <w:sz w:val="20"/>
        </w:rPr>
        <w:t xml:space="preserve"> that, if this Note is authenticated between a record date referred to on the face hereof and the next succeeding Interest Payment Date, interest shall accrue from such next succeeding Interest Payment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first Interest Payment Date shall be May 1, 2027. The Company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Interest will be computed on the basis of a 360-day year comprised of twelve 30-day months. Each interest period will end on (but not include)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METHOD OF PAYMENT</w:t>
      </w:r>
      <w:r>
        <w:rPr>
          <w:rFonts w:ascii="Times New Roman" w:hAnsi="Times New Roman"/>
          <w:sz w:val="20"/>
        </w:rPr>
        <w:t xml:space="preserve">. The Company will pay interest on the Notes (except defaulted interest), if any, to the Persons who are registered Holders of Notes at the close of business on the April 15 and October 15 immediately preceding the Interest Payment Date (whether or not a Business Day), even if such Notes are canceled after such record date and on or before such Interest Payment Date, except as provided in Section 2.12 of the Indenture with respect to defaulted interest. The Notes will be payable as to principal, premium, if any, and interest, if any, at the office or agency of the Company maintained for such purpose (along with any other Paying Agent and Registrar maintained by the Company) or, at the option of the Company, payment of interest, if any, due on an Interest Payment Date may be made by check mailed to the Holders at their addresses set forth in the register of Holders or by wire transfer of immediately available funds to the accounts specified by the Holders; </w:t>
      </w:r>
      <w:r>
        <w:rPr>
          <w:rFonts w:ascii="Times New Roman" w:hAnsi="Times New Roman"/>
          <w:i/>
          <w:sz w:val="20"/>
        </w:rPr>
        <w:t>provided</w:t>
      </w:r>
      <w:r>
        <w:rPr>
          <w:rFonts w:ascii="Times New Roman" w:hAnsi="Times New Roman"/>
          <w:sz w:val="20"/>
        </w:rPr>
        <w:t xml:space="preserve"> that payment by wire transfer of immediately available funds will be required with respect to principal of, premium, if any, on, and interest, if any, on, all Global Notes. Such payments will be in such coin or currency of the United States of America as at the time of payment is legal tender for payment of public and private debts. If the due date for any payment in respect of any Notes is not a Business Day at the place at which such payment is due to be paid, the Holders of such Notes will not be entitled to payment of the amount due until the next succeeding Business Day at such place, and will not be entitled to any further interest or other payment as a result of any such delay.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PAYING AGENT AND REGISTRAR</w:t>
      </w:r>
      <w:r>
        <w:rPr>
          <w:rFonts w:ascii="Times New Roman" w:hAnsi="Times New Roman"/>
          <w:sz w:val="20"/>
        </w:rPr>
        <w:t xml:space="preserve">. Initially, Truist Bank, the Trustee under the Indenture, will act as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change the Paying Agent or Registrar without prior notice to the Holders of the Notes. The Company or any of its Restricted Subsidiaries may act as Paying Agent or Registrar.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INDENTURE</w:t>
      </w:r>
      <w:r>
        <w:rPr>
          <w:rFonts w:ascii="Times New Roman" w:hAnsi="Times New Roman"/>
          <w:sz w:val="20"/>
        </w:rPr>
        <w:t>. The Company issued the Notes under an Indenture dated as of October 19, 2026 (the “</w:t>
      </w:r>
      <w:r>
        <w:rPr>
          <w:rFonts w:ascii="Times New Roman" w:hAnsi="Times New Roman"/>
          <w:i/>
          <w:sz w:val="20"/>
        </w:rPr>
        <w:t>Indenture</w:t>
      </w:r>
      <w:r>
        <w:rPr>
          <w:rFonts w:ascii="Times New Roman" w:hAnsi="Times New Roman"/>
          <w:sz w:val="20"/>
        </w:rPr>
        <w:t xml:space="preserve">”) among the Company, the Guarantors, the Trustee and the Notes Collateral Agent.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Indenture does not limit the aggregate principal amount of Notes that may be issued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November 1, 2029, the Company may on any one or more occasions redeem up to 40% of the aggregate principal amount of Notes issued under the Indenture, upon not less than 10 nor more than 60 days’ notice, at a redemption price equal to 109.500% of the principal amount of the Notes redeemed, plus accrued and unpaid interest, if any, to, but excluding, the date of redemption (subject to the rights of Holders of Notes on a relevant record date to receive interest on an Interest Payment Date occurring on or prior to the redemption date), with the net cash proceeds of an Equity Offering; </w:t>
      </w:r>
      <w:r>
        <w:rPr>
          <w:rFonts w:ascii="Times New Roman" w:hAnsi="Times New Roman"/>
          <w:i/>
          <w:sz w:val="20"/>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at least 50% of the aggregate principal amount of Notes originally issued under the Indenture (excluding Notes held by the Company, any direct or indirect parent of the Company and its Affiliates) remain outstanding immediately after the occurrence of such redemption (unless all such Notes are redeemed substantially concurrently); and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occurs within 180 days of the date of the closing of such Equity Offering. </w:t>
      </w:r>
    </w:p>
    <w:p>
      <w:pPr>
        <w:pStyle w:val="TextBody"/>
        <w:bidi w:val="0"/>
        <w:spacing w:before="240" w:after="0"/>
        <w:jc w:val="left"/>
        <w:rPr>
          <w:rFonts w:ascii="Times New Roman" w:hAnsi="Times New Roman"/>
          <w:sz w:val="20"/>
        </w:rPr>
      </w:pPr>
      <w:r>
        <w:rPr>
          <w:rFonts w:ascii="Times New Roman" w:hAnsi="Times New Roman"/>
          <w:sz w:val="20"/>
        </w:rPr>
        <w:t xml:space="preserve">(b) At any time prior to November 1, 2029, the Company may on any one or more occasions redeem all or a part of the Notes, upon not less than 10 nor more than 60 days’ notice, at a redemption price equal to 100% of the principal amount of the Notes redeemed, plus the Applicable Premium as of, and accrued and unpaid interest, if any, to, but excluding, the date of redemption, subject to the rights of Holders on a relevant record date to receive interest due on an Interest Payment Date occurring on or prior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Except pursuant to the preceding paragraphs (a) and (b), the Notes will not be redeemable at the Company’s option prior to November 1, 2029. </w:t>
      </w:r>
    </w:p>
    <w:p>
      <w:pPr>
        <w:pStyle w:val="TextBody"/>
        <w:bidi w:val="0"/>
        <w:spacing w:before="240" w:after="0"/>
        <w:jc w:val="left"/>
        <w:rPr>
          <w:rFonts w:ascii="Times New Roman" w:hAnsi="Times New Roman"/>
          <w:sz w:val="20"/>
        </w:rPr>
      </w:pPr>
      <w:r>
        <w:rPr>
          <w:rFonts w:ascii="Times New Roman" w:hAnsi="Times New Roman"/>
          <w:sz w:val="20"/>
        </w:rPr>
        <w:t xml:space="preserve">(d) On or after November 1, 2029, the Company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12-month period beginning on November 1 of each of the years indicated below, subject to the rights of Holders on a relevant record date to receive interest due on an Interest Payment Date occurring on or prior to the redemption date: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5"/>
        <w:gridCol w:w="402"/>
        <w:gridCol w:w="79"/>
        <w:gridCol w:w="1133"/>
        <w:gridCol w:w="280"/>
      </w:tblGrid>
      <w:tr>
        <w:trPr/>
        <w:tc>
          <w:tcPr>
            <w:tcW w:w="504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402"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104.750</w:t>
            </w:r>
          </w:p>
        </w:tc>
        <w:tc>
          <w:tcPr>
            <w:tcW w:w="280" w:type="dxa"/>
            <w:tcBorders/>
            <w:shd w:fill="CCEEFF" w:val="clear"/>
            <w:vAlign w:val="bottom"/>
          </w:tcPr>
          <w:p>
            <w:pPr>
              <w:pStyle w:val="TableContents"/>
              <w:bidi w:val="0"/>
              <w:spacing w:before="0" w:after="283"/>
              <w:jc w:val="left"/>
              <w:rPr/>
            </w:pPr>
            <w:r>
              <w:rPr/>
              <w:t>% </w:t>
            </w:r>
          </w:p>
        </w:tc>
      </w:tr>
      <w:tr>
        <w:trPr/>
        <w:tc>
          <w:tcPr>
            <w:tcW w:w="5045"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0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102.375</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4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100.000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the payment of the redemption price, interest will cease to accrue on the Notes or portions thereof called for redemption on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connection with any tender offer for the Notes, including a Change of Control Offer (as defined below), Collateral Advance Offer, Collateral Asset Sale Offer or Asset Sale Offer (as defined in the Indenture), if Holders of not less than 90% in aggregate principal amount of the outstanding Notes validly tender and do not withdraw such Notes in such tender offer and the Company, or any third party making such tender offer in lieu of the Company, purchases all of the Notes validly tendered and not withdrawn by such Holders, the Company or such third party will have the right upon not less than 10 nor more than 60 days’ prior notice, given not more than 30 days following such purchase date,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excluding, the date of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redemption of the Notes (including with the net cash proceeds of an Equity Offering), any such redemption may, at the Company’s discretion, be given prior to the completion of a transaction (including an Equity Offering, an incurrence of Indebtedness, a Change of Control or other transaction) and any redemption notice may, at the Company’s discretion, be subject to one or more conditions precedent, including, but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limited to, completion of a related transaction, and may include multiple amounts of Notes that may be redeemed and the conditions precedent applicable to such amounts. If such redemption is so subject to satisfaction of one or more conditions precedent, such notice shall describe each such condition, and if applicable, shall state that, in the Company’s discretion, the redemption date may be delayed until such time (including more than 60 days after the date the notice of redemption was mailed or delivered, including by electronic transmission) as any or all such conditions shall be satisfied, or such redemption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If the optional redemption date is on or after a record date and on or before the corresponding interest payment date, the accrued and unpaid interest to, but excluding, the redemption date will be paid on the redemption date to the Holder in whose name the Note is registered at the close of business on such record date in accordance with the applicable procedures of DTC, and no additional interest will be payable to Holders whose Notes will be subject to redemption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MANDATORY REDEMPTION</w:t>
      </w:r>
      <w:r>
        <w:rPr>
          <w:rFonts w:ascii="Times New Roman" w:hAnsi="Times New Roman"/>
          <w:sz w:val="20"/>
        </w:rPr>
        <w:t xml:space="preserve">. The Company is not required to make mandatory redemption or sinking fund payments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REPURCHASE AT THE OPTION OF 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there is a Change of Control, subject to certain exceptions, the Company will be required to make an offer (a “</w:t>
      </w:r>
      <w:r>
        <w:rPr>
          <w:rFonts w:ascii="Times New Roman" w:hAnsi="Times New Roman"/>
          <w:i/>
          <w:sz w:val="20"/>
        </w:rPr>
        <w:t>Change of Control Offer</w:t>
      </w:r>
      <w:r>
        <w:rPr>
          <w:rFonts w:ascii="Times New Roman" w:hAnsi="Times New Roman"/>
          <w:sz w:val="20"/>
        </w:rPr>
        <w:t xml:space="preserve">”) to each Holder to repurchase all or any part (equal to $1,000 or an integral multiple of $1,000 in excess thereof; </w:t>
      </w:r>
      <w:r>
        <w:rPr>
          <w:rFonts w:ascii="Times New Roman" w:hAnsi="Times New Roman"/>
          <w:i/>
          <w:sz w:val="20"/>
        </w:rPr>
        <w:t>provided</w:t>
      </w:r>
      <w:r>
        <w:rPr>
          <w:rFonts w:ascii="Times New Roman" w:hAnsi="Times New Roman"/>
          <w:sz w:val="20"/>
        </w:rPr>
        <w:t xml:space="preserve"> that any unpurchased portion of a Note must be in a minimum denomination of $2,000) of each Holder’s Notes at a purchase price in cash (the “</w:t>
      </w:r>
      <w:r>
        <w:rPr>
          <w:rFonts w:ascii="Times New Roman" w:hAnsi="Times New Roman"/>
          <w:i/>
          <w:sz w:val="20"/>
        </w:rPr>
        <w:t>Change of Control Payment</w:t>
      </w:r>
      <w:r>
        <w:rPr>
          <w:rFonts w:ascii="Times New Roman" w:hAnsi="Times New Roman"/>
          <w:sz w:val="20"/>
        </w:rPr>
        <w:t>”) equal to 101% of the aggregate principal amount thereof plus accrued and unpaid interest, if any, thereon to, but excluding, the date of purchase, subject to the rights of Holders on a relevant record date to receive interest due on an Interest Payment Date occurring on or prior to the purchase date (the “</w:t>
      </w:r>
      <w:r>
        <w:rPr>
          <w:rFonts w:ascii="Times New Roman" w:hAnsi="Times New Roman"/>
          <w:i/>
          <w:sz w:val="20"/>
        </w:rPr>
        <w:t>Change of Control Payment Date</w:t>
      </w:r>
      <w:r>
        <w:rPr>
          <w:rFonts w:ascii="Times New Roman" w:hAnsi="Times New Roman"/>
          <w:sz w:val="20"/>
        </w:rPr>
        <w:t xml:space="preserve">”) (it being understood that to the extent any cash proceeds of a Change of Control are required to prepay the Obligations under the Credit Agreement pursuant to the terms thereof, the Company will be required to first apply such cash proceeds to prepay such Obligations under the Credit Agreement but the Company will still be required to make a Change of Control Offer). Within 30 days following any Change of Control, subject to certain exceptions, the Company will deliver or cause to be delivered a notice to each Holder setting forth the procedures governing the Change of Control Offer as required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occurrence of certain Asset Sales, the Company may be required to offer to repurchase the Notes as required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NOTICE OF REDEMPTION</w:t>
      </w:r>
      <w:r>
        <w:rPr>
          <w:rFonts w:ascii="Times New Roman" w:hAnsi="Times New Roman"/>
          <w:sz w:val="20"/>
        </w:rPr>
        <w:t>. At least 10 days but not more than 60 days before a redemption date, the Company will mail or cause to be mailed, by first class mail, a notice of redemption to each Holder whose Notes are to be redeemed at its registered address or otherwise in accordance with the applicable procedures of DTC, except that redemption notices may be mailed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w:t>
      </w:r>
      <w:r>
        <w:rPr>
          <w:rFonts w:ascii="Times New Roman" w:hAnsi="Times New Roman"/>
          <w:i/>
          <w:sz w:val="20"/>
        </w:rPr>
        <w:t>provided</w:t>
      </w:r>
      <w:r>
        <w:rPr>
          <w:rFonts w:ascii="Times New Roman" w:hAnsi="Times New Roman"/>
          <w:sz w:val="20"/>
        </w:rPr>
        <w:t xml:space="preserve">, that any unpurchased portion of a Note must be in a minimum denomination of $2,000); except that if all of the Notes of a Holder are to be redeemed or purchased, the entire outstanding amount of Notes held by such Holder shall be redeemed or purchased.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DENOMINATIONS, TRANSFER, EXCHANGE</w:t>
      </w:r>
      <w:r>
        <w:rPr>
          <w:rFonts w:ascii="Times New Roman" w:hAnsi="Times New Roman"/>
          <w:sz w:val="20"/>
        </w:rPr>
        <w:t xml:space="preserve">.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in connection with a transfer of Notes. Holders will be required to pay all taxes due on transfer.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PERSONS DEEMED OWNERS</w:t>
      </w:r>
      <w:r>
        <w:rPr>
          <w:rFonts w:ascii="Times New Roman" w:hAnsi="Times New Roman"/>
          <w:sz w:val="20"/>
        </w:rPr>
        <w:t xml:space="preserve">. The registered Holder of a Note may be treated as its owner for all purposes. Only registered Holders have rights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AMENDMENT, SUPPLEMENT AND WAIVER</w:t>
      </w:r>
      <w:r>
        <w:rPr>
          <w:rFonts w:ascii="Times New Roman" w:hAnsi="Times New Roman"/>
          <w:sz w:val="20"/>
        </w:rPr>
        <w:t xml:space="preserve">. Subject to certain exceptions, the Indenture, the Notes or the Note Guarantees may be amended or supplemented with the consent of the Holders of at least a majority in aggregate principal amount of the then outstanding Notes including Additional Notes, if any, voting as a single class (including, without limitation, consents obtained in connection with a tender offer or exchange offer for, or purchase of, the Notes), and any existing Default or Event of Default (other than a Default or Event of Default in the payment of the principal of, premium on, if any, or interest, if any, on the Notes, except a payment default resulting from an acceleration that has been rescinded) or compliance with any provision of the Indenture or the Notes or the Note Guarantees may be waived with the consent of the Holders of a majority in aggregate principal amount of the then outstanding Notes including Additional Notes, if any, voting as a single class (including, without limitation, consents obtained in connection with a tender offer or exchange offer for, or purchase of, the Notes). Without the consent of any Holder of Notes, the Indenture, the Notes or the Note Guarantees may be amended or supplemented to cure any ambiguity, omission, mistake, defect, error or inconsistency; to provide for uncertificated Notes in addition to or in place of certificated Notes or to alter the provisions of the Indenture relating to the form of the Notes (including related definitions); to provide for the assumption of the Company’s or any Guarantor’s obligations to Holders of the Notes and Note Guarantees by a successor to the Company or such Guarantor pursuant to the Indenture; to make any change that would provide any additional rights or benefits to the Holders of the Notes or that does not adversely affect the legal rights under the Indenture of any Holder in any material respects; at the Company’s election, to comply with any requirement of the SEC in order to effect or maintain the qualification of the Indenture under the TIA; to conform the text of the Indenture, the Notes or the Note Guarantees to any provision of the “Description of the Notes” section of the Offering Memorandum or reduce the minimum denominations of the Notes; to allow any Restricted Subsidiary to execute a supplemental indenture to the Indenture and/or a Note Guarantee with respect to the Notes, to add Note Guarantees, to add security to or for the benefit of the Notes or guarantees, or to confirm and evidence the release, termination, discharge or retaking of any Note Guarantee or Lien with respect to or securing the Notes when such release, termination, discharge or retaking is provided for under the Indenture; to secure Additional First Lien Obligations incurred in compliance with the Indenture and the Security Documents; to release Collateral as permitted by the Indenture and the Security Documents; to evidence and provide for the acceptance and appointment under the Indenture of a successor trustee, successor notes collateral agent or a successor paying agent pursuant to the requirements therefor to make such provisions as necessary for the issuance of Additional Notes, to make any amendment to the provisions of the Indenture relating to the transfer and legending of Notes as permitted by the Indenture, including to facilitate the issuance and administration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amendment does not materially and adversely affect the rights of Holders to transfer the Notes, to comply with the rules and procedures of any applicable securities depositary, and to make any amendment to the provisions of the Indenture, the Note Guarantees and/or the Notes to eliminate the effect of any Accounting Change or in the application thereof as described in the last paragraph of the definition of “GAAP” in the Indenture; in the case of any Security Document, include therein any legend required to be set forth therein pursuant to the First Lien Intercreditor Agreement or to modify any such legend as required by the First Lien Intercreditor Agreement; enter into any intercreditor agreement having substantially similar terms with respect to the Holders as those set forth in the First Lien Intercreditor Agreement, taken as a whole, or any joinder thereto or enter into the Junior Lien Intercreditor Agreement or any intercreditor agreement having substantially similar terms with respect to the Holders as those set forth in the Junior Lien Intercreditor Agreement, taken as a whole, or any joinder thereto; mortgage, pledge, hypothecate or grant any other Lien in favor of the Trustee or the Notes Collateral Agent for the benefit of the Holders, as additional security for the payment and performance of all or any portion of the First Lien Notes Obligations, in any property or assets, including any which are required to be mortgaged, pledged or hypothecated, or in which a Lien is required to be granted to or for the benefit of the Trustee or the Notes Collateral Agent pursuant to the Indenture, any of the Security Documents or otherwise; and provide for the succession of any parties to the Security Documents (and other amendments that are administrative or ministerial in nature) in connection with an amendment, renewal, extension, substitution, refinancing, restructuring, replacement, supplementing or other modification from time to time of the Credit Agreement or any other agreement relating to First Lien Obligations that is not prohibited by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DEFAULTS AND REMEDIES</w:t>
      </w:r>
      <w:r>
        <w:rPr>
          <w:rFonts w:ascii="Times New Roman" w:hAnsi="Times New Roman"/>
          <w:sz w:val="20"/>
        </w:rPr>
        <w:t xml:space="preserve">. The Notes are subject to the Defaults and Events of Default set forth in Section 6.01 of the Indenture. The Holders of a majority in aggregate principal amount of the then outstanding Notes by written notice to the Trustee may, on behalf of the Holders of all the Notes, rescind an acceleration or waive all past and any existing Default or Event of Default and its respective consequences under the Indenture except a continuing Default or Event of Default in the payment of principal of, premium on, if any, or interest, if any, subject to the First Lien Intercreditor Agreement, on, the Notes (except nonpayment of principal, premium, if any, or interest on the Notes that became due solely because of the acceleration of the Notes). The Company and the Guarantors are required to deliver to the Trustee annually a statement regarding compliance with the Indenture, and the Company is required, upon becoming aware of any Default or Event of Default, to deliver to the Trustee a statement specifying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TRUSTEE DEALINGS WITH COMPANY</w:t>
      </w:r>
      <w:r>
        <w:rPr>
          <w:rFonts w:ascii="Times New Roman" w:hAnsi="Times New Roman"/>
          <w:sz w:val="20"/>
        </w:rPr>
        <w:t xml:space="preserve">. The Trustee, in its individual or any other capacity, may make loans to, accept deposits from, and perform services for the Company or its Affiliates, and may otherwise deal with the Company or its Affiliates,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NO RECOURSE AGAINST OTHERS</w:t>
      </w:r>
      <w:r>
        <w:rPr>
          <w:rFonts w:ascii="Times New Roman" w:hAnsi="Times New Roman"/>
          <w:sz w:val="20"/>
        </w:rPr>
        <w:t xml:space="preserve">. No director, officer, employee, incorporator or stockholder of the Company or any of its Subsidiaries or Affiliates,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AUTHENTICATION</w:t>
      </w:r>
      <w:r>
        <w:rPr>
          <w:rFonts w:ascii="Times New Roman" w:hAnsi="Times New Roman"/>
          <w:sz w:val="20"/>
        </w:rPr>
        <w:t xml:space="preserve">. This Note will not be valid until authenticated by the manual signature of an authorized signatory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CUSIP NUMBERS</w:t>
      </w:r>
      <w:r>
        <w:rPr>
          <w:rFonts w:ascii="Times New Roman" w:hAnsi="Times New Roman"/>
          <w:sz w:val="20"/>
        </w:rPr>
        <w:t xml:space="preserve">.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GOVERNING LAW</w:t>
      </w:r>
      <w:r>
        <w:rPr>
          <w:rFonts w:ascii="Times New Roman" w:hAnsi="Times New Roman"/>
          <w:sz w:val="20"/>
        </w:rPr>
        <w:t xml:space="preserve">. THE INTERNAL LAW OF THE STATE OF NEW YORK WILL GOVERN AND BE USED TO CONSTRUE THE INDENTURE, THIS NOTE AND THE NOTE GUARANTEES WITHOUT GIVING EFFECT TO APPLICABLE PRINCIPLES OF CONFLICTS OF LAW TO THE EXTENT THAT THE APPLICATION OF THE LAWS OF ANOTHER JURISDICTION WOULD BE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SUCCESSOR ENTITY</w:t>
      </w:r>
      <w:r>
        <w:rPr>
          <w:rFonts w:ascii="Times New Roman" w:hAnsi="Times New Roman"/>
          <w:sz w:val="20"/>
        </w:rPr>
        <w:t xml:space="preserve">. When a successor entity assumes, in accordance with the Indenture, all the obligations of its predecessor under the Notes, the Security Documents and the Indenture, and immediately before and thereafter no Default or Event of Default exists and all other conditions of the Indenture are satisfied, the predecessor entity will be released from those obligations.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i/>
          <w:sz w:val="20"/>
        </w:rPr>
        <w:t>SECURITY</w:t>
      </w:r>
      <w:r>
        <w:rPr>
          <w:rFonts w:ascii="Times New Roman" w:hAnsi="Times New Roman"/>
          <w:sz w:val="20"/>
        </w:rPr>
        <w:t xml:space="preserve">. The Notes and the related Guarantees will be secured by the Collateral on the terms and subject to the conditions set forth in the Indenture and the Security Documents. The Trustee and the Notes Collateral Agent, as the case may be, hold the Collateral in trust for the benefit of the Holders of the Notes, in each case pursuant to the Security Documents and the First Lien Intercreditor Agreement and Junior Lien Intercreditor Agreement, if any. Each Holder, by accepting this Note, consents and agrees to the terms of the Security Documents (including the provisions providing for the foreclosure and release of Collateral) and the First Lien Intercreditor Agreement and Junior Lien Intercreditor Agreement, if any, each as may be in effect or may be amended from time to time in accordance with their terms and the Indenture, and authorizes and directs the Notes Collateral Agent to enter into the Security Documents and the First Lien Intercreditor Agreement on the Issue Date, and the Security Documents and the Junior Lien Intercreditor Agreement, if any, at any time after the Issue Date, if applicable, and to perform its obligations and exercise its rights thereunder in accordance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furnish to any Holder upon written request and without charge a copy of the Indenture. Requests may be made to: </w:t>
      </w:r>
    </w:p>
    <w:p>
      <w:pPr>
        <w:pStyle w:val="TextBody"/>
        <w:bidi w:val="0"/>
        <w:spacing w:before="120" w:after="0"/>
        <w:jc w:val="left"/>
        <w:rPr>
          <w:rFonts w:ascii="Times New Roman" w:hAnsi="Times New Roman"/>
          <w:sz w:val="20"/>
        </w:rPr>
      </w:pPr>
      <w:r>
        <w:rPr>
          <w:rFonts w:ascii="Times New Roman" w:hAnsi="Times New Roman"/>
          <w:sz w:val="20"/>
        </w:rPr>
        <w:t xml:space="preserve">Integra LifeSciences Holdings Corporation </w:t>
      </w:r>
    </w:p>
    <w:p>
      <w:pPr>
        <w:pStyle w:val="TextBody"/>
        <w:bidi w:val="0"/>
        <w:spacing w:before="0" w:after="0"/>
        <w:jc w:val="left"/>
        <w:rPr>
          <w:rFonts w:ascii="Times New Roman" w:hAnsi="Times New Roman"/>
          <w:sz w:val="20"/>
        </w:rPr>
      </w:pPr>
      <w:r>
        <w:rPr>
          <w:rFonts w:ascii="Times New Roman" w:hAnsi="Times New Roman"/>
          <w:sz w:val="20"/>
        </w:rPr>
        <w:t xml:space="preserve">1100 Campus Road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0" w:after="0"/>
        <w:jc w:val="left"/>
        <w:rPr>
          <w:rFonts w:ascii="Times New Roman" w:hAnsi="Times New Roman"/>
          <w:sz w:val="20"/>
        </w:rPr>
      </w:pPr>
      <w:r>
        <w:rPr>
          <w:rFonts w:ascii="Times New Roman" w:hAnsi="Times New Roman"/>
          <w:sz w:val="20"/>
        </w:rPr>
        <w:t xml:space="preserve">Attention: Timothy Swiss, Vice President, Treasurer and Lesha Shinn, Corporate Vice President, Chief Legal </w:t>
      </w:r>
    </w:p>
    <w:p>
      <w:pPr>
        <w:pStyle w:val="TextBody"/>
        <w:bidi w:val="0"/>
        <w:spacing w:before="0" w:after="0"/>
        <w:jc w:val="left"/>
        <w:rPr>
          <w:rFonts w:ascii="Times New Roman" w:hAnsi="Times New Roman"/>
          <w:sz w:val="20"/>
        </w:rPr>
      </w:pPr>
      <w:r>
        <w:rPr>
          <w:rFonts w:ascii="Times New Roman" w:hAnsi="Times New Roman"/>
          <w:sz w:val="20"/>
        </w:rPr>
        <w:t xml:space="preserve">Officer &amp;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9"/>
        <w:gridCol w:w="122"/>
        <w:gridCol w:w="6604"/>
      </w:tblGrid>
      <w:tr>
        <w:trPr/>
        <w:tc>
          <w:tcPr>
            <w:tcW w:w="347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604" w:type="dxa"/>
            <w:tcBorders/>
            <w:vAlign w:val="center"/>
          </w:tcPr>
          <w:p>
            <w:pPr>
              <w:pStyle w:val="TableContents"/>
              <w:bidi w:val="0"/>
              <w:spacing w:before="0" w:after="283"/>
              <w:jc w:val="left"/>
              <w:rPr>
                <w:sz w:val="4"/>
                <w:szCs w:val="4"/>
              </w:rPr>
            </w:pPr>
            <w:r>
              <w:rPr>
                <w:sz w:val="4"/>
                <w:szCs w:val="4"/>
              </w:rPr>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(I) or (we) assign and transfer this Note to: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6604" w:type="dxa"/>
            <w:tcBorders>
              <w:bottom w:val="single" w:sz="2" w:space="0" w:color="000000"/>
            </w:tcBorders>
            <w:tcMar>
              <w:bottom w:w="28" w:type="dxa"/>
            </w:tcMar>
          </w:tcPr>
          <w:p>
            <w:pPr>
              <w:pStyle w:val="TableContents"/>
              <w:bidi w:val="0"/>
              <w:spacing w:before="0" w:after="283"/>
              <w:jc w:val="left"/>
              <w:rPr/>
            </w:pPr>
            <w:r>
              <w:rPr/>
              <w:t> </w:t>
            </w:r>
          </w:p>
        </w:tc>
      </w:tr>
    </w:tbl>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center"/>
              <w:rPr>
                <w:rFonts w:ascii="Times New Roman" w:hAnsi="Times New Roman"/>
                <w:sz w:val="20"/>
              </w:rPr>
            </w:pPr>
            <w:r>
              <w:rPr>
                <w:rFonts w:ascii="Times New Roman" w:hAnsi="Times New Roman"/>
                <w:sz w:val="20"/>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______________________________________________________attorney to transfer this Note on the books of the Company. The attorney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90"/>
        <w:gridCol w:w="63"/>
        <w:gridCol w:w="2529"/>
      </w:tblGrid>
      <w:tr>
        <w:trPr/>
        <w:tc>
          <w:tcPr>
            <w:tcW w:w="149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r>
      <w:tr>
        <w:trPr/>
        <w:tc>
          <w:tcPr>
            <w:tcW w:w="1490" w:type="dxa"/>
            <w:tcBorders/>
          </w:tcPr>
          <w:p>
            <w:pPr>
              <w:pStyle w:val="TableContents"/>
              <w:bidi w:val="0"/>
              <w:spacing w:before="0" w:after="283"/>
              <w:jc w:val="left"/>
              <w:rPr/>
            </w:pPr>
            <w:r>
              <w:rPr/>
              <w:t>Your Signature:</w:t>
            </w:r>
          </w:p>
        </w:tc>
        <w:tc>
          <w:tcPr>
            <w:tcW w:w="63" w:type="dxa"/>
            <w:tcBorders/>
            <w:vAlign w:val="bottom"/>
          </w:tcPr>
          <w:p>
            <w:pPr>
              <w:pStyle w:val="TableContents"/>
              <w:bidi w:val="0"/>
              <w:spacing w:before="0" w:after="283"/>
              <w:jc w:val="left"/>
              <w:rPr/>
            </w:pPr>
            <w:r>
              <w:rPr/>
              <w:t> </w:t>
            </w:r>
          </w:p>
        </w:tc>
        <w:tc>
          <w:tcPr>
            <w:tcW w:w="2529" w:type="dxa"/>
            <w:tcBorders/>
          </w:tcPr>
          <w:p>
            <w:pPr>
              <w:pStyle w:val="TableContents"/>
              <w:pBdr>
                <w:bottom w:val="single" w:sz="2" w:space="1" w:color="000000"/>
              </w:pBdr>
              <w:bidi w:val="0"/>
              <w:spacing w:before="0" w:after="20"/>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529"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Signature Guarantee*:</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Note purchased by the Company pursuant to Section 4.10 or Section 4.14 of the Indenture, check the appropriate box below: </w:t>
      </w:r>
    </w:p>
    <w:p>
      <w:pPr>
        <w:pStyle w:val="TextBody"/>
        <w:bidi w:val="0"/>
        <w:spacing w:before="120" w:after="0"/>
        <w:jc w:val="center"/>
        <w:rPr/>
      </w:pPr>
      <w:r>
        <w:rPr/>
        <w:t xml:space="preserve">☐ </w:t>
      </w:r>
      <w:r>
        <w:rPr>
          <w:rFonts w:ascii="Times New Roman" w:hAnsi="Times New Roman"/>
          <w:sz w:val="20"/>
        </w:rPr>
        <w:t xml:space="preserve">Section 4.10   ☐ Section 4.14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Note purchased by the Company pursuant to Section 4.10 or Section 4.14 of the Indenture, state the amount you elect to have purchased: </w:t>
      </w:r>
    </w:p>
    <w:p>
      <w:pPr>
        <w:pStyle w:val="TextBody"/>
        <w:bidi w:val="0"/>
        <w:spacing w:before="120" w:after="0"/>
        <w:jc w:val="left"/>
        <w:rPr>
          <w:rFonts w:ascii="Times New Roman" w:hAnsi="Times New Roman"/>
          <w:sz w:val="20"/>
        </w:rPr>
      </w:pPr>
      <w:r>
        <w:rPr>
          <w:rFonts w:ascii="Times New Roman" w:hAnsi="Times New Roman"/>
          <w:sz w:val="20"/>
        </w:rPr>
        <w:t xml:space="preserve">$_______ ($1,000 or an integral multiple of $1,000 in excess thereof, </w:t>
      </w:r>
      <w:r>
        <w:rPr>
          <w:rFonts w:ascii="Times New Roman" w:hAnsi="Times New Roman"/>
          <w:i/>
          <w:sz w:val="20"/>
        </w:rPr>
        <w:t>provided</w:t>
      </w:r>
      <w:r>
        <w:rPr>
          <w:rFonts w:ascii="Times New Roman" w:hAnsi="Times New Roman"/>
          <w:sz w:val="20"/>
        </w:rPr>
        <w:t xml:space="preserve"> that the unpurchased portion of the Note shall be in a minimum principal amount of $2,000) </w:t>
      </w:r>
    </w:p>
    <w:p>
      <w:pPr>
        <w:pStyle w:val="TextBody"/>
        <w:bidi w:val="0"/>
        <w:spacing w:before="240" w:after="0"/>
        <w:jc w:val="left"/>
        <w:rPr>
          <w:rFonts w:ascii="Times New Roman" w:hAnsi="Times New Roman"/>
          <w:sz w:val="20"/>
        </w:rPr>
      </w:pPr>
      <w:r>
        <w:rPr>
          <w:rFonts w:ascii="Times New Roman" w:hAnsi="Times New Roman"/>
          <w:sz w:val="20"/>
        </w:rPr>
        <w:t>Date:</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646" w:type="dxa"/>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76" w:type="dxa"/>
            <w:tcBorders>
              <w:bottom w:val="single" w:sz="2" w:space="0" w:color="000000"/>
            </w:tcBorders>
            <w:tcMar>
              <w:bottom w:w="28" w:type="dxa"/>
            </w:tcMar>
          </w:tcPr>
          <w:p>
            <w:pPr>
              <w:pStyle w:val="TableContents"/>
              <w:bidi w:val="0"/>
              <w:spacing w:before="0" w:after="283"/>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vAlign w:val="bottom"/>
          </w:tcPr>
          <w:p>
            <w:pPr>
              <w:pStyle w:val="TableContents"/>
              <w:bidi w:val="0"/>
              <w:spacing w:before="0" w:after="283"/>
              <w:jc w:val="left"/>
              <w:rPr/>
            </w:pPr>
            <w:r>
              <w:rPr/>
              <w:t>(Sign exactly as your name appears on the face of this Note)</w:t>
            </w:r>
          </w:p>
        </w:tc>
      </w:tr>
    </w:tbl>
    <w:tbl>
      <w:tblPr>
        <w:tblW w:w="2000" w:type="pct"/>
        <w:jc w:val="right"/>
        <w:tblInd w:w="0" w:type="dxa"/>
        <w:tblLayout w:type="fixed"/>
        <w:tblCellMar>
          <w:top w:w="0" w:type="dxa"/>
          <w:left w:w="0" w:type="dxa"/>
          <w:bottom w:w="0" w:type="dxa"/>
          <w:right w:w="0" w:type="dxa"/>
        </w:tblCellMar>
      </w:tblPr>
      <w:tblGrid>
        <w:gridCol w:w="1266"/>
        <w:gridCol w:w="1246"/>
        <w:gridCol w:w="1570"/>
      </w:tblGrid>
      <w:tr>
        <w:trPr/>
        <w:tc>
          <w:tcPr>
            <w:tcW w:w="1266" w:type="dxa"/>
            <w:tcBorders/>
            <w:vAlign w:val="center"/>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Tax Identification No.: </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7"/>
        <w:gridCol w:w="120"/>
        <w:gridCol w:w="1787"/>
        <w:gridCol w:w="120"/>
        <w:gridCol w:w="1787"/>
        <w:gridCol w:w="120"/>
        <w:gridCol w:w="2041"/>
        <w:gridCol w:w="120"/>
        <w:gridCol w:w="1963"/>
      </w:tblGrid>
      <w:tr>
        <w:trPr/>
        <w:tc>
          <w:tcPr>
            <w:tcW w:w="21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21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of Exchange</w:t>
            </w:r>
          </w:p>
        </w:tc>
        <w:tc>
          <w:tcPr>
            <w:tcW w:w="120" w:type="dxa"/>
            <w:tcBorders/>
            <w:vAlign w:val="bottom"/>
          </w:tcPr>
          <w:p>
            <w:pPr>
              <w:pStyle w:val="TableContents"/>
              <w:bidi w:val="0"/>
              <w:spacing w:before="0" w:after="283"/>
              <w:jc w:val="left"/>
              <w:rPr/>
            </w:pPr>
            <w:r>
              <w:rPr/>
              <w:t>  </w:t>
            </w:r>
          </w:p>
        </w:tc>
        <w:tc>
          <w:tcPr>
            <w:tcW w:w="178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 in</w:t>
            </w:r>
          </w:p>
          <w:p>
            <w:pPr>
              <w:pStyle w:val="TableContents"/>
              <w:bidi w:val="0"/>
              <w:spacing w:before="0" w:after="0"/>
              <w:jc w:val="center"/>
              <w:rPr>
                <w:rFonts w:ascii="Times New Roman" w:hAnsi="Times New Roman"/>
                <w:sz w:val="16"/>
              </w:rPr>
            </w:pPr>
            <w:r>
              <w:rPr>
                <w:rFonts w:ascii="Times New Roman" w:hAnsi="Times New Roman"/>
                <w:sz w:val="16"/>
              </w:rP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20" w:type="dxa"/>
            <w:tcBorders/>
            <w:vAlign w:val="bottom"/>
          </w:tcPr>
          <w:p>
            <w:pPr>
              <w:pStyle w:val="TableContents"/>
              <w:bidi w:val="0"/>
              <w:spacing w:before="0" w:after="283"/>
              <w:jc w:val="left"/>
              <w:rPr/>
            </w:pPr>
            <w:r>
              <w:rPr/>
              <w:t>  </w:t>
            </w:r>
          </w:p>
        </w:tc>
        <w:tc>
          <w:tcPr>
            <w:tcW w:w="178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 in</w:t>
            </w:r>
          </w:p>
          <w:p>
            <w:pPr>
              <w:pStyle w:val="TableContents"/>
              <w:bidi w:val="0"/>
              <w:spacing w:before="0" w:after="0"/>
              <w:jc w:val="center"/>
              <w:rPr>
                <w:rFonts w:ascii="Times New Roman" w:hAnsi="Times New Roman"/>
                <w:sz w:val="16"/>
              </w:rPr>
            </w:pPr>
            <w:r>
              <w:rPr>
                <w:rFonts w:ascii="Times New Roman" w:hAnsi="Times New Roman"/>
                <w:sz w:val="16"/>
              </w:rPr>
              <w:t>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20"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Principal Amount of this</w:t>
              <w:br/>
              <w:t>Global Note following such</w:t>
              <w:br/>
              <w:t>decrease (or increase)</w:t>
            </w:r>
          </w:p>
        </w:tc>
        <w:tc>
          <w:tcPr>
            <w:tcW w:w="120" w:type="dxa"/>
            <w:tcBorders/>
            <w:vAlign w:val="bottom"/>
          </w:tcPr>
          <w:p>
            <w:pPr>
              <w:pStyle w:val="TableContents"/>
              <w:bidi w:val="0"/>
              <w:spacing w:before="0" w:after="283"/>
              <w:jc w:val="left"/>
              <w:rPr/>
            </w:pPr>
            <w:r>
              <w:rPr/>
              <w:t>  </w:t>
            </w:r>
          </w:p>
        </w:tc>
        <w:tc>
          <w:tcPr>
            <w:tcW w:w="19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 of</w:t>
              <w:br/>
              <w:t>authorized officer of</w:t>
              <w:br/>
              <w:t>Trustee or Custodian</w:t>
            </w:r>
          </w:p>
        </w:tc>
      </w:tr>
      <w:tr>
        <w:trPr/>
        <w:tc>
          <w:tcPr>
            <w:tcW w:w="214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8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8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041"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963" w:type="dxa"/>
            <w:tcBorders/>
          </w:tcPr>
          <w:p>
            <w:pPr>
              <w:pStyle w:val="TableContents"/>
              <w:pBdr>
                <w:bottom w:val="single" w:sz="2" w:space="1" w:color="000000"/>
              </w:pBdr>
              <w:bidi w:val="0"/>
              <w:spacing w:before="0" w:after="20"/>
              <w:jc w:val="left"/>
              <w:rPr/>
            </w:pPr>
            <w:r>
              <w:rPr/>
              <w:t> </w:t>
            </w:r>
          </w:p>
        </w:tc>
      </w:tr>
      <w:tr>
        <w:trPr/>
        <w:tc>
          <w:tcPr>
            <w:tcW w:w="214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8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8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041"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963" w:type="dxa"/>
            <w:tcBorders/>
          </w:tcPr>
          <w:p>
            <w:pPr>
              <w:pStyle w:val="TableContents"/>
              <w:pBdr>
                <w:bottom w:val="single" w:sz="2" w:space="1" w:color="000000"/>
              </w:pBdr>
              <w:bidi w:val="0"/>
              <w:spacing w:before="0" w:after="20"/>
              <w:jc w:val="left"/>
              <w:rPr/>
            </w:pPr>
            <w:r>
              <w:rPr/>
              <w:t> </w:t>
            </w:r>
          </w:p>
        </w:tc>
      </w:tr>
      <w:tr>
        <w:trPr/>
        <w:tc>
          <w:tcPr>
            <w:tcW w:w="214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8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8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041"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963" w:type="dxa"/>
            <w:tcBorders/>
          </w:tcPr>
          <w:p>
            <w:pPr>
              <w:pStyle w:val="TableContents"/>
              <w:pBdr>
                <w:bottom w:val="single" w:sz="2" w:space="1" w:color="000000"/>
              </w:pBdr>
              <w:bidi w:val="0"/>
              <w:spacing w:before="0" w:after="20"/>
              <w:jc w:val="left"/>
              <w:rPr/>
            </w:pPr>
            <w:r>
              <w:rPr/>
              <w:t> </w:t>
            </w:r>
          </w:p>
        </w:tc>
      </w:tr>
      <w:tr>
        <w:trPr/>
        <w:tc>
          <w:tcPr>
            <w:tcW w:w="214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8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87"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041"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963"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Note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A-13 </w:t>
      </w:r>
    </w:p>
    <w:p>
      <w:pPr>
        <w:pStyle w:val="TextBody"/>
        <w:bidi w:val="0"/>
        <w:spacing w:before="0" w:after="0"/>
        <w:jc w:val="right"/>
        <w:rPr>
          <w:rFonts w:ascii="Times New Roman" w:hAnsi="Times New Roman"/>
          <w:sz w:val="20"/>
        </w:rPr>
      </w:pPr>
      <w:bookmarkStart w:id="4" w:name="d142199dex101.htm"/>
      <w:bookmarkStart w:id="5" w:name="ksd142199dex101"/>
      <w:bookmarkEnd w:id="4"/>
      <w:bookmarkEnd w:id="5"/>
      <w:r>
        <w:rPr>
          <w:rFonts w:ascii="Times New Roman" w:hAnsi="Times New Roman"/>
          <w:sz w:val="20"/>
        </w:rPr>
        <w:t xml:space="preserve">Exhibit 10.1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right"/>
        <w:rPr>
          <w:rFonts w:ascii="Times New Roman" w:hAnsi="Times New Roman"/>
          <w:sz w:val="20"/>
        </w:rPr>
      </w:pPr>
      <w:r>
        <w:rPr>
          <w:rFonts w:ascii="Times New Roman" w:hAnsi="Times New Roman"/>
          <w:sz w:val="20"/>
        </w:rPr>
        <w:t xml:space="preserve">Published CUSIP Number: 45810CAW8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CUSIP Number: 45810CAX6 </w:t>
      </w:r>
    </w:p>
    <w:p>
      <w:pPr>
        <w:pStyle w:val="TextBody"/>
        <w:bidi w:val="0"/>
        <w:spacing w:before="0" w:after="0"/>
        <w:jc w:val="right"/>
        <w:rPr>
          <w:rFonts w:ascii="Times New Roman" w:hAnsi="Times New Roman"/>
          <w:sz w:val="20"/>
        </w:rPr>
      </w:pPr>
      <w:r>
        <w:rPr>
          <w:rFonts w:ascii="Times New Roman" w:hAnsi="Times New Roman"/>
          <w:sz w:val="20"/>
        </w:rPr>
        <w:t xml:space="preserve">Term A Loan CUSIP Number: 45810CAY4 </w:t>
      </w:r>
    </w:p>
    <w:p>
      <w:pPr>
        <w:pStyle w:val="TextBody"/>
        <w:bidi w:val="0"/>
        <w:spacing w:before="0" w:after="0"/>
        <w:jc w:val="right"/>
        <w:rPr>
          <w:rFonts w:ascii="Times New Roman" w:hAnsi="Times New Roman"/>
          <w:sz w:val="20"/>
        </w:rPr>
      </w:pPr>
      <w:r>
        <w:rPr>
          <w:rFonts w:ascii="Times New Roman" w:hAnsi="Times New Roman"/>
          <w:sz w:val="20"/>
        </w:rPr>
        <w:t xml:space="preserve">Term B Loan CUSIP Number: 45810CAZ1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19,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INTEGRA LIFESCIENCES HOLDINGS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b/>
          <w:sz w:val="20"/>
        </w:rPr>
        <w:t>BANK OF AMERICA, N.A.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as the Swing Line Lender </w:t>
      </w:r>
    </w:p>
    <w:p>
      <w:pPr>
        <w:pStyle w:val="TextBody"/>
        <w:bidi w:val="0"/>
        <w:spacing w:before="0" w:after="0"/>
        <w:jc w:val="center"/>
        <w:rPr>
          <w:rFonts w:ascii="Times New Roman" w:hAnsi="Times New Roman"/>
          <w:sz w:val="20"/>
        </w:rPr>
      </w:pPr>
      <w:r>
        <w:rPr>
          <w:rFonts w:ascii="Times New Roman" w:hAnsi="Times New Roman"/>
          <w:sz w:val="20"/>
        </w:rPr>
        <w:t xml:space="preserve">and an L/C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JPMORGAN CHASE BANK, N.A., CITIBANK, N.A., CITIZENS BANK, N.A., DNB CARNEGIE, INC., PNC BANK, NATIONAL </w:t>
      </w:r>
    </w:p>
    <w:p>
      <w:pPr>
        <w:pStyle w:val="TextBody"/>
        <w:bidi w:val="0"/>
        <w:spacing w:before="0" w:after="0"/>
        <w:jc w:val="center"/>
        <w:rPr>
          <w:rFonts w:ascii="Times New Roman" w:hAnsi="Times New Roman"/>
          <w:b/>
          <w:sz w:val="20"/>
        </w:rPr>
      </w:pPr>
      <w:r>
        <w:rPr>
          <w:rFonts w:ascii="Times New Roman" w:hAnsi="Times New Roman"/>
          <w:b/>
          <w:sz w:val="20"/>
        </w:rPr>
        <w:t xml:space="preserve">ASSOCIATION, TRUIST BANK, CAPITAL ONE, NATIONAL ASSOCIATION, GOLDMAN SACHS BANK USA, WELLS </w:t>
      </w:r>
    </w:p>
    <w:p>
      <w:pPr>
        <w:pStyle w:val="TextBody"/>
        <w:bidi w:val="0"/>
        <w:spacing w:before="0" w:after="0"/>
        <w:jc w:val="center"/>
        <w:rPr>
          <w:rFonts w:ascii="Times New Roman" w:hAnsi="Times New Roman"/>
          <w:b/>
          <w:sz w:val="20"/>
        </w:rPr>
      </w:pPr>
      <w:r>
        <w:rPr>
          <w:rFonts w:ascii="Times New Roman" w:hAnsi="Times New Roman"/>
          <w:b/>
          <w:sz w:val="20"/>
        </w:rPr>
        <w:t xml:space="preserve">FARGO BANK, NATIONAL ASSOCIATION and MORGAN STANLEY BANK, N.A. </w:t>
      </w:r>
    </w:p>
    <w:p>
      <w:pPr>
        <w:pStyle w:val="TextBody"/>
        <w:bidi w:val="0"/>
        <w:spacing w:before="0" w:after="0"/>
        <w:jc w:val="center"/>
        <w:rPr>
          <w:rFonts w:ascii="Times New Roman" w:hAnsi="Times New Roman"/>
          <w:sz w:val="20"/>
        </w:rPr>
      </w:pPr>
      <w:r>
        <w:rPr>
          <w:rFonts w:ascii="Times New Roman" w:hAnsi="Times New Roman"/>
          <w:sz w:val="20"/>
        </w:rPr>
        <w:t xml:space="preserve">as Co-Syndication Agents, </w:t>
      </w:r>
    </w:p>
    <w:p>
      <w:pPr>
        <w:pStyle w:val="TextBody"/>
        <w:bidi w:val="0"/>
        <w:spacing w:before="240" w:after="0"/>
        <w:jc w:val="center"/>
        <w:rPr>
          <w:rFonts w:ascii="Times New Roman" w:hAnsi="Times New Roman"/>
          <w:b/>
          <w:sz w:val="20"/>
        </w:rPr>
      </w:pPr>
      <w:r>
        <w:rPr>
          <w:rFonts w:ascii="Times New Roman" w:hAnsi="Times New Roman"/>
          <w:b/>
          <w:sz w:val="20"/>
        </w:rPr>
        <w:t xml:space="preserve">BMO BANK N.A., SANTANDER BANK, N.A., THE HUNTINGTON NATIONAL BANK, PINNACLE BANK, a Tennessee </w:t>
      </w:r>
    </w:p>
    <w:p>
      <w:pPr>
        <w:pStyle w:val="TextBody"/>
        <w:bidi w:val="0"/>
        <w:spacing w:before="0" w:after="0"/>
        <w:jc w:val="center"/>
        <w:rPr>
          <w:rFonts w:ascii="Times New Roman" w:hAnsi="Times New Roman"/>
          <w:b/>
          <w:sz w:val="20"/>
        </w:rPr>
      </w:pPr>
      <w:r>
        <w:rPr>
          <w:rFonts w:ascii="Times New Roman" w:hAnsi="Times New Roman"/>
          <w:b/>
          <w:sz w:val="20"/>
        </w:rPr>
        <w:t xml:space="preserve">chartered bank, d/b/a SYNOVUS BANK and THE BANK OF NOVA SCOTIA </w:t>
      </w:r>
    </w:p>
    <w:p>
      <w:pPr>
        <w:pStyle w:val="TextBody"/>
        <w:bidi w:val="0"/>
        <w:spacing w:before="0" w:after="0"/>
        <w:jc w:val="center"/>
        <w:rPr>
          <w:rFonts w:ascii="Times New Roman" w:hAnsi="Times New Roman"/>
          <w:sz w:val="20"/>
        </w:rPr>
      </w:pPr>
      <w:r>
        <w:rPr>
          <w:rFonts w:ascii="Times New Roman" w:hAnsi="Times New Roman"/>
          <w:sz w:val="20"/>
        </w:rPr>
        <w:t xml:space="preserve">as Co-Documentation Agents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OTHER LENDERS AND L/C ISSUERS PARTY HERETO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BANK OF AMERICA, N.A., JPMORGAN CHASE BANK, N.A., CITIBANK, N.A., CITIZENS BANK, N.A., DNB CARNEGIE, </w:t>
      </w:r>
    </w:p>
    <w:p>
      <w:pPr>
        <w:pStyle w:val="TextBody"/>
        <w:bidi w:val="0"/>
        <w:spacing w:before="0" w:after="0"/>
        <w:jc w:val="center"/>
        <w:rPr>
          <w:rFonts w:ascii="Times New Roman" w:hAnsi="Times New Roman"/>
          <w:b/>
          <w:sz w:val="20"/>
        </w:rPr>
      </w:pPr>
      <w:r>
        <w:rPr>
          <w:rFonts w:ascii="Times New Roman" w:hAnsi="Times New Roman"/>
          <w:b/>
          <w:sz w:val="20"/>
        </w:rPr>
        <w:t xml:space="preserve">INC., PNC BANK, NATIONAL ASSOCIATION, TRUIST SECURITIES, INC., CAPITAL ONE,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GOLDMAN SACHS BANK USA, WELLS FARGO BANK, NATIONAL ASSOCIATION, BMO CAPITAL MARKETS CORP., </w:t>
      </w:r>
    </w:p>
    <w:p>
      <w:pPr>
        <w:pStyle w:val="TextBody"/>
        <w:bidi w:val="0"/>
        <w:spacing w:before="0" w:after="0"/>
        <w:jc w:val="center"/>
        <w:rPr>
          <w:rFonts w:ascii="Times New Roman" w:hAnsi="Times New Roman"/>
          <w:b/>
          <w:sz w:val="20"/>
        </w:rPr>
      </w:pPr>
      <w:r>
        <w:rPr>
          <w:rFonts w:ascii="Times New Roman" w:hAnsi="Times New Roman"/>
          <w:b/>
          <w:sz w:val="20"/>
        </w:rPr>
        <w:t xml:space="preserve">SANTANDER BANK, N.A., THE HUNTINGTON NATIONAL BANK, MORGAN STANLEY SENIOR FUNDING, INC. and </w:t>
      </w:r>
    </w:p>
    <w:p>
      <w:pPr>
        <w:pStyle w:val="TextBody"/>
        <w:bidi w:val="0"/>
        <w:spacing w:before="0" w:after="0"/>
        <w:jc w:val="center"/>
        <w:rPr>
          <w:rFonts w:ascii="Times New Roman" w:hAnsi="Times New Roman"/>
          <w:b/>
          <w:sz w:val="20"/>
        </w:rPr>
      </w:pPr>
      <w:r>
        <w:rPr>
          <w:rFonts w:ascii="Times New Roman" w:hAnsi="Times New Roman"/>
          <w:b/>
          <w:sz w:val="20"/>
        </w:rPr>
        <w:t xml:space="preserve">MUFG BANK, LTD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0"/>
        <w:gridCol w:w="129"/>
        <w:gridCol w:w="8940"/>
        <w:gridCol w:w="129"/>
        <w:gridCol w:w="96"/>
        <w:gridCol w:w="419"/>
        <w:gridCol w:w="62"/>
      </w:tblGrid>
      <w:tr>
        <w:trPr/>
        <w:tc>
          <w:tcPr>
            <w:tcW w:w="43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3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u w:val="single"/>
              </w:rPr>
            </w:pPr>
            <w:r>
              <w:rPr>
                <w:b/>
                <w:u w:val="single"/>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283"/>
              <w:jc w:val="center"/>
              <w:rPr>
                <w:b/>
              </w:rPr>
            </w:pPr>
            <w:r>
              <w:rPr>
                <w:b/>
              </w:rPr>
              <w:t>ARTICLE I</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283"/>
              <w:jc w:val="center"/>
              <w:rPr>
                <w:b/>
              </w:rPr>
            </w:pPr>
            <w:r>
              <w:rPr>
                <w:b/>
              </w:rPr>
              <w:t>DEFINITIONS AND ACCOUNTING TERMS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30" w:type="dxa"/>
            <w:tcBorders/>
            <w:vAlign w:val="center"/>
          </w:tcPr>
          <w:p>
            <w:pPr>
              <w:pStyle w:val="TableContents"/>
              <w:bidi w:val="0"/>
              <w:spacing w:before="0" w:after="283"/>
              <w:jc w:val="left"/>
              <w:rPr>
                <w:sz w:val="4"/>
                <w:szCs w:val="4"/>
              </w:rPr>
            </w:pPr>
            <w:r>
              <w:rPr>
                <w:sz w:val="4"/>
                <w:szCs w:val="4"/>
              </w:rPr>
            </w:r>
          </w:p>
        </w:tc>
        <w:tc>
          <w:tcPr>
            <w:tcW w:w="906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1.01</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Defined Terms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1.02</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Other Interpretive Provisions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1.03</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Accounting Terms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1.04</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Rounding</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1.05</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Times of Day</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1.06</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Letter of Credit Amounts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1.07</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Amendment and Restatement</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1.08</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Limited Condition Acquisitions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1.09</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Delaware LLC Divisions and Delaware LP Divisions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1.10</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Interest Rates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283"/>
              <w:jc w:val="center"/>
              <w:rPr>
                <w:b/>
              </w:rPr>
            </w:pPr>
            <w:r>
              <w:rPr>
                <w:b/>
              </w:rPr>
              <w:t>ARTICLE II</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283"/>
              <w:jc w:val="center"/>
              <w:rPr>
                <w:b/>
              </w:rPr>
            </w:pPr>
            <w:r>
              <w:rPr>
                <w:b/>
              </w:rPr>
              <w:t>COMMITMENTS AND CREDIT EXTENSIONS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30" w:type="dxa"/>
            <w:tcBorders/>
            <w:vAlign w:val="center"/>
          </w:tcPr>
          <w:p>
            <w:pPr>
              <w:pStyle w:val="TableContents"/>
              <w:bidi w:val="0"/>
              <w:spacing w:before="0" w:after="283"/>
              <w:jc w:val="left"/>
              <w:rPr>
                <w:sz w:val="4"/>
                <w:szCs w:val="4"/>
              </w:rPr>
            </w:pPr>
            <w:r>
              <w:rPr>
                <w:sz w:val="4"/>
                <w:szCs w:val="4"/>
              </w:rPr>
            </w:r>
          </w:p>
        </w:tc>
        <w:tc>
          <w:tcPr>
            <w:tcW w:w="906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2.01</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Loans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2.02</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Borrowings, Conversions and Continuations of Loans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2.03</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Letters of Credit</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2.04</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Swing Line Loans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2.05</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Prepayments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2.06</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Termination or Reduction of Commitments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67</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2.07</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Repayment of Loans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2.08</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Interest</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2.09</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Fees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2.10</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Computation of Interest and Fees; Retroactive Adjustments of Applicable Rate</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2.11</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Evidence of Debt</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2.12</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Payments Generally; Administrative Agent’s Clawback</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2.13</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Sharing of Payments by Lenders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2.14</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Cash Collateral</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2.15</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Defaulting Lenders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2.16</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Incremental Facilities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2.17</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Refinancing Facilities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283"/>
              <w:jc w:val="center"/>
              <w:rPr>
                <w:b/>
              </w:rPr>
            </w:pPr>
            <w:r>
              <w:rPr>
                <w:b/>
              </w:rPr>
              <w:t>ARTICLE III</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283"/>
              <w:jc w:val="center"/>
              <w:rPr>
                <w:b/>
              </w:rPr>
            </w:pPr>
            <w:r>
              <w:rPr>
                <w:b/>
              </w:rPr>
              <w:t>TAXES, YIELD PROTECTION AND ILLEGALITY</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30" w:type="dxa"/>
            <w:tcBorders/>
            <w:vAlign w:val="center"/>
          </w:tcPr>
          <w:p>
            <w:pPr>
              <w:pStyle w:val="TableContents"/>
              <w:bidi w:val="0"/>
              <w:spacing w:before="0" w:after="283"/>
              <w:jc w:val="left"/>
              <w:rPr>
                <w:sz w:val="4"/>
                <w:szCs w:val="4"/>
              </w:rPr>
            </w:pPr>
            <w:r>
              <w:rPr>
                <w:sz w:val="4"/>
                <w:szCs w:val="4"/>
              </w:rPr>
            </w:r>
          </w:p>
        </w:tc>
        <w:tc>
          <w:tcPr>
            <w:tcW w:w="906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3.01</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Taxes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3.02</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Illegality</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3.03</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Inability to Determine Rates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3.04</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Increased Costs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3.05</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Compensation for Losses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3.06</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Mitigation Obligations; Replacement of Lenders</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430" w:type="dxa"/>
            <w:tcBorders/>
          </w:tcPr>
          <w:p>
            <w:pPr>
              <w:pStyle w:val="TableContents"/>
              <w:bidi w:val="0"/>
              <w:spacing w:before="0" w:after="0"/>
              <w:jc w:val="left"/>
              <w:rPr>
                <w:rFonts w:ascii="Times New Roman" w:hAnsi="Times New Roman"/>
                <w:b/>
                <w:sz w:val="20"/>
              </w:rPr>
            </w:pPr>
            <w:r>
              <w:rPr>
                <w:rFonts w:ascii="Times New Roman" w:hAnsi="Times New Roman"/>
                <w:b/>
                <w:sz w:val="20"/>
              </w:rPr>
              <w:t>3.07</w:t>
            </w:r>
          </w:p>
        </w:tc>
        <w:tc>
          <w:tcPr>
            <w:tcW w:w="129" w:type="dxa"/>
            <w:tcBorders/>
            <w:vAlign w:val="bottom"/>
          </w:tcPr>
          <w:p>
            <w:pPr>
              <w:pStyle w:val="TableContents"/>
              <w:bidi w:val="0"/>
              <w:spacing w:before="0" w:after="283"/>
              <w:jc w:val="left"/>
              <w:rPr/>
            </w:pPr>
            <w:r>
              <w:rPr/>
              <w:t>  </w:t>
            </w:r>
          </w:p>
        </w:tc>
        <w:tc>
          <w:tcPr>
            <w:tcW w:w="8940" w:type="dxa"/>
            <w:tcBorders/>
            <w:vAlign w:val="bottom"/>
          </w:tcPr>
          <w:p>
            <w:pPr>
              <w:pStyle w:val="TableContents"/>
              <w:bidi w:val="0"/>
              <w:spacing w:before="0" w:after="283"/>
              <w:jc w:val="left"/>
              <w:rPr>
                <w:b/>
              </w:rPr>
            </w:pPr>
            <w:r>
              <w:rPr>
                <w:b/>
              </w:rPr>
              <w:t>Survival</w:t>
            </w:r>
          </w:p>
        </w:tc>
        <w:tc>
          <w:tcPr>
            <w:tcW w:w="12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17"/>
        <w:gridCol w:w="179"/>
        <w:gridCol w:w="8502"/>
        <w:gridCol w:w="163"/>
        <w:gridCol w:w="60"/>
        <w:gridCol w:w="519"/>
        <w:gridCol w:w="65"/>
      </w:tblGrid>
      <w:tr>
        <w:trPr/>
        <w:tc>
          <w:tcPr>
            <w:tcW w:w="717"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8502"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850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b/>
                <w:u w:val="single"/>
              </w:rPr>
            </w:pPr>
            <w:r>
              <w:rPr>
                <w:b/>
                <w:u w:val="single"/>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398" w:type="dxa"/>
            <w:gridSpan w:val="3"/>
            <w:tcBorders/>
            <w:vAlign w:val="center"/>
          </w:tcPr>
          <w:p>
            <w:pPr>
              <w:pStyle w:val="TableContents"/>
              <w:bidi w:val="0"/>
              <w:spacing w:before="0" w:after="283"/>
              <w:jc w:val="left"/>
              <w:rPr>
                <w:sz w:val="4"/>
                <w:szCs w:val="4"/>
              </w:rPr>
            </w:pPr>
            <w:r>
              <w:rPr>
                <w:sz w:val="4"/>
                <w:szCs w:val="4"/>
              </w:rPr>
            </w:r>
          </w:p>
        </w:tc>
        <w:tc>
          <w:tcPr>
            <w:tcW w:w="807" w:type="dxa"/>
            <w:gridSpan w:val="4"/>
            <w:tcBorders/>
            <w:vAlign w:val="center"/>
          </w:tcPr>
          <w:p>
            <w:pPr>
              <w:pStyle w:val="TableContents"/>
              <w:bidi w:val="0"/>
              <w:spacing w:before="0" w:after="283"/>
              <w:jc w:val="left"/>
              <w:rPr>
                <w:sz w:val="4"/>
                <w:szCs w:val="4"/>
              </w:rPr>
            </w:pPr>
            <w:r>
              <w:rPr>
                <w:sz w:val="4"/>
                <w:szCs w:val="4"/>
              </w:rPr>
            </w:r>
          </w:p>
        </w:tc>
      </w:tr>
      <w:tr>
        <w:trPr/>
        <w:tc>
          <w:tcPr>
            <w:tcW w:w="9398" w:type="dxa"/>
            <w:gridSpan w:val="3"/>
            <w:tcBorders/>
          </w:tcPr>
          <w:p>
            <w:pPr>
              <w:pStyle w:val="TableContents"/>
              <w:bidi w:val="0"/>
              <w:spacing w:before="0" w:after="283"/>
              <w:jc w:val="center"/>
              <w:rPr>
                <w:b/>
              </w:rPr>
            </w:pPr>
            <w:r>
              <w:rPr>
                <w:b/>
              </w:rPr>
              <w:t>ARTICLE IV</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398" w:type="dxa"/>
            <w:gridSpan w:val="3"/>
            <w:tcBorders/>
          </w:tcPr>
          <w:p>
            <w:pPr>
              <w:pStyle w:val="TableContents"/>
              <w:bidi w:val="0"/>
              <w:spacing w:before="0" w:after="283"/>
              <w:jc w:val="center"/>
              <w:rPr>
                <w:b/>
              </w:rPr>
            </w:pPr>
            <w:r>
              <w:rPr>
                <w:b/>
              </w:rPr>
              <w:t>CONDITIONS PRECEDENT TO CREDIT EXTENSIONS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681" w:type="dxa"/>
            <w:gridSpan w:val="2"/>
            <w:tcBorders/>
            <w:vAlign w:val="center"/>
          </w:tcPr>
          <w:p>
            <w:pPr>
              <w:pStyle w:val="TableContents"/>
              <w:bidi w:val="0"/>
              <w:spacing w:before="0" w:after="283"/>
              <w:jc w:val="left"/>
              <w:rPr>
                <w:sz w:val="4"/>
                <w:szCs w:val="4"/>
              </w:rPr>
            </w:pPr>
            <w:r>
              <w:rPr>
                <w:sz w:val="4"/>
                <w:szCs w:val="4"/>
              </w:rPr>
            </w:r>
          </w:p>
        </w:tc>
        <w:tc>
          <w:tcPr>
            <w:tcW w:w="807"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4.01</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Conditions to the Initial Borrowing on the Closing Date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91</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4.02</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Conditions to all Credit Extensions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94</w:t>
            </w:r>
          </w:p>
        </w:tc>
        <w:tc>
          <w:tcPr>
            <w:tcW w:w="65" w:type="dxa"/>
            <w:tcBorders/>
            <w:vAlign w:val="bottom"/>
          </w:tcPr>
          <w:p>
            <w:pPr>
              <w:pStyle w:val="TableContents"/>
              <w:bidi w:val="0"/>
              <w:spacing w:before="0" w:after="283"/>
              <w:jc w:val="left"/>
              <w:rPr/>
            </w:pPr>
            <w:r>
              <w:rPr/>
              <w:t> </w:t>
            </w:r>
          </w:p>
        </w:tc>
      </w:tr>
      <w:tr>
        <w:trPr>
          <w:trHeight w:val="120" w:hRule="atLeast"/>
        </w:trPr>
        <w:tc>
          <w:tcPr>
            <w:tcW w:w="9398" w:type="dxa"/>
            <w:gridSpan w:val="3"/>
            <w:tcBorders/>
            <w:vAlign w:val="center"/>
          </w:tcPr>
          <w:p>
            <w:pPr>
              <w:pStyle w:val="TableContents"/>
              <w:bidi w:val="0"/>
              <w:spacing w:before="0" w:after="283"/>
              <w:jc w:val="left"/>
              <w:rPr>
                <w:sz w:val="4"/>
                <w:szCs w:val="4"/>
              </w:rPr>
            </w:pPr>
            <w:r>
              <w:rPr>
                <w:sz w:val="4"/>
                <w:szCs w:val="4"/>
              </w:rPr>
            </w:r>
          </w:p>
        </w:tc>
        <w:tc>
          <w:tcPr>
            <w:tcW w:w="807" w:type="dxa"/>
            <w:gridSpan w:val="4"/>
            <w:tcBorders/>
            <w:vAlign w:val="center"/>
          </w:tcPr>
          <w:p>
            <w:pPr>
              <w:pStyle w:val="TableContents"/>
              <w:bidi w:val="0"/>
              <w:spacing w:before="0" w:after="283"/>
              <w:jc w:val="left"/>
              <w:rPr>
                <w:sz w:val="4"/>
                <w:szCs w:val="4"/>
              </w:rPr>
            </w:pPr>
            <w:r>
              <w:rPr>
                <w:sz w:val="4"/>
                <w:szCs w:val="4"/>
              </w:rPr>
            </w:r>
          </w:p>
        </w:tc>
      </w:tr>
      <w:tr>
        <w:trPr/>
        <w:tc>
          <w:tcPr>
            <w:tcW w:w="9398" w:type="dxa"/>
            <w:gridSpan w:val="3"/>
            <w:tcBorders/>
          </w:tcPr>
          <w:p>
            <w:pPr>
              <w:pStyle w:val="TableContents"/>
              <w:bidi w:val="0"/>
              <w:spacing w:before="0" w:after="283"/>
              <w:jc w:val="center"/>
              <w:rPr>
                <w:b/>
              </w:rPr>
            </w:pPr>
            <w:r>
              <w:rPr>
                <w:b/>
              </w:rPr>
              <w:t>ARTICLE V</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398" w:type="dxa"/>
            <w:gridSpan w:val="3"/>
            <w:tcBorders/>
          </w:tcPr>
          <w:p>
            <w:pPr>
              <w:pStyle w:val="TableContents"/>
              <w:bidi w:val="0"/>
              <w:spacing w:before="0" w:after="283"/>
              <w:jc w:val="center"/>
              <w:rPr>
                <w:b/>
              </w:rPr>
            </w:pPr>
            <w:r>
              <w:rPr>
                <w:b/>
              </w:rPr>
              <w:t>REPRESENTATIONS AND WARRANTIES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681" w:type="dxa"/>
            <w:gridSpan w:val="2"/>
            <w:tcBorders/>
            <w:vAlign w:val="center"/>
          </w:tcPr>
          <w:p>
            <w:pPr>
              <w:pStyle w:val="TableContents"/>
              <w:bidi w:val="0"/>
              <w:spacing w:before="0" w:after="283"/>
              <w:jc w:val="left"/>
              <w:rPr>
                <w:sz w:val="4"/>
                <w:szCs w:val="4"/>
              </w:rPr>
            </w:pPr>
            <w:r>
              <w:rPr>
                <w:sz w:val="4"/>
                <w:szCs w:val="4"/>
              </w:rPr>
            </w:r>
          </w:p>
        </w:tc>
        <w:tc>
          <w:tcPr>
            <w:tcW w:w="807"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5.01</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Existence, Qualification and Power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95</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5.02</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Authorization; No Contravention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95</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5.03</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Governmental Authorization; Other Consents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96</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5.04</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Binding Effect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96</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5.05</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 No Material Adverse Effect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96</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5.06</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Litigation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97</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5.07</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No Default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97</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5.08</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Subsidiaries and Equity Investments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97</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5.09</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97</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5.10</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Ownership of Personal Property; Liens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97</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5.11</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Intellectual Property; Licenses; Etc.</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97</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5.12</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Real Estate; Lease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97</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5.13</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Environmental Matters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98</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5.14</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Security Documents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98</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5.15</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Insurance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5.16</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5.17</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Taxes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5.18</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ERISA Compliance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5.19</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Purpose of Loans and Letters of Credit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5.20</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Margin Regulations; Investment Company 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5.21</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Disclosure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5.22</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Compliance with Laws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101</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5.23</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Labor Matters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101</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5.24</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Solvency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101</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5.25</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[Intentionally Omitted]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5.26</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Nature of Business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5.27</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Sanctions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5.28</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Anti-Corruption Laws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5.29</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Affected Financial Institutions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5.30</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Use of Proceeds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5.31</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USA PATRIOT Act; Beneficial Ownership Certification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5.32</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Outbound Investment Rules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rHeight w:val="120" w:hRule="atLeast"/>
        </w:trPr>
        <w:tc>
          <w:tcPr>
            <w:tcW w:w="9398" w:type="dxa"/>
            <w:gridSpan w:val="3"/>
            <w:tcBorders/>
            <w:vAlign w:val="center"/>
          </w:tcPr>
          <w:p>
            <w:pPr>
              <w:pStyle w:val="TableContents"/>
              <w:bidi w:val="0"/>
              <w:spacing w:before="0" w:after="283"/>
              <w:jc w:val="left"/>
              <w:rPr>
                <w:sz w:val="4"/>
                <w:szCs w:val="4"/>
              </w:rPr>
            </w:pPr>
            <w:r>
              <w:rPr>
                <w:sz w:val="4"/>
                <w:szCs w:val="4"/>
              </w:rPr>
            </w:r>
          </w:p>
        </w:tc>
        <w:tc>
          <w:tcPr>
            <w:tcW w:w="807" w:type="dxa"/>
            <w:gridSpan w:val="4"/>
            <w:tcBorders/>
            <w:vAlign w:val="center"/>
          </w:tcPr>
          <w:p>
            <w:pPr>
              <w:pStyle w:val="TableContents"/>
              <w:bidi w:val="0"/>
              <w:spacing w:before="0" w:after="283"/>
              <w:jc w:val="left"/>
              <w:rPr>
                <w:sz w:val="4"/>
                <w:szCs w:val="4"/>
              </w:rPr>
            </w:pPr>
            <w:r>
              <w:rPr>
                <w:sz w:val="4"/>
                <w:szCs w:val="4"/>
              </w:rPr>
            </w:r>
          </w:p>
        </w:tc>
      </w:tr>
      <w:tr>
        <w:trPr/>
        <w:tc>
          <w:tcPr>
            <w:tcW w:w="9398" w:type="dxa"/>
            <w:gridSpan w:val="3"/>
            <w:tcBorders/>
          </w:tcPr>
          <w:p>
            <w:pPr>
              <w:pStyle w:val="TableContents"/>
              <w:bidi w:val="0"/>
              <w:spacing w:before="0" w:after="283"/>
              <w:jc w:val="center"/>
              <w:rPr>
                <w:b/>
              </w:rPr>
            </w:pPr>
            <w:r>
              <w:rPr>
                <w:b/>
              </w:rPr>
              <w:t>ARTICLE VI</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9398" w:type="dxa"/>
            <w:gridSpan w:val="3"/>
            <w:tcBorders/>
          </w:tcPr>
          <w:p>
            <w:pPr>
              <w:pStyle w:val="TableContents"/>
              <w:bidi w:val="0"/>
              <w:spacing w:before="0" w:after="283"/>
              <w:jc w:val="center"/>
              <w:rPr>
                <w:b/>
              </w:rPr>
            </w:pPr>
            <w:r>
              <w:rPr>
                <w:b/>
              </w:rPr>
              <w:t>AFFIRMATIVE COVENANTS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681" w:type="dxa"/>
            <w:gridSpan w:val="2"/>
            <w:tcBorders/>
            <w:vAlign w:val="center"/>
          </w:tcPr>
          <w:p>
            <w:pPr>
              <w:pStyle w:val="TableContents"/>
              <w:bidi w:val="0"/>
              <w:spacing w:before="0" w:after="283"/>
              <w:jc w:val="left"/>
              <w:rPr>
                <w:sz w:val="4"/>
                <w:szCs w:val="4"/>
              </w:rPr>
            </w:pPr>
            <w:r>
              <w:rPr>
                <w:sz w:val="4"/>
                <w:szCs w:val="4"/>
              </w:rPr>
            </w:r>
          </w:p>
        </w:tc>
        <w:tc>
          <w:tcPr>
            <w:tcW w:w="807"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6.01</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103</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6.02</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Certificates; Other Information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104</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6.03</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Notices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105</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6.04</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Payment of Obligations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106</w:t>
            </w:r>
          </w:p>
        </w:tc>
        <w:tc>
          <w:tcPr>
            <w:tcW w:w="65" w:type="dxa"/>
            <w:tcBorders/>
            <w:vAlign w:val="bottom"/>
          </w:tcPr>
          <w:p>
            <w:pPr>
              <w:pStyle w:val="TableContents"/>
              <w:bidi w:val="0"/>
              <w:spacing w:before="0" w:after="283"/>
              <w:jc w:val="left"/>
              <w:rPr/>
            </w:pPr>
            <w:r>
              <w:rPr/>
              <w:t> </w:t>
            </w:r>
          </w:p>
        </w:tc>
      </w:tr>
      <w:tr>
        <w:trPr/>
        <w:tc>
          <w:tcPr>
            <w:tcW w:w="7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6.05</w:t>
            </w:r>
          </w:p>
        </w:tc>
        <w:tc>
          <w:tcPr>
            <w:tcW w:w="179" w:type="dxa"/>
            <w:tcBorders/>
            <w:vAlign w:val="bottom"/>
          </w:tcPr>
          <w:p>
            <w:pPr>
              <w:pStyle w:val="TableContents"/>
              <w:bidi w:val="0"/>
              <w:spacing w:before="0" w:after="283"/>
              <w:jc w:val="left"/>
              <w:rPr/>
            </w:pPr>
            <w:r>
              <w:rPr/>
              <w:t>  </w:t>
            </w:r>
          </w:p>
        </w:tc>
        <w:tc>
          <w:tcPr>
            <w:tcW w:w="8502" w:type="dxa"/>
            <w:tcBorders/>
          </w:tcPr>
          <w:p>
            <w:pPr>
              <w:pStyle w:val="TableContents"/>
              <w:bidi w:val="0"/>
              <w:spacing w:before="0" w:after="0"/>
              <w:jc w:val="left"/>
              <w:rPr>
                <w:rFonts w:ascii="Times New Roman" w:hAnsi="Times New Roman"/>
                <w:b/>
                <w:sz w:val="20"/>
              </w:rPr>
            </w:pPr>
            <w:r>
              <w:rPr>
                <w:rFonts w:ascii="Times New Roman" w:hAnsi="Times New Roman"/>
                <w:b/>
                <w:sz w:val="20"/>
              </w:rPr>
              <w:t>Preservation of Existence, Etc.</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106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9"/>
        <w:gridCol w:w="139"/>
        <w:gridCol w:w="8829"/>
        <w:gridCol w:w="139"/>
        <w:gridCol w:w="70"/>
        <w:gridCol w:w="445"/>
        <w:gridCol w:w="64"/>
      </w:tblGrid>
      <w:tr>
        <w:trPr/>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82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u w:val="single"/>
              </w:rPr>
            </w:pPr>
            <w:r>
              <w:rPr>
                <w:b/>
                <w:u w:val="single"/>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8968"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6.06</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Maintenance of Properties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6.07</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Maintenance of Insurance; Certain Proceeds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6.08</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Compliance with Laws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6.09</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Books and Records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6.10</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Inspection Rights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6.11</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Further Assurances with Respect to Additional Loan Parties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6.12</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Further Assurances with Respect to Collateral</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6.13</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Post-Closing Actions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6.14</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Use of Proceeds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6.15</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Environmental</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283"/>
              <w:jc w:val="center"/>
              <w:rPr>
                <w:b/>
              </w:rPr>
            </w:pPr>
            <w:r>
              <w:rPr>
                <w:b/>
              </w:rPr>
              <w:t>ARTICLE VII</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283"/>
              <w:jc w:val="center"/>
              <w:rPr>
                <w:b/>
              </w:rPr>
            </w:pPr>
            <w:r>
              <w:rPr>
                <w:b/>
              </w:rPr>
              <w:t>NEGATIVE COVENANTS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8968"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7.01</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Liens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7.02</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Investments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7.03</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Indebtedness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7.04</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Fundamental Changes and Acquisitions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7.05</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Dispositions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7.06</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Restricted Payments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7.07</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[Reserved]</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7.08</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Change in Nature of Business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7.09</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Transactions with Affiliates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7.10</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Limitations on Restricted Actions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7.11</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Sale-Leasebacks; Off-Balance Sheet Obligation</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7.12</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Use of Proceeds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7.13</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[Intentionally Omitted]</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7.14</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[Intentionally Omitted]</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7.15</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Fiscal Year</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7.16</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[Intentionally Omitted]</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7.17</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Financial Covenants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7.18</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Independent Covenants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7.19</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Outbound Investment Rules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283"/>
              <w:jc w:val="center"/>
              <w:rPr>
                <w:b/>
              </w:rPr>
            </w:pPr>
            <w:r>
              <w:rPr>
                <w:b/>
              </w:rPr>
              <w:t>ARTICLE VIII</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283"/>
              <w:jc w:val="center"/>
              <w:rPr>
                <w:b/>
              </w:rPr>
            </w:pPr>
            <w:r>
              <w:rPr>
                <w:b/>
              </w:rPr>
              <w:t>EVENTS OF DEFAULT AND REMEDIES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8968"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8.01</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Events of Default</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8.02</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Remedies Upon Event of Default</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8.03</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Application of Funds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283"/>
              <w:jc w:val="center"/>
              <w:rPr>
                <w:b/>
              </w:rPr>
            </w:pPr>
            <w:r>
              <w:rPr>
                <w:b/>
              </w:rPr>
              <w:t>ARTICLE IX</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283"/>
              <w:jc w:val="center"/>
              <w:rPr>
                <w:b/>
              </w:rPr>
            </w:pPr>
            <w:r>
              <w:rPr>
                <w:b/>
              </w:rPr>
              <w:t>ADMINISTRATIVE AGENT</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19" w:type="dxa"/>
            <w:tcBorders/>
            <w:vAlign w:val="center"/>
          </w:tcPr>
          <w:p>
            <w:pPr>
              <w:pStyle w:val="TableContents"/>
              <w:bidi w:val="0"/>
              <w:spacing w:before="0" w:after="283"/>
              <w:jc w:val="left"/>
              <w:rPr>
                <w:sz w:val="4"/>
                <w:szCs w:val="4"/>
              </w:rPr>
            </w:pPr>
            <w:r>
              <w:rPr>
                <w:sz w:val="4"/>
                <w:szCs w:val="4"/>
              </w:rPr>
            </w:r>
          </w:p>
        </w:tc>
        <w:tc>
          <w:tcPr>
            <w:tcW w:w="8968"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9.01</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Appointment and Authority</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9.02</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Rights as a Lender</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9.03</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Exculpatory Provisions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9.04</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Reliance by Administrative Agent</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9.05</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Delegation of Duties</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519" w:type="dxa"/>
            <w:tcBorders/>
          </w:tcPr>
          <w:p>
            <w:pPr>
              <w:pStyle w:val="TableContents"/>
              <w:bidi w:val="0"/>
              <w:spacing w:before="0" w:after="0"/>
              <w:jc w:val="left"/>
              <w:rPr>
                <w:rFonts w:ascii="Times New Roman" w:hAnsi="Times New Roman"/>
                <w:b/>
                <w:sz w:val="20"/>
              </w:rPr>
            </w:pPr>
            <w:r>
              <w:rPr>
                <w:rFonts w:ascii="Times New Roman" w:hAnsi="Times New Roman"/>
                <w:b/>
                <w:sz w:val="20"/>
              </w:rPr>
              <w:t>9.06</w:t>
            </w:r>
          </w:p>
        </w:tc>
        <w:tc>
          <w:tcPr>
            <w:tcW w:w="139" w:type="dxa"/>
            <w:tcBorders/>
            <w:vAlign w:val="bottom"/>
          </w:tcPr>
          <w:p>
            <w:pPr>
              <w:pStyle w:val="TableContents"/>
              <w:bidi w:val="0"/>
              <w:spacing w:before="0" w:after="283"/>
              <w:jc w:val="left"/>
              <w:rPr/>
            </w:pPr>
            <w:r>
              <w:rPr/>
              <w:t>  </w:t>
            </w:r>
          </w:p>
        </w:tc>
        <w:tc>
          <w:tcPr>
            <w:tcW w:w="8829" w:type="dxa"/>
            <w:tcBorders/>
            <w:vAlign w:val="bottom"/>
          </w:tcPr>
          <w:p>
            <w:pPr>
              <w:pStyle w:val="TableContents"/>
              <w:bidi w:val="0"/>
              <w:spacing w:before="0" w:after="283"/>
              <w:jc w:val="left"/>
              <w:rPr>
                <w:b/>
              </w:rPr>
            </w:pPr>
            <w:r>
              <w:rPr>
                <w:b/>
              </w:rPr>
              <w:t>Resignation of Administrative Agent</w:t>
            </w:r>
          </w:p>
        </w:tc>
        <w:tc>
          <w:tcPr>
            <w:tcW w:w="13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7"/>
        <w:gridCol w:w="127"/>
        <w:gridCol w:w="8846"/>
        <w:gridCol w:w="127"/>
        <w:gridCol w:w="70"/>
        <w:gridCol w:w="445"/>
        <w:gridCol w:w="63"/>
      </w:tblGrid>
      <w:tr>
        <w:trPr/>
        <w:tc>
          <w:tcPr>
            <w:tcW w:w="52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4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u w:val="single"/>
              </w:rPr>
            </w:pPr>
            <w:r>
              <w:rPr>
                <w:b/>
                <w:u w:val="single"/>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527" w:type="dxa"/>
            <w:tcBorders/>
            <w:vAlign w:val="center"/>
          </w:tcPr>
          <w:p>
            <w:pPr>
              <w:pStyle w:val="TableContents"/>
              <w:bidi w:val="0"/>
              <w:spacing w:before="0" w:after="283"/>
              <w:jc w:val="left"/>
              <w:rPr>
                <w:sz w:val="4"/>
                <w:szCs w:val="4"/>
              </w:rPr>
            </w:pPr>
            <w:r>
              <w:rPr>
                <w:sz w:val="4"/>
                <w:szCs w:val="4"/>
              </w:rPr>
            </w:r>
          </w:p>
        </w:tc>
        <w:tc>
          <w:tcPr>
            <w:tcW w:w="8973" w:type="dxa"/>
            <w:gridSpan w:val="2"/>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9.07</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Non-Reliance on Administrative Agent and Other Lenders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135</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9.08</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No Other Duties, Etc.</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135</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9.09</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Administrative Agent May File Proofs of Claim</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135</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9.10</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Collateral and Guaranty Matters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9.11</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Secured Cash Management Services Agreements and Secured Swap Contracts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137</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9.12</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ERISA Representations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137</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9.13</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Recovery of Erroneous Payments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rHeight w:val="120" w:hRule="atLeast"/>
        </w:trPr>
        <w:tc>
          <w:tcPr>
            <w:tcW w:w="9500" w:type="dxa"/>
            <w:gridSpan w:val="3"/>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gridSpan w:val="3"/>
            <w:tcBorders/>
          </w:tcPr>
          <w:p>
            <w:pPr>
              <w:pStyle w:val="TableContents"/>
              <w:bidi w:val="0"/>
              <w:spacing w:before="0" w:after="283"/>
              <w:jc w:val="center"/>
              <w:rPr>
                <w:b/>
              </w:rPr>
            </w:pPr>
            <w:r>
              <w:rPr>
                <w:b/>
              </w:rPr>
              <w:t>ARTICLE X</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500" w:type="dxa"/>
            <w:gridSpan w:val="3"/>
            <w:tcBorders/>
          </w:tcPr>
          <w:p>
            <w:pPr>
              <w:pStyle w:val="TableContents"/>
              <w:bidi w:val="0"/>
              <w:spacing w:before="0" w:after="283"/>
              <w:jc w:val="center"/>
              <w:rPr>
                <w:b/>
              </w:rPr>
            </w:pPr>
            <w:r>
              <w:rPr>
                <w:b/>
              </w:rPr>
              <w:t>MISCELLANEOUS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7" w:type="dxa"/>
            <w:tcBorders/>
            <w:vAlign w:val="center"/>
          </w:tcPr>
          <w:p>
            <w:pPr>
              <w:pStyle w:val="TableContents"/>
              <w:bidi w:val="0"/>
              <w:spacing w:before="0" w:after="283"/>
              <w:jc w:val="left"/>
              <w:rPr>
                <w:sz w:val="4"/>
                <w:szCs w:val="4"/>
              </w:rPr>
            </w:pPr>
            <w:r>
              <w:rPr>
                <w:sz w:val="4"/>
                <w:szCs w:val="4"/>
              </w:rPr>
            </w:r>
          </w:p>
        </w:tc>
        <w:tc>
          <w:tcPr>
            <w:tcW w:w="8973" w:type="dxa"/>
            <w:gridSpan w:val="2"/>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10.01</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Amendments, Etc.</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138</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10.02</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Notices; Effectiveness; Electronic Communications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141</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10.03</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No Waiver; Cumulative Remedies; Enforcement</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143</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10.04</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Expenses; Indemnity; Damage Waiver</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143</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10.05</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Payments Set Aside</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145</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10.06</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Successors and Assigns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145</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10.07</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Treatment of Certain Information; Confidentiality</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150</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10.08</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Right of Setoff</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151</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10.09</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Interest Rate Limitation</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10.10</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Counterparts; Integration; Effectiveness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10.11</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Survival of Representations and Warranties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10.12</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Severability</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10.13</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Replacement of Lenders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10.14</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Governing Law; Jurisdiction; Etc.</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10.15</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Waiver of Jury Trial</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154</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10.16</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USA PATRIOT Act Notice</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154</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10.17</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Time of the Essence</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154</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10.18</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No Advisory or Fiduciary Responsibility</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155</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10.19</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Electronic Execution of Assignments and Certain Other Documents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155</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10.20</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Keepwell</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156</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10.21</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Acknowledgement and Consent to Bail-In of Affected Financial Institutions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156</w:t>
            </w:r>
          </w:p>
        </w:tc>
        <w:tc>
          <w:tcPr>
            <w:tcW w:w="63" w:type="dxa"/>
            <w:tcBorders/>
            <w:vAlign w:val="bottom"/>
          </w:tcPr>
          <w:p>
            <w:pPr>
              <w:pStyle w:val="TableContents"/>
              <w:bidi w:val="0"/>
              <w:spacing w:before="0" w:after="283"/>
              <w:jc w:val="left"/>
              <w:rPr/>
            </w:pPr>
            <w:r>
              <w:rPr/>
              <w:t> </w:t>
            </w:r>
          </w:p>
        </w:tc>
      </w:tr>
      <w:tr>
        <w:trPr/>
        <w:tc>
          <w:tcPr>
            <w:tcW w:w="527" w:type="dxa"/>
            <w:tcBorders/>
          </w:tcPr>
          <w:p>
            <w:pPr>
              <w:pStyle w:val="TableContents"/>
              <w:bidi w:val="0"/>
              <w:spacing w:before="0" w:after="0"/>
              <w:jc w:val="left"/>
              <w:rPr>
                <w:rFonts w:ascii="Times New Roman" w:hAnsi="Times New Roman"/>
                <w:b/>
                <w:sz w:val="20"/>
              </w:rPr>
            </w:pPr>
            <w:r>
              <w:rPr>
                <w:rFonts w:ascii="Times New Roman" w:hAnsi="Times New Roman"/>
                <w:b/>
                <w:sz w:val="20"/>
              </w:rPr>
              <w:t>10.22</w:t>
            </w:r>
          </w:p>
        </w:tc>
        <w:tc>
          <w:tcPr>
            <w:tcW w:w="127" w:type="dxa"/>
            <w:tcBorders/>
            <w:vAlign w:val="bottom"/>
          </w:tcPr>
          <w:p>
            <w:pPr>
              <w:pStyle w:val="TableContents"/>
              <w:bidi w:val="0"/>
              <w:spacing w:before="0" w:after="283"/>
              <w:jc w:val="left"/>
              <w:rPr/>
            </w:pPr>
            <w:r>
              <w:rPr/>
              <w:t>  </w:t>
            </w:r>
          </w:p>
        </w:tc>
        <w:tc>
          <w:tcPr>
            <w:tcW w:w="8846" w:type="dxa"/>
            <w:tcBorders/>
            <w:vAlign w:val="bottom"/>
          </w:tcPr>
          <w:p>
            <w:pPr>
              <w:pStyle w:val="TableContents"/>
              <w:bidi w:val="0"/>
              <w:spacing w:before="0" w:after="283"/>
              <w:jc w:val="left"/>
              <w:rPr>
                <w:b/>
              </w:rPr>
            </w:pPr>
            <w:r>
              <w:rPr>
                <w:b/>
              </w:rPr>
              <w:t>Acknowledgement Regarding Any Supported QFCs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157</w:t>
            </w:r>
          </w:p>
        </w:tc>
        <w:tc>
          <w:tcPr>
            <w:tcW w:w="63" w:type="dxa"/>
            <w:tcBorders/>
            <w:vAlign w:val="bottom"/>
          </w:tcPr>
          <w:p>
            <w:pPr>
              <w:pStyle w:val="TableContents"/>
              <w:bidi w:val="0"/>
              <w:spacing w:before="0" w:after="283"/>
              <w:jc w:val="left"/>
              <w:rPr/>
            </w:pPr>
            <w:r>
              <w:rPr/>
              <w:t> </w:t>
            </w:r>
          </w:p>
        </w:tc>
      </w:tr>
      <w:tr>
        <w:trPr>
          <w:trHeight w:val="120" w:hRule="atLeast"/>
        </w:trPr>
        <w:tc>
          <w:tcPr>
            <w:tcW w:w="9500" w:type="dxa"/>
            <w:gridSpan w:val="3"/>
            <w:tcBorders/>
            <w:vAlign w:val="center"/>
          </w:tcPr>
          <w:p>
            <w:pPr>
              <w:pStyle w:val="TableContents"/>
              <w:bidi w:val="0"/>
              <w:spacing w:before="0" w:after="283"/>
              <w:jc w:val="left"/>
              <w:rPr>
                <w:sz w:val="4"/>
                <w:szCs w:val="4"/>
              </w:rPr>
            </w:pPr>
            <w:r>
              <w:rPr>
                <w:sz w:val="4"/>
                <w:szCs w:val="4"/>
              </w:rPr>
            </w:r>
          </w:p>
        </w:tc>
        <w:tc>
          <w:tcPr>
            <w:tcW w:w="705" w:type="dxa"/>
            <w:gridSpan w:val="4"/>
            <w:tcBorders/>
            <w:vAlign w:val="center"/>
          </w:tcPr>
          <w:p>
            <w:pPr>
              <w:pStyle w:val="TableContents"/>
              <w:bidi w:val="0"/>
              <w:spacing w:before="0" w:after="283"/>
              <w:jc w:val="left"/>
              <w:rPr>
                <w:sz w:val="4"/>
                <w:szCs w:val="4"/>
              </w:rPr>
            </w:pPr>
            <w:r>
              <w:rPr>
                <w:sz w:val="4"/>
                <w:szCs w:val="4"/>
              </w:rPr>
            </w:r>
          </w:p>
        </w:tc>
      </w:tr>
      <w:tr>
        <w:trPr/>
        <w:tc>
          <w:tcPr>
            <w:tcW w:w="950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SIGNATURES</w:t>
            </w:r>
          </w:p>
        </w:tc>
        <w:tc>
          <w:tcPr>
            <w:tcW w:w="12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83"/>
        <w:gridCol w:w="375"/>
        <w:gridCol w:w="8147"/>
      </w:tblGrid>
      <w:tr>
        <w:trPr/>
        <w:tc>
          <w:tcPr>
            <w:tcW w:w="1683"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8147" w:type="dxa"/>
            <w:tcBorders/>
            <w:vAlign w:val="center"/>
          </w:tcPr>
          <w:p>
            <w:pPr>
              <w:pStyle w:val="TableContents"/>
              <w:bidi w:val="0"/>
              <w:spacing w:before="0" w:after="283"/>
              <w:jc w:val="left"/>
              <w:rPr>
                <w:sz w:val="4"/>
                <w:szCs w:val="4"/>
              </w:rPr>
            </w:pPr>
            <w:r>
              <w:rPr>
                <w:sz w:val="4"/>
                <w:szCs w:val="4"/>
              </w:rPr>
            </w:r>
          </w:p>
        </w:tc>
      </w:tr>
      <w:tr>
        <w:trPr/>
        <w:tc>
          <w:tcPr>
            <w:tcW w:w="1683" w:type="dxa"/>
            <w:tcBorders/>
          </w:tcPr>
          <w:p>
            <w:pPr>
              <w:pStyle w:val="TableContents"/>
              <w:bidi w:val="0"/>
              <w:spacing w:before="0" w:after="283"/>
              <w:jc w:val="left"/>
              <w:rPr>
                <w:b/>
              </w:rPr>
            </w:pPr>
            <w:r>
              <w:rPr>
                <w:b/>
              </w:rPr>
              <w:t>SCHEDULES</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sz w:val="4"/>
                <w:szCs w:val="4"/>
              </w:rPr>
            </w:pPr>
            <w:r>
              <w:rPr>
                <w:sz w:val="4"/>
                <w:szCs w:val="4"/>
              </w:rPr>
            </w:r>
          </w:p>
        </w:tc>
      </w:tr>
      <w:tr>
        <w:trPr>
          <w:trHeight w:val="120" w:hRule="atLeast"/>
        </w:trPr>
        <w:tc>
          <w:tcPr>
            <w:tcW w:w="1683" w:type="dxa"/>
            <w:tcBorders/>
            <w:vAlign w:val="center"/>
          </w:tcPr>
          <w:p>
            <w:pPr>
              <w:pStyle w:val="TableContents"/>
              <w:bidi w:val="0"/>
              <w:spacing w:before="0" w:after="283"/>
              <w:jc w:val="left"/>
              <w:rPr>
                <w:sz w:val="4"/>
                <w:szCs w:val="4"/>
              </w:rPr>
            </w:pPr>
            <w:r>
              <w:rPr>
                <w:sz w:val="4"/>
                <w:szCs w:val="4"/>
              </w:rPr>
            </w:r>
          </w:p>
        </w:tc>
        <w:tc>
          <w:tcPr>
            <w:tcW w:w="8522" w:type="dxa"/>
            <w:gridSpan w:val="2"/>
            <w:tcBorders/>
            <w:vAlign w:val="center"/>
          </w:tcPr>
          <w:p>
            <w:pPr>
              <w:pStyle w:val="TableContents"/>
              <w:bidi w:val="0"/>
              <w:spacing w:before="0" w:after="283"/>
              <w:jc w:val="left"/>
              <w:rPr>
                <w:sz w:val="4"/>
                <w:szCs w:val="4"/>
              </w:rPr>
            </w:pPr>
            <w:r>
              <w:rPr>
                <w:sz w:val="4"/>
                <w:szCs w:val="4"/>
              </w:rPr>
            </w:r>
          </w:p>
        </w:tc>
      </w:tr>
      <w:tr>
        <w:trPr/>
        <w:tc>
          <w:tcPr>
            <w:tcW w:w="1683" w:type="dxa"/>
            <w:tcBorders/>
          </w:tcPr>
          <w:p>
            <w:pPr>
              <w:pStyle w:val="TableContents"/>
              <w:bidi w:val="0"/>
              <w:spacing w:before="0" w:after="283"/>
              <w:jc w:val="left"/>
              <w:rPr/>
            </w:pPr>
            <w:r>
              <w:rPr/>
              <w:t>Schedule 1.01(a)</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Immaterial Subsidiaries and Subsidiary Guarantors</w:t>
            </w:r>
          </w:p>
        </w:tc>
      </w:tr>
      <w:tr>
        <w:trPr/>
        <w:tc>
          <w:tcPr>
            <w:tcW w:w="1683" w:type="dxa"/>
            <w:tcBorders/>
          </w:tcPr>
          <w:p>
            <w:pPr>
              <w:pStyle w:val="TableContents"/>
              <w:bidi w:val="0"/>
              <w:spacing w:before="0" w:after="283"/>
              <w:jc w:val="left"/>
              <w:rPr/>
            </w:pPr>
            <w:r>
              <w:rPr/>
              <w:t>Schedule 1.01(b)</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Existing Letters of Credit</w:t>
            </w:r>
          </w:p>
        </w:tc>
      </w:tr>
      <w:tr>
        <w:trPr/>
        <w:tc>
          <w:tcPr>
            <w:tcW w:w="1683" w:type="dxa"/>
            <w:tcBorders/>
          </w:tcPr>
          <w:p>
            <w:pPr>
              <w:pStyle w:val="TableContents"/>
              <w:bidi w:val="0"/>
              <w:spacing w:before="0" w:after="283"/>
              <w:jc w:val="left"/>
              <w:rPr/>
            </w:pPr>
            <w:r>
              <w:rPr/>
              <w:t>Schedule 2.01</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Commitments and Applicable Percentages</w:t>
            </w:r>
          </w:p>
        </w:tc>
      </w:tr>
      <w:tr>
        <w:trPr/>
        <w:tc>
          <w:tcPr>
            <w:tcW w:w="1683" w:type="dxa"/>
            <w:tcBorders/>
          </w:tcPr>
          <w:p>
            <w:pPr>
              <w:pStyle w:val="TableContents"/>
              <w:bidi w:val="0"/>
              <w:spacing w:before="0" w:after="283"/>
              <w:jc w:val="left"/>
              <w:rPr/>
            </w:pPr>
            <w:r>
              <w:rPr/>
              <w:t>Schedule 5.03</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Approvals and Consents</w:t>
            </w:r>
          </w:p>
        </w:tc>
      </w:tr>
      <w:tr>
        <w:trPr/>
        <w:tc>
          <w:tcPr>
            <w:tcW w:w="1683" w:type="dxa"/>
            <w:tcBorders/>
          </w:tcPr>
          <w:p>
            <w:pPr>
              <w:pStyle w:val="TableContents"/>
              <w:bidi w:val="0"/>
              <w:spacing w:before="0" w:after="283"/>
              <w:jc w:val="left"/>
              <w:rPr/>
            </w:pPr>
            <w:r>
              <w:rPr/>
              <w:t>Schedule 5.08</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Subsidiaries and Other Equity Investments</w:t>
            </w:r>
          </w:p>
        </w:tc>
      </w:tr>
      <w:tr>
        <w:trPr/>
        <w:tc>
          <w:tcPr>
            <w:tcW w:w="1683" w:type="dxa"/>
            <w:tcBorders/>
          </w:tcPr>
          <w:p>
            <w:pPr>
              <w:pStyle w:val="TableContents"/>
              <w:bidi w:val="0"/>
              <w:spacing w:before="0" w:after="283"/>
              <w:jc w:val="left"/>
              <w:rPr/>
            </w:pPr>
            <w:r>
              <w:rPr/>
              <w:t>Schedule 5.09</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Certain Stock Arrangements</w:t>
            </w:r>
          </w:p>
        </w:tc>
      </w:tr>
      <w:tr>
        <w:trPr/>
        <w:tc>
          <w:tcPr>
            <w:tcW w:w="1683" w:type="dxa"/>
            <w:tcBorders/>
          </w:tcPr>
          <w:p>
            <w:pPr>
              <w:pStyle w:val="TableContents"/>
              <w:bidi w:val="0"/>
              <w:spacing w:before="0" w:after="283"/>
              <w:jc w:val="left"/>
              <w:rPr/>
            </w:pPr>
            <w:r>
              <w:rPr/>
              <w:t>Schedule 5.13</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Environmental Matters</w:t>
            </w:r>
          </w:p>
        </w:tc>
      </w:tr>
      <w:tr>
        <w:trPr/>
        <w:tc>
          <w:tcPr>
            <w:tcW w:w="1683" w:type="dxa"/>
            <w:tcBorders/>
          </w:tcPr>
          <w:p>
            <w:pPr>
              <w:pStyle w:val="TableContents"/>
              <w:bidi w:val="0"/>
              <w:spacing w:before="0" w:after="283"/>
              <w:jc w:val="left"/>
              <w:rPr/>
            </w:pPr>
            <w:r>
              <w:rPr/>
              <w:t>Schedule 5.14</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Security Documents</w:t>
            </w:r>
          </w:p>
        </w:tc>
      </w:tr>
      <w:tr>
        <w:trPr/>
        <w:tc>
          <w:tcPr>
            <w:tcW w:w="1683" w:type="dxa"/>
            <w:tcBorders/>
          </w:tcPr>
          <w:p>
            <w:pPr>
              <w:pStyle w:val="TableContents"/>
              <w:bidi w:val="0"/>
              <w:spacing w:before="0" w:after="283"/>
              <w:jc w:val="left"/>
              <w:rPr/>
            </w:pPr>
            <w:r>
              <w:rPr/>
              <w:t>Schedule 5.18</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Pension Plans</w:t>
            </w:r>
          </w:p>
        </w:tc>
      </w:tr>
      <w:tr>
        <w:trPr/>
        <w:tc>
          <w:tcPr>
            <w:tcW w:w="1683" w:type="dxa"/>
            <w:tcBorders/>
          </w:tcPr>
          <w:p>
            <w:pPr>
              <w:pStyle w:val="TableContents"/>
              <w:bidi w:val="0"/>
              <w:spacing w:before="0" w:after="283"/>
              <w:jc w:val="left"/>
              <w:rPr/>
            </w:pPr>
            <w:r>
              <w:rPr/>
              <w:t>Schedule 5.23</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Labor Matters</w:t>
            </w:r>
          </w:p>
        </w:tc>
      </w:tr>
      <w:tr>
        <w:trPr/>
        <w:tc>
          <w:tcPr>
            <w:tcW w:w="1683" w:type="dxa"/>
            <w:tcBorders/>
          </w:tcPr>
          <w:p>
            <w:pPr>
              <w:pStyle w:val="TableContents"/>
              <w:bidi w:val="0"/>
              <w:spacing w:before="0" w:after="283"/>
              <w:jc w:val="left"/>
              <w:rPr/>
            </w:pPr>
            <w:r>
              <w:rPr/>
              <w:t>Schedule 6.13</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Post-Closing Actions</w:t>
            </w:r>
          </w:p>
        </w:tc>
      </w:tr>
      <w:tr>
        <w:trPr/>
        <w:tc>
          <w:tcPr>
            <w:tcW w:w="1683" w:type="dxa"/>
            <w:tcBorders/>
          </w:tcPr>
          <w:p>
            <w:pPr>
              <w:pStyle w:val="TableContents"/>
              <w:bidi w:val="0"/>
              <w:spacing w:before="0" w:after="283"/>
              <w:jc w:val="left"/>
              <w:rPr/>
            </w:pPr>
            <w:r>
              <w:rPr/>
              <w:t>Schedule 7.01</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Existing Liens</w:t>
            </w:r>
          </w:p>
        </w:tc>
      </w:tr>
      <w:tr>
        <w:trPr/>
        <w:tc>
          <w:tcPr>
            <w:tcW w:w="1683" w:type="dxa"/>
            <w:tcBorders/>
          </w:tcPr>
          <w:p>
            <w:pPr>
              <w:pStyle w:val="TableContents"/>
              <w:bidi w:val="0"/>
              <w:spacing w:before="0" w:after="283"/>
              <w:jc w:val="left"/>
              <w:rPr/>
            </w:pPr>
            <w:r>
              <w:rPr/>
              <w:t>Schedule 7.02</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Existing Investments</w:t>
            </w:r>
          </w:p>
        </w:tc>
      </w:tr>
      <w:tr>
        <w:trPr/>
        <w:tc>
          <w:tcPr>
            <w:tcW w:w="1683" w:type="dxa"/>
            <w:tcBorders/>
          </w:tcPr>
          <w:p>
            <w:pPr>
              <w:pStyle w:val="TableContents"/>
              <w:bidi w:val="0"/>
              <w:spacing w:before="0" w:after="283"/>
              <w:jc w:val="left"/>
              <w:rPr/>
            </w:pPr>
            <w:r>
              <w:rPr/>
              <w:t>Schedule 7.03</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Existing Indebtedness</w:t>
            </w:r>
          </w:p>
        </w:tc>
      </w:tr>
      <w:tr>
        <w:trPr/>
        <w:tc>
          <w:tcPr>
            <w:tcW w:w="1683" w:type="dxa"/>
            <w:tcBorders/>
          </w:tcPr>
          <w:p>
            <w:pPr>
              <w:pStyle w:val="TableContents"/>
              <w:bidi w:val="0"/>
              <w:spacing w:before="0" w:after="283"/>
              <w:jc w:val="left"/>
              <w:rPr/>
            </w:pPr>
            <w:r>
              <w:rPr/>
              <w:t>Schedule 10.02</w:t>
            </w:r>
          </w:p>
        </w:tc>
        <w:tc>
          <w:tcPr>
            <w:tcW w:w="375" w:type="dxa"/>
            <w:tcBorders/>
            <w:vAlign w:val="bottom"/>
          </w:tcPr>
          <w:p>
            <w:pPr>
              <w:pStyle w:val="TableContents"/>
              <w:bidi w:val="0"/>
              <w:spacing w:before="0" w:after="283"/>
              <w:jc w:val="left"/>
              <w:rPr/>
            </w:pPr>
            <w:r>
              <w:rPr/>
              <w:t> </w:t>
            </w:r>
          </w:p>
        </w:tc>
        <w:tc>
          <w:tcPr>
            <w:tcW w:w="8147" w:type="dxa"/>
            <w:tcBorders/>
          </w:tcPr>
          <w:p>
            <w:pPr>
              <w:pStyle w:val="TableContents"/>
              <w:bidi w:val="0"/>
              <w:spacing w:before="0" w:after="283"/>
              <w:jc w:val="left"/>
              <w:rPr/>
            </w:pPr>
            <w:r>
              <w:rPr/>
              <w:t>Administrative Agent’s Office, Certain Addresses for Notices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320"/>
        <w:gridCol w:w="8661"/>
      </w:tblGrid>
      <w:tr>
        <w:trPr/>
        <w:tc>
          <w:tcPr>
            <w:tcW w:w="1224"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661" w:type="dxa"/>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b/>
              </w:rPr>
            </w:pPr>
            <w:r>
              <w:rPr>
                <w:b/>
              </w:rPr>
              <w:t>EXHIBITS</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sz w:val="4"/>
                <w:szCs w:val="4"/>
              </w:rPr>
            </w:pPr>
            <w:r>
              <w:rPr>
                <w:sz w:val="4"/>
                <w:szCs w:val="4"/>
              </w:rPr>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pPr>
            <w:r>
              <w:rPr/>
              <w:t>Exhibit A</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Loan Notice</w:t>
            </w:r>
          </w:p>
        </w:tc>
      </w:tr>
      <w:tr>
        <w:trPr/>
        <w:tc>
          <w:tcPr>
            <w:tcW w:w="1224" w:type="dxa"/>
            <w:tcBorders/>
          </w:tcPr>
          <w:p>
            <w:pPr>
              <w:pStyle w:val="TableContents"/>
              <w:bidi w:val="0"/>
              <w:spacing w:before="0" w:after="283"/>
              <w:jc w:val="left"/>
              <w:rPr/>
            </w:pPr>
            <w:r>
              <w:rPr/>
              <w:t>Exhibit B</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Swing Line Loan Notice</w:t>
            </w:r>
          </w:p>
        </w:tc>
      </w:tr>
      <w:tr>
        <w:trPr/>
        <w:tc>
          <w:tcPr>
            <w:tcW w:w="1224" w:type="dxa"/>
            <w:tcBorders/>
          </w:tcPr>
          <w:p>
            <w:pPr>
              <w:pStyle w:val="TableContents"/>
              <w:bidi w:val="0"/>
              <w:spacing w:before="0" w:after="283"/>
              <w:jc w:val="left"/>
              <w:rPr/>
            </w:pPr>
            <w:r>
              <w:rPr/>
              <w:t>Exhibit C-1</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Term A Note</w:t>
            </w:r>
          </w:p>
        </w:tc>
      </w:tr>
      <w:tr>
        <w:trPr/>
        <w:tc>
          <w:tcPr>
            <w:tcW w:w="1224" w:type="dxa"/>
            <w:tcBorders/>
          </w:tcPr>
          <w:p>
            <w:pPr>
              <w:pStyle w:val="TableContents"/>
              <w:bidi w:val="0"/>
              <w:spacing w:before="0" w:after="283"/>
              <w:jc w:val="left"/>
              <w:rPr/>
            </w:pPr>
            <w:r>
              <w:rPr/>
              <w:t>Exhibit C-2</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Term B Note</w:t>
            </w:r>
          </w:p>
        </w:tc>
      </w:tr>
      <w:tr>
        <w:trPr/>
        <w:tc>
          <w:tcPr>
            <w:tcW w:w="1224" w:type="dxa"/>
            <w:tcBorders/>
          </w:tcPr>
          <w:p>
            <w:pPr>
              <w:pStyle w:val="TableContents"/>
              <w:bidi w:val="0"/>
              <w:spacing w:before="0" w:after="283"/>
              <w:jc w:val="left"/>
              <w:rPr/>
            </w:pPr>
            <w:r>
              <w:rPr/>
              <w:t>Exhibit C-3</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Revolving Credit Note</w:t>
            </w:r>
          </w:p>
        </w:tc>
      </w:tr>
      <w:tr>
        <w:trPr/>
        <w:tc>
          <w:tcPr>
            <w:tcW w:w="1224" w:type="dxa"/>
            <w:tcBorders/>
          </w:tcPr>
          <w:p>
            <w:pPr>
              <w:pStyle w:val="TableContents"/>
              <w:bidi w:val="0"/>
              <w:spacing w:before="0" w:after="283"/>
              <w:jc w:val="left"/>
              <w:rPr/>
            </w:pPr>
            <w:r>
              <w:rPr/>
              <w:t>Exhibit D</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Compliance Certificate</w:t>
            </w:r>
          </w:p>
        </w:tc>
      </w:tr>
      <w:tr>
        <w:trPr/>
        <w:tc>
          <w:tcPr>
            <w:tcW w:w="1224" w:type="dxa"/>
            <w:tcBorders/>
          </w:tcPr>
          <w:p>
            <w:pPr>
              <w:pStyle w:val="TableContents"/>
              <w:bidi w:val="0"/>
              <w:spacing w:before="0" w:after="283"/>
              <w:jc w:val="left"/>
              <w:rPr/>
            </w:pPr>
            <w:r>
              <w:rPr/>
              <w:t>Exhibit E</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Assignment of Assumption</w:t>
            </w:r>
          </w:p>
        </w:tc>
      </w:tr>
      <w:tr>
        <w:trPr/>
        <w:tc>
          <w:tcPr>
            <w:tcW w:w="1224" w:type="dxa"/>
            <w:tcBorders/>
          </w:tcPr>
          <w:p>
            <w:pPr>
              <w:pStyle w:val="TableContents"/>
              <w:bidi w:val="0"/>
              <w:spacing w:before="0" w:after="283"/>
              <w:jc w:val="left"/>
              <w:rPr/>
            </w:pPr>
            <w:r>
              <w:rPr/>
              <w:t>Exhibit F</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Subsidiary Guaranty Agreement</w:t>
            </w:r>
          </w:p>
        </w:tc>
      </w:tr>
      <w:tr>
        <w:trPr/>
        <w:tc>
          <w:tcPr>
            <w:tcW w:w="1224" w:type="dxa"/>
            <w:tcBorders/>
          </w:tcPr>
          <w:p>
            <w:pPr>
              <w:pStyle w:val="TableContents"/>
              <w:bidi w:val="0"/>
              <w:spacing w:before="0" w:after="283"/>
              <w:jc w:val="left"/>
              <w:rPr/>
            </w:pPr>
            <w:r>
              <w:rPr/>
              <w:t>Exhibit G</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Joinder Agreement</w:t>
            </w:r>
          </w:p>
        </w:tc>
      </w:tr>
      <w:tr>
        <w:trPr/>
        <w:tc>
          <w:tcPr>
            <w:tcW w:w="1224" w:type="dxa"/>
            <w:tcBorders/>
          </w:tcPr>
          <w:p>
            <w:pPr>
              <w:pStyle w:val="TableContents"/>
              <w:bidi w:val="0"/>
              <w:spacing w:before="0" w:after="283"/>
              <w:jc w:val="left"/>
              <w:rPr/>
            </w:pPr>
            <w:r>
              <w:rPr/>
              <w:t>Exhibit H</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Pledge Agreement</w:t>
            </w:r>
          </w:p>
        </w:tc>
      </w:tr>
      <w:tr>
        <w:trPr/>
        <w:tc>
          <w:tcPr>
            <w:tcW w:w="1224" w:type="dxa"/>
            <w:tcBorders/>
          </w:tcPr>
          <w:p>
            <w:pPr>
              <w:pStyle w:val="TableContents"/>
              <w:bidi w:val="0"/>
              <w:spacing w:before="0" w:after="283"/>
              <w:jc w:val="left"/>
              <w:rPr/>
            </w:pPr>
            <w:r>
              <w:rPr/>
              <w:t>Exhibit I</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Security Agreement</w:t>
            </w:r>
          </w:p>
        </w:tc>
      </w:tr>
      <w:tr>
        <w:trPr/>
        <w:tc>
          <w:tcPr>
            <w:tcW w:w="1224" w:type="dxa"/>
            <w:tcBorders/>
          </w:tcPr>
          <w:p>
            <w:pPr>
              <w:pStyle w:val="TableContents"/>
              <w:bidi w:val="0"/>
              <w:spacing w:before="0" w:after="283"/>
              <w:jc w:val="left"/>
              <w:rPr/>
            </w:pPr>
            <w:r>
              <w:rPr/>
              <w:t>Exhibit J</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First Lien Intercreditor Agreement</w:t>
            </w:r>
          </w:p>
        </w:tc>
      </w:tr>
      <w:tr>
        <w:trPr/>
        <w:tc>
          <w:tcPr>
            <w:tcW w:w="1224" w:type="dxa"/>
            <w:tcBorders/>
          </w:tcPr>
          <w:p>
            <w:pPr>
              <w:pStyle w:val="TableContents"/>
              <w:bidi w:val="0"/>
              <w:spacing w:before="0" w:after="283"/>
              <w:jc w:val="left"/>
              <w:rPr/>
            </w:pPr>
            <w:r>
              <w:rPr/>
              <w:t>Exhibit K-1</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U.S. Tax Compliance Certificate (For Foreign Lenders That Are Not</w:t>
            </w:r>
          </w:p>
        </w:tc>
      </w:tr>
      <w:tr>
        <w:trPr/>
        <w:tc>
          <w:tcPr>
            <w:tcW w:w="1224" w:type="dxa"/>
            <w:tcBorders/>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0"/>
              <w:jc w:val="left"/>
              <w:rPr>
                <w:rFonts w:ascii="Times New Roman" w:hAnsi="Times New Roman"/>
                <w:sz w:val="20"/>
              </w:rPr>
            </w:pPr>
            <w:r>
              <w:rPr>
                <w:rFonts w:ascii="Times New Roman" w:hAnsi="Times New Roman"/>
                <w:sz w:val="20"/>
              </w:rPr>
              <w:t>Partnerships For U.S. Federal Income Tax Purposes)</w:t>
            </w:r>
          </w:p>
        </w:tc>
      </w:tr>
      <w:tr>
        <w:trPr/>
        <w:tc>
          <w:tcPr>
            <w:tcW w:w="1224" w:type="dxa"/>
            <w:tcBorders/>
          </w:tcPr>
          <w:p>
            <w:pPr>
              <w:pStyle w:val="TableContents"/>
              <w:bidi w:val="0"/>
              <w:spacing w:before="0" w:after="283"/>
              <w:jc w:val="left"/>
              <w:rPr/>
            </w:pPr>
            <w:r>
              <w:rPr/>
              <w:t>Exhibit K-2</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U.S. Tax Compliance Certificate (For Foreign Participants That Are Not</w:t>
            </w:r>
          </w:p>
        </w:tc>
      </w:tr>
      <w:tr>
        <w:trPr/>
        <w:tc>
          <w:tcPr>
            <w:tcW w:w="1224" w:type="dxa"/>
            <w:tcBorders/>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0"/>
              <w:jc w:val="left"/>
              <w:rPr>
                <w:rFonts w:ascii="Times New Roman" w:hAnsi="Times New Roman"/>
                <w:sz w:val="20"/>
              </w:rPr>
            </w:pPr>
            <w:r>
              <w:rPr>
                <w:rFonts w:ascii="Times New Roman" w:hAnsi="Times New Roman"/>
                <w:sz w:val="20"/>
              </w:rPr>
              <w:t>Partnerships For U.S. Federal Income Tax Purposes)</w:t>
            </w:r>
          </w:p>
        </w:tc>
      </w:tr>
      <w:tr>
        <w:trPr/>
        <w:tc>
          <w:tcPr>
            <w:tcW w:w="1224" w:type="dxa"/>
            <w:tcBorders/>
          </w:tcPr>
          <w:p>
            <w:pPr>
              <w:pStyle w:val="TableContents"/>
              <w:bidi w:val="0"/>
              <w:spacing w:before="0" w:after="283"/>
              <w:jc w:val="left"/>
              <w:rPr/>
            </w:pPr>
            <w:r>
              <w:rPr/>
              <w:t>Exhibit K-3</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U.S. Tax Compliance Certificate (For Foreign Participants That Are</w:t>
            </w:r>
          </w:p>
        </w:tc>
      </w:tr>
      <w:tr>
        <w:trPr/>
        <w:tc>
          <w:tcPr>
            <w:tcW w:w="1224" w:type="dxa"/>
            <w:tcBorders/>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0"/>
              <w:jc w:val="left"/>
              <w:rPr>
                <w:rFonts w:ascii="Times New Roman" w:hAnsi="Times New Roman"/>
                <w:sz w:val="20"/>
              </w:rPr>
            </w:pPr>
            <w:r>
              <w:rPr>
                <w:rFonts w:ascii="Times New Roman" w:hAnsi="Times New Roman"/>
                <w:sz w:val="20"/>
              </w:rPr>
              <w:t>Partnerships For U.S. Federal Income Tax Purposes)</w:t>
            </w:r>
          </w:p>
        </w:tc>
      </w:tr>
      <w:tr>
        <w:trPr/>
        <w:tc>
          <w:tcPr>
            <w:tcW w:w="1224" w:type="dxa"/>
            <w:tcBorders/>
          </w:tcPr>
          <w:p>
            <w:pPr>
              <w:pStyle w:val="TableContents"/>
              <w:bidi w:val="0"/>
              <w:spacing w:before="0" w:after="283"/>
              <w:jc w:val="left"/>
              <w:rPr/>
            </w:pPr>
            <w:r>
              <w:rPr/>
              <w:t>Exhibit K-4</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Form of U.S. Tax Compliance Certificate (For Foreign Lenders That Are</w:t>
            </w:r>
          </w:p>
        </w:tc>
      </w:tr>
      <w:tr>
        <w:trPr/>
        <w:tc>
          <w:tcPr>
            <w:tcW w:w="1224" w:type="dxa"/>
            <w:tcBorders/>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0"/>
              <w:jc w:val="left"/>
              <w:rPr>
                <w:rFonts w:ascii="Times New Roman" w:hAnsi="Times New Roman"/>
                <w:sz w:val="20"/>
              </w:rPr>
            </w:pPr>
            <w:r>
              <w:rPr>
                <w:rFonts w:ascii="Times New Roman" w:hAnsi="Times New Roman"/>
                <w:sz w:val="20"/>
              </w:rPr>
              <w:t>Partnerships For U.S. Federal Income Tax Purposes)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AMENDED AND RESTATED CREDIT AGREEMENT</w:t>
      </w:r>
      <w:r>
        <w:rPr>
          <w:rFonts w:ascii="Times New Roman" w:hAnsi="Times New Roman"/>
          <w:sz w:val="20"/>
        </w:rPr>
        <w:t xml:space="preserve"> is entered into as of October 19, 2026, among </w:t>
      </w:r>
      <w:r>
        <w:rPr>
          <w:rFonts w:ascii="Times New Roman" w:hAnsi="Times New Roman"/>
          <w:b/>
          <w:sz w:val="20"/>
        </w:rPr>
        <w:t>INTEGRA LIFESCIENCES HOLDINGS CORPORATION</w:t>
      </w:r>
      <w:r>
        <w:rPr>
          <w:rFonts w:ascii="Times New Roman" w:hAnsi="Times New Roman"/>
          <w:sz w:val="20"/>
        </w:rPr>
        <w:t>, a Delaware corporation (the “</w:t>
      </w:r>
      <w:r>
        <w:rPr>
          <w:rFonts w:ascii="Times New Roman" w:hAnsi="Times New Roman"/>
          <w:sz w:val="20"/>
          <w:u w:val="single"/>
        </w:rPr>
        <w:t>Borrower</w:t>
      </w:r>
      <w:r>
        <w:rPr>
          <w:rFonts w:ascii="Times New Roman" w:hAnsi="Times New Roman"/>
          <w:sz w:val="20"/>
        </w:rPr>
        <w:t>”), each lender and issuing bank from time to time party hereto (collectively, the “</w:t>
      </w:r>
      <w:r>
        <w:rPr>
          <w:rFonts w:ascii="Times New Roman" w:hAnsi="Times New Roman"/>
          <w:sz w:val="20"/>
          <w:u w:val="single"/>
        </w:rPr>
        <w:t>Lenders</w:t>
      </w:r>
      <w:r>
        <w:rPr>
          <w:rFonts w:ascii="Times New Roman" w:hAnsi="Times New Roman"/>
          <w:sz w:val="20"/>
        </w:rPr>
        <w:t>” and individually, a “</w:t>
      </w:r>
      <w:r>
        <w:rPr>
          <w:rFonts w:ascii="Times New Roman" w:hAnsi="Times New Roman"/>
          <w:sz w:val="20"/>
          <w:u w:val="single"/>
        </w:rPr>
        <w:t>Lender</w:t>
      </w:r>
      <w:r>
        <w:rPr>
          <w:rFonts w:ascii="Times New Roman" w:hAnsi="Times New Roman"/>
          <w:sz w:val="20"/>
        </w:rPr>
        <w:t xml:space="preserve">”), </w:t>
      </w:r>
      <w:r>
        <w:rPr>
          <w:rFonts w:ascii="Times New Roman" w:hAnsi="Times New Roman"/>
          <w:b/>
          <w:sz w:val="20"/>
        </w:rPr>
        <w:t>BANK OF AMERICA, N.A.</w:t>
      </w:r>
      <w:r>
        <w:rPr>
          <w:rFonts w:ascii="Times New Roman" w:hAnsi="Times New Roman"/>
          <w:sz w:val="20"/>
        </w:rPr>
        <w:t xml:space="preserve">, as Administrative Agent and as the Swing Line Lender.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Borrower, the Lenders party thereto (the “</w:t>
      </w:r>
      <w:r>
        <w:rPr>
          <w:rFonts w:ascii="Times New Roman" w:hAnsi="Times New Roman"/>
          <w:sz w:val="20"/>
          <w:u w:val="single"/>
        </w:rPr>
        <w:t>Existing Lenders</w:t>
      </w:r>
      <w:r>
        <w:rPr>
          <w:rFonts w:ascii="Times New Roman" w:hAnsi="Times New Roman"/>
          <w:sz w:val="20"/>
        </w:rPr>
        <w:t>”), Bank of America and the other agents party thereto are parties to that certain Seventh Amended and Restated Credit Agreement dated as of March 24, 2023 (as amended by Amendment No. 1, dated as of June 6, 2025 and as otherwise amended, supplemented or modified from time to time prior to the date hereof, the “</w:t>
      </w:r>
      <w:r>
        <w:rPr>
          <w:rFonts w:ascii="Times New Roman" w:hAnsi="Times New Roman"/>
          <w:sz w:val="20"/>
          <w:u w:val="single"/>
        </w:rPr>
        <w:t>Existing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Borrower has requested that the Lenders extend credit in the form of (a) Term B Loans to be made available in a single drawing on the Closing Date in an aggregate principal amount of $450,000,000, (b) Term A Loans to be made available in a single drawing on the Closing Date in an aggregate principal amount of $600,000,000, (b) Revolving Credit Loans to be made available to the Borrower on the Closing Date and at any time during the Availability Period in an aggregate principal amount at any time outstanding not in excess of $600,000,000, (c) Letters of Credit to be made available at any time during the Availability Period in an aggregate face amount not to excess of $60,000,000 and (d) Swing Line Loans to be made available at any time during the Availability Period in an aggregate principal amount at any time outstanding not in excess of $60,000,000;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on or prior to the Closing Date, the Borrower will have entered into the Senior Secured Notes Indenture pursuant to which the Borrower will have issued the Senior Secured Notes in an aggregate principal amount of $450,000,000.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 the proceeds of the Loans borrowed on the Closing Date, together with the proceeds of the Senior Secured Notes, will be used (i) to refinance the Borrower’s existing revolving credit facility and term loan facility under the Existing Credit Agreement and permanently terminate all commitments in connection therewith, (ii) for general corporate purposes and (iii) to pay fees and expenses in connection therewith and (b) the proceeds of the Revolving Credit Loans borrowed following the Closing Date will be used for any purpose permitted hereunder (collectively, the “</w:t>
      </w:r>
      <w:r>
        <w:rPr>
          <w:rFonts w:ascii="Times New Roman" w:hAnsi="Times New Roman"/>
          <w:sz w:val="20"/>
          <w:u w:val="single"/>
        </w:rPr>
        <w:t>Transactions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foregoing, the Borrower has requested that the Existing Credit Agreement be amended and restated (the “</w:t>
      </w:r>
      <w:r>
        <w:rPr>
          <w:rFonts w:ascii="Times New Roman" w:hAnsi="Times New Roman"/>
          <w:sz w:val="20"/>
          <w:u w:val="single"/>
        </w:rPr>
        <w:t>Amendment and Restatement</w:t>
      </w:r>
      <w:r>
        <w:rPr>
          <w:rFonts w:ascii="Times New Roman" w:hAnsi="Times New Roman"/>
          <w:sz w:val="20"/>
        </w:rPr>
        <w:t xml:space="preserve">”), and the Administrative Agent and the Existing Lenders are willing to do so on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herein contained, the parties hereto covenant and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ACCOUNTING TERMS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rPr>
        <w:t>Defined Terms</w:t>
      </w:r>
      <w:r>
        <w:rPr>
          <w:rFonts w:ascii="Times New Roman" w:hAnsi="Times New Roman"/>
          <w:sz w:val="20"/>
        </w:rPr>
        <w:t xml:space="preserve">. As used in this Agreement, the following terms shall have the meanings set forth below: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by any Person, means the purchase or acquisition in a single transaction or a series of transactions by any such Person, individually or together with its Affiliates, of (a) any Equity Interest of another Person (other than a Loan Party) sufficient to cause such Person to become a direct or indirect Subsidiary of the Borrower or (b) all or a substantial portion of the Property of another Person (other than a Loan Party), including, without limitation, all or a substantial portion of the Property comprising a division, business unit or line of business, whether involving a merger or consolidation with such other Person. “</w:t>
      </w:r>
      <w:r>
        <w:rPr>
          <w:rFonts w:ascii="Times New Roman" w:hAnsi="Times New Roman"/>
          <w:sz w:val="20"/>
          <w:u w:val="single"/>
        </w:rPr>
        <w:t>Acquire</w:t>
      </w:r>
      <w:r>
        <w:rPr>
          <w:rFonts w:ascii="Times New Roman" w:hAnsi="Times New Roman"/>
          <w:sz w:val="20"/>
        </w:rPr>
        <w:t xml:space="preserve">” has a meaning correlative thereto.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Administrative Agent</w:t>
      </w:r>
      <w:r>
        <w:rPr>
          <w:rFonts w:ascii="Times New Roman" w:hAnsi="Times New Roman"/>
          <w:sz w:val="20"/>
        </w:rPr>
        <w:t xml:space="preserve">” means Bank of America in its capacity as administrative agent and collateral agent, as applicable, under any of the Loan Documents, or any successor administrative agent and collateral agent, as provided in </w:t>
      </w:r>
      <w:r>
        <w:rPr>
          <w:rFonts w:ascii="Times New Roman" w:hAnsi="Times New Roman"/>
          <w:sz w:val="20"/>
          <w:u w:val="single"/>
        </w:rPr>
        <w:t>Section 9.06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10.02</w:t>
      </w:r>
      <w:r>
        <w:rPr>
          <w:rFonts w:ascii="Times New Roman" w:hAnsi="Times New Roman"/>
          <w:sz w:val="20"/>
        </w:rPr>
        <w:t xml:space="preserve">, or such other address or account as the Administrative Agent may from time to time notify to the Borrower and the Lenders.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Agent Fee Letter</w:t>
      </w:r>
      <w:r>
        <w:rPr>
          <w:rFonts w:ascii="Times New Roman" w:hAnsi="Times New Roman"/>
          <w:sz w:val="20"/>
        </w:rPr>
        <w:t xml:space="preserve">” means that certain administrative agency fee letter agreement, dated as of October 19, 2026, between the Borrower and Bank of America.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xml:space="preserve">” shall have the meaning specified in </w:t>
      </w:r>
      <w:r>
        <w:rPr>
          <w:rFonts w:ascii="Times New Roman" w:hAnsi="Times New Roman"/>
          <w:sz w:val="20"/>
          <w:u w:val="single"/>
        </w:rPr>
        <w:t>Section 10.02(c)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Aggregate Commitments</w:t>
      </w:r>
      <w:r>
        <w:rPr>
          <w:rFonts w:ascii="Times New Roman" w:hAnsi="Times New Roman"/>
          <w:sz w:val="20"/>
        </w:rPr>
        <w:t xml:space="preserve">” means the Commitments of all the Lenders.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credit agreement, as amended, amended and restated, supplemented or otherwise modified from time to time. </w:t>
      </w:r>
    </w:p>
    <w:p>
      <w:pPr>
        <w:pStyle w:val="TextBody"/>
        <w:bidi w:val="0"/>
        <w:spacing w:before="240" w:after="0"/>
        <w:jc w:val="left"/>
        <w:rPr/>
      </w:pPr>
      <w:r>
        <w:rPr/>
        <w:t>“</w:t>
      </w:r>
      <w:r>
        <w:rPr>
          <w:rFonts w:ascii="Times New Roman" w:hAnsi="Times New Roman"/>
          <w:sz w:val="20"/>
          <w:u w:val="single"/>
        </w:rPr>
        <w:t>Amendment and Restatement</w:t>
      </w:r>
      <w:r>
        <w:rPr>
          <w:rFonts w:ascii="Times New Roman" w:hAnsi="Times New Roman"/>
          <w:sz w:val="20"/>
        </w:rPr>
        <w:t xml:space="preserve">” has the meaning specified in the recitals hereto.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shall have the meaning specified in </w:t>
      </w:r>
      <w:r>
        <w:rPr>
          <w:rFonts w:ascii="Times New Roman" w:hAnsi="Times New Roman"/>
          <w:sz w:val="20"/>
          <w:u w:val="single"/>
        </w:rPr>
        <w:t>Section 5.28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ECF Percentage</w:t>
      </w:r>
      <w:r>
        <w:rPr>
          <w:rFonts w:ascii="Times New Roman" w:hAnsi="Times New Roman"/>
          <w:sz w:val="20"/>
        </w:rPr>
        <w:t xml:space="preserve">” means, for any fiscal year, (a) 50%, if the Consolidated Senior Secured Net Leverage Ratio as of the last day of such fiscal year is greater than 3.50 to 1.00, (b) 25%, if the Consolidated Senior Secured Net Leverage Ratio as of the last day of such fiscal year is less than or equal to 3.50 to 1.00 and greater than 3.00 to 1.00 and (c) 0%, if the Consolidated Senior Secured Net Leverage Ratio as of the last day of such fiscal year is less than or equal to 3.00 to 1.00.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(a) in respect of the Term A Facility, with respect to any Lender holding Term A Loans of such Term A Facility at any time, the percentage (carried out to the ninth decimal place) of such Term A Facility represented by the principal amount of such Term A Lender’s Term A Loans under such Term A Facility at such time, (b) in respect of the Term B Facility, with respect to any Lender holding Term B Loans of such Term B Facility at any time, the percentage (carried out to the ninth decimal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place) of such Term B Facility represented by the principal amount of such Term B Lender’s Term B Loans under such Term B Facility at such time and (c)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Times New Roman" w:hAnsi="Times New Roman"/>
          <w:sz w:val="20"/>
          <w:u w:val="single"/>
        </w:rPr>
        <w:t>Section 2.15</w:t>
      </w:r>
      <w:r>
        <w:rPr>
          <w:rFonts w:ascii="Times New Roman" w:hAnsi="Times New Roman"/>
          <w:sz w:val="20"/>
        </w:rPr>
        <w:t xml:space="preserve">. If the commitment of each Revolving Credit Lender to make Revolving Credit Loans and the obligation of the L/C Issuers to make L/C Credit Extensions have been terminated pursuant to </w:t>
      </w:r>
      <w:r>
        <w:rPr>
          <w:rFonts w:ascii="Times New Roman" w:hAnsi="Times New Roman"/>
          <w:sz w:val="20"/>
          <w:u w:val="single"/>
        </w:rPr>
        <w:t>Section 8.02</w:t>
      </w:r>
      <w:r>
        <w:rPr>
          <w:rFonts w:ascii="Times New Roman" w:hAnsi="Times New Roman"/>
          <w:sz w:val="20"/>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each Facility is set forth opposite the name of such Lender on </w:t>
      </w:r>
      <w:r>
        <w:rPr>
          <w:rFonts w:ascii="Times New Roman" w:hAnsi="Times New Roman"/>
          <w:sz w:val="20"/>
          <w:u w:val="single"/>
        </w:rPr>
        <w:t>Schedule 2.01</w:t>
      </w:r>
      <w:r>
        <w:rPr>
          <w:rFonts w:ascii="Times New Roman" w:hAnsi="Times New Roman"/>
          <w:sz w:val="20"/>
        </w:rPr>
        <w:t xml:space="preserve"> or in the Assignment and Assumption pursuant to which such Lender becomes a party hereto, as applicable. </w:t>
      </w:r>
    </w:p>
    <w:p>
      <w:pPr>
        <w:pStyle w:val="TextBody"/>
        <w:bidi w:val="0"/>
        <w:spacing w:before="240" w:after="0"/>
        <w:jc w:val="left"/>
        <w:rPr/>
      </w:pPr>
      <w:r>
        <w:rPr/>
        <w:t>“</w:t>
      </w:r>
      <w:r>
        <w:rPr>
          <w:rFonts w:ascii="Times New Roman" w:hAnsi="Times New Roman"/>
          <w:sz w:val="20"/>
          <w:u w:val="single"/>
        </w:rPr>
        <w:t>Applicable Prepayment Premium</w:t>
      </w:r>
      <w:r>
        <w:rPr>
          <w:rFonts w:ascii="Times New Roman" w:hAnsi="Times New Roman"/>
          <w:sz w:val="20"/>
        </w:rPr>
        <w:t xml:space="preserve">” shall have the meaning assigned to such term in </w:t>
      </w:r>
      <w:r>
        <w:rPr>
          <w:rFonts w:ascii="Times New Roman" w:hAnsi="Times New Roman"/>
          <w:sz w:val="20"/>
          <w:u w:val="single"/>
        </w:rPr>
        <w:t>Section 2.05(a)(iii)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Rate</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(x) in respect of the Term B Facility, 4.25% per annum for Term SOFR Loans and 3.25% per annum for Base Rate Loans. </w:t>
      </w:r>
    </w:p>
    <w:p>
      <w:pPr>
        <w:pStyle w:val="TextBody"/>
        <w:bidi w:val="0"/>
        <w:spacing w:before="240" w:after="0"/>
        <w:jc w:val="left"/>
        <w:rPr>
          <w:rFonts w:ascii="Times New Roman" w:hAnsi="Times New Roman"/>
          <w:sz w:val="20"/>
        </w:rPr>
      </w:pPr>
      <w:r>
        <w:rPr>
          <w:rFonts w:ascii="Times New Roman" w:hAnsi="Times New Roman"/>
          <w:sz w:val="20"/>
        </w:rPr>
        <w:t xml:space="preserve">(y) with respect to the Term A Loan Facility and the Revolving Credit Facility, (i) from the Closing Date to the first Business Day immediately following the date a Compliance Certificate is received by the Administrative Agent pursuant to </w:t>
      </w:r>
      <w:r>
        <w:rPr>
          <w:rFonts w:ascii="Times New Roman" w:hAnsi="Times New Roman"/>
          <w:sz w:val="20"/>
          <w:u w:val="single"/>
        </w:rPr>
        <w:t>Section 6.02(b)</w:t>
      </w:r>
      <w:r>
        <w:rPr>
          <w:rFonts w:ascii="Times New Roman" w:hAnsi="Times New Roman"/>
          <w:sz w:val="20"/>
        </w:rPr>
        <w:t xml:space="preserve"> for the fiscal quarter ending December 31, 2026, 3.00% per annum for Term SOFR Loans and Letter of Credit Fees, 2.00% per annum for Base Rate Loans and Swing Line Loans and 0.300% per annum for Commitment Fees and (ii) thereafter, the following percentages per annum, based upon the Consolidated Total Leverage Ratio as set forth in the most recent Compliance Certificate received by the Administrative Agent pursuant to </w:t>
      </w:r>
      <w:r>
        <w:rPr>
          <w:rFonts w:ascii="Times New Roman" w:hAnsi="Times New Roman"/>
          <w:sz w:val="20"/>
          <w:u w:val="single"/>
        </w:rPr>
        <w:t>Section 6.02(b)</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9"/>
        <w:gridCol w:w="193"/>
        <w:gridCol w:w="2515"/>
        <w:gridCol w:w="193"/>
        <w:gridCol w:w="179"/>
        <w:gridCol w:w="1674"/>
        <w:gridCol w:w="275"/>
        <w:gridCol w:w="128"/>
        <w:gridCol w:w="163"/>
        <w:gridCol w:w="1522"/>
        <w:gridCol w:w="275"/>
        <w:gridCol w:w="127"/>
        <w:gridCol w:w="120"/>
        <w:gridCol w:w="1132"/>
        <w:gridCol w:w="283"/>
      </w:tblGrid>
      <w:tr>
        <w:trPr/>
        <w:tc>
          <w:tcPr>
            <w:tcW w:w="609"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9105" w:type="dxa"/>
            <w:gridSpan w:val="14"/>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APPLICABLE RATE</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Loans, Swing Line Loans and Letters of Credit</w:t>
            </w:r>
          </w:p>
        </w:tc>
        <w:tc>
          <w:tcPr>
            <w:tcW w:w="283" w:type="dxa"/>
            <w:tcBorders/>
            <w:vAlign w:val="bottom"/>
          </w:tcPr>
          <w:p>
            <w:pPr>
              <w:pStyle w:val="TableContents"/>
              <w:bidi w:val="0"/>
              <w:spacing w:before="0" w:after="283"/>
              <w:jc w:val="left"/>
              <w:rPr/>
            </w:pPr>
            <w:r>
              <w:rPr/>
              <w:t> </w:t>
            </w:r>
          </w:p>
        </w:tc>
      </w:tr>
      <w:tr>
        <w:trPr/>
        <w:tc>
          <w:tcPr>
            <w:tcW w:w="609"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Pricing</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Level</w:t>
            </w:r>
          </w:p>
        </w:tc>
        <w:tc>
          <w:tcPr>
            <w:tcW w:w="193" w:type="dxa"/>
            <w:tcBorders/>
            <w:vAlign w:val="bottom"/>
          </w:tcPr>
          <w:p>
            <w:pPr>
              <w:pStyle w:val="TableContents"/>
              <w:bidi w:val="0"/>
              <w:spacing w:before="0" w:after="283"/>
              <w:jc w:val="left"/>
              <w:rPr/>
            </w:pPr>
            <w:r>
              <w:rPr/>
              <w:t>  </w:t>
            </w:r>
          </w:p>
        </w:tc>
        <w:tc>
          <w:tcPr>
            <w:tcW w:w="2515" w:type="dxa"/>
            <w:tcBorders>
              <w:bottom w:val="single" w:sz="8" w:space="0" w:color="000000"/>
            </w:tcBorders>
            <w:tcMar>
              <w:bottom w:w="28" w:type="dxa"/>
            </w:tcMar>
            <w:vAlign w:val="bottom"/>
          </w:tcPr>
          <w:p>
            <w:pPr>
              <w:pStyle w:val="TableContents"/>
              <w:bidi w:val="0"/>
              <w:spacing w:before="0" w:after="283"/>
              <w:jc w:val="center"/>
              <w:rPr/>
            </w:pPr>
            <w:r>
              <w:rPr/>
              <w:t>Consolidated Total</w:t>
              <w:br/>
              <w:t>Leverage Ratio</w:t>
            </w:r>
          </w:p>
        </w:tc>
        <w:tc>
          <w:tcPr>
            <w:tcW w:w="193" w:type="dxa"/>
            <w:tcBorders/>
            <w:vAlign w:val="bottom"/>
          </w:tcPr>
          <w:p>
            <w:pPr>
              <w:pStyle w:val="TableContents"/>
              <w:bidi w:val="0"/>
              <w:spacing w:before="0" w:after="283"/>
              <w:jc w:val="left"/>
              <w:rPr/>
            </w:pPr>
            <w:r>
              <w:rPr/>
              <w:t>  </w:t>
            </w:r>
          </w:p>
        </w:tc>
        <w:tc>
          <w:tcPr>
            <w:tcW w:w="1853" w:type="dxa"/>
            <w:gridSpan w:val="2"/>
            <w:tcBorders>
              <w:bottom w:val="single" w:sz="8" w:space="0" w:color="000000"/>
            </w:tcBorders>
            <w:tcMar>
              <w:bottom w:w="28" w:type="dxa"/>
            </w:tcMar>
            <w:vAlign w:val="bottom"/>
          </w:tcPr>
          <w:p>
            <w:pPr>
              <w:pStyle w:val="TableContents"/>
              <w:bidi w:val="0"/>
              <w:spacing w:before="0" w:after="283"/>
              <w:jc w:val="center"/>
              <w:rPr/>
            </w:pPr>
            <w:r>
              <w:rPr/>
              <w:t>Term SOFR Loans</w:t>
              <w:br/>
              <w:t>and Letter</w:t>
              <w:br/>
              <w:t>of Credit Fees</w:t>
            </w:r>
          </w:p>
        </w:tc>
        <w:tc>
          <w:tcPr>
            <w:tcW w:w="27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pPr>
            <w:r>
              <w:rPr/>
              <w:t>Base Rate</w:t>
              <w:br/>
              <w:t>Loans and Swing</w:t>
              <w:br/>
              <w:t>Line Loans</w:t>
            </w:r>
          </w:p>
        </w:tc>
        <w:tc>
          <w:tcPr>
            <w:tcW w:w="27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pPr>
            <w:r>
              <w:rPr/>
              <w:t>Commitment</w:t>
              <w:br/>
              <w:t>Fee</w:t>
            </w:r>
          </w:p>
        </w:tc>
        <w:tc>
          <w:tcPr>
            <w:tcW w:w="283" w:type="dxa"/>
            <w:tcBorders/>
            <w:vAlign w:val="bottom"/>
          </w:tcPr>
          <w:p>
            <w:pPr>
              <w:pStyle w:val="TableContents"/>
              <w:bidi w:val="0"/>
              <w:spacing w:before="0" w:after="283"/>
              <w:jc w:val="left"/>
              <w:rPr/>
            </w:pPr>
            <w:r>
              <w:rPr/>
              <w:t> </w:t>
            </w:r>
          </w:p>
        </w:tc>
      </w:tr>
      <w:tr>
        <w:trPr/>
        <w:tc>
          <w:tcPr>
            <w:tcW w:w="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93" w:type="dxa"/>
            <w:tcBorders/>
            <w:shd w:fill="CCEEFF" w:val="clear"/>
            <w:vAlign w:val="bottom"/>
          </w:tcPr>
          <w:p>
            <w:pPr>
              <w:pStyle w:val="TableContents"/>
              <w:bidi w:val="0"/>
              <w:spacing w:before="0" w:after="283"/>
              <w:jc w:val="left"/>
              <w:rPr/>
            </w:pPr>
            <w:r>
              <w:rPr/>
              <w:t>  </w:t>
            </w:r>
          </w:p>
        </w:tc>
        <w:tc>
          <w:tcPr>
            <w:tcW w:w="2515" w:type="dxa"/>
            <w:tcBorders/>
            <w:shd w:fill="CCEEFF" w:val="clear"/>
            <w:vAlign w:val="bottom"/>
          </w:tcPr>
          <w:p>
            <w:pPr>
              <w:pStyle w:val="TableContents"/>
              <w:bidi w:val="0"/>
              <w:spacing w:before="0" w:after="283"/>
              <w:jc w:val="left"/>
              <w:rPr/>
            </w:pPr>
            <w:r>
              <w:rPr/>
              <w:t>&gt;4.25:1.00</w:t>
            </w:r>
          </w:p>
        </w:tc>
        <w:tc>
          <w:tcPr>
            <w:tcW w:w="19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3.250</w:t>
            </w:r>
          </w:p>
        </w:tc>
        <w:tc>
          <w:tcPr>
            <w:tcW w:w="27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283"/>
              <w:jc w:val="right"/>
              <w:rPr/>
            </w:pPr>
            <w:r>
              <w:rPr/>
              <w:t>2.250</w:t>
            </w:r>
          </w:p>
        </w:tc>
        <w:tc>
          <w:tcPr>
            <w:tcW w:w="27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0.350</w:t>
            </w:r>
          </w:p>
        </w:tc>
        <w:tc>
          <w:tcPr>
            <w:tcW w:w="283" w:type="dxa"/>
            <w:tcBorders/>
            <w:shd w:fill="CCEEFF" w:val="clear"/>
            <w:vAlign w:val="bottom"/>
          </w:tcPr>
          <w:p>
            <w:pPr>
              <w:pStyle w:val="TableContents"/>
              <w:bidi w:val="0"/>
              <w:spacing w:before="0" w:after="283"/>
              <w:jc w:val="left"/>
              <w:rPr/>
            </w:pPr>
            <w:r>
              <w:rPr/>
              <w:t>% </w:t>
            </w:r>
          </w:p>
        </w:tc>
      </w:tr>
      <w:tr>
        <w:trPr/>
        <w:tc>
          <w:tcPr>
            <w:tcW w:w="609"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193" w:type="dxa"/>
            <w:tcBorders/>
            <w:vAlign w:val="bottom"/>
          </w:tcPr>
          <w:p>
            <w:pPr>
              <w:pStyle w:val="TableContents"/>
              <w:bidi w:val="0"/>
              <w:spacing w:before="0" w:after="283"/>
              <w:jc w:val="left"/>
              <w:rPr/>
            </w:pPr>
            <w:r>
              <w:rPr/>
              <w:t>  </w:t>
            </w:r>
          </w:p>
        </w:tc>
        <w:tc>
          <w:tcPr>
            <w:tcW w:w="2515" w:type="dxa"/>
            <w:tcBorders/>
            <w:vAlign w:val="bottom"/>
          </w:tcPr>
          <w:p>
            <w:pPr>
              <w:pStyle w:val="TableContents"/>
              <w:bidi w:val="0"/>
              <w:spacing w:before="0" w:after="283"/>
              <w:jc w:val="left"/>
              <w:rPr/>
            </w:pPr>
            <w:r>
              <w:rPr/>
              <w:t>≤</w:t>
            </w:r>
            <w:r>
              <w:rPr/>
              <w:t>4.25:1.00 but &gt;3.75:1.00</w:t>
            </w:r>
          </w:p>
        </w:tc>
        <w:tc>
          <w:tcPr>
            <w:tcW w:w="19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3.000</w:t>
            </w:r>
          </w:p>
        </w:tc>
        <w:tc>
          <w:tcPr>
            <w:tcW w:w="27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2" w:type="dxa"/>
            <w:tcBorders/>
            <w:vAlign w:val="bottom"/>
          </w:tcPr>
          <w:p>
            <w:pPr>
              <w:pStyle w:val="TableContents"/>
              <w:bidi w:val="0"/>
              <w:spacing w:before="0" w:after="283"/>
              <w:jc w:val="right"/>
              <w:rPr/>
            </w:pPr>
            <w:r>
              <w:rPr/>
              <w:t>2.000</w:t>
            </w:r>
          </w:p>
        </w:tc>
        <w:tc>
          <w:tcPr>
            <w:tcW w:w="27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0.300</w:t>
            </w:r>
          </w:p>
        </w:tc>
        <w:tc>
          <w:tcPr>
            <w:tcW w:w="283" w:type="dxa"/>
            <w:tcBorders/>
            <w:vAlign w:val="bottom"/>
          </w:tcPr>
          <w:p>
            <w:pPr>
              <w:pStyle w:val="TableContents"/>
              <w:bidi w:val="0"/>
              <w:spacing w:before="0" w:after="283"/>
              <w:jc w:val="left"/>
              <w:rPr/>
            </w:pPr>
            <w:r>
              <w:rPr/>
              <w:t>% </w:t>
            </w:r>
          </w:p>
        </w:tc>
      </w:tr>
      <w:tr>
        <w:trPr/>
        <w:tc>
          <w:tcPr>
            <w:tcW w:w="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III</w:t>
            </w:r>
          </w:p>
        </w:tc>
        <w:tc>
          <w:tcPr>
            <w:tcW w:w="193" w:type="dxa"/>
            <w:tcBorders/>
            <w:shd w:fill="CCEEFF" w:val="clear"/>
            <w:vAlign w:val="bottom"/>
          </w:tcPr>
          <w:p>
            <w:pPr>
              <w:pStyle w:val="TableContents"/>
              <w:bidi w:val="0"/>
              <w:spacing w:before="0" w:after="283"/>
              <w:jc w:val="left"/>
              <w:rPr/>
            </w:pPr>
            <w:r>
              <w:rPr/>
              <w:t>  </w:t>
            </w:r>
          </w:p>
        </w:tc>
        <w:tc>
          <w:tcPr>
            <w:tcW w:w="2515" w:type="dxa"/>
            <w:tcBorders/>
            <w:shd w:fill="CCEEFF" w:val="clear"/>
            <w:vAlign w:val="bottom"/>
          </w:tcPr>
          <w:p>
            <w:pPr>
              <w:pStyle w:val="TableContents"/>
              <w:bidi w:val="0"/>
              <w:spacing w:before="0" w:after="283"/>
              <w:jc w:val="left"/>
              <w:rPr/>
            </w:pPr>
            <w:r>
              <w:rPr/>
              <w:t>≤</w:t>
            </w:r>
            <w:r>
              <w:rPr/>
              <w:t>3.75:1.00 but &gt;3.25:1.00</w:t>
            </w:r>
          </w:p>
        </w:tc>
        <w:tc>
          <w:tcPr>
            <w:tcW w:w="19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2.750</w:t>
            </w:r>
          </w:p>
        </w:tc>
        <w:tc>
          <w:tcPr>
            <w:tcW w:w="27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283"/>
              <w:jc w:val="right"/>
              <w:rPr/>
            </w:pPr>
            <w:r>
              <w:rPr/>
              <w:t>1.750</w:t>
            </w:r>
          </w:p>
        </w:tc>
        <w:tc>
          <w:tcPr>
            <w:tcW w:w="27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0.275</w:t>
            </w:r>
          </w:p>
        </w:tc>
        <w:tc>
          <w:tcPr>
            <w:tcW w:w="283" w:type="dxa"/>
            <w:tcBorders/>
            <w:shd w:fill="CCEEFF" w:val="clear"/>
            <w:vAlign w:val="bottom"/>
          </w:tcPr>
          <w:p>
            <w:pPr>
              <w:pStyle w:val="TableContents"/>
              <w:bidi w:val="0"/>
              <w:spacing w:before="0" w:after="283"/>
              <w:jc w:val="left"/>
              <w:rPr/>
            </w:pPr>
            <w:r>
              <w:rPr/>
              <w:t>% </w:t>
            </w:r>
          </w:p>
        </w:tc>
      </w:tr>
      <w:tr>
        <w:trPr/>
        <w:tc>
          <w:tcPr>
            <w:tcW w:w="609" w:type="dxa"/>
            <w:tcBorders/>
          </w:tcPr>
          <w:p>
            <w:pPr>
              <w:pStyle w:val="TableContents"/>
              <w:bidi w:val="0"/>
              <w:spacing w:before="0" w:after="0"/>
              <w:jc w:val="left"/>
              <w:rPr>
                <w:rFonts w:ascii="Times New Roman" w:hAnsi="Times New Roman"/>
                <w:sz w:val="20"/>
              </w:rPr>
            </w:pPr>
            <w:r>
              <w:rPr>
                <w:rFonts w:ascii="Times New Roman" w:hAnsi="Times New Roman"/>
                <w:sz w:val="20"/>
              </w:rPr>
              <w:t>IV</w:t>
            </w:r>
          </w:p>
        </w:tc>
        <w:tc>
          <w:tcPr>
            <w:tcW w:w="193" w:type="dxa"/>
            <w:tcBorders/>
            <w:vAlign w:val="bottom"/>
          </w:tcPr>
          <w:p>
            <w:pPr>
              <w:pStyle w:val="TableContents"/>
              <w:bidi w:val="0"/>
              <w:spacing w:before="0" w:after="283"/>
              <w:jc w:val="left"/>
              <w:rPr/>
            </w:pPr>
            <w:r>
              <w:rPr/>
              <w:t>  </w:t>
            </w:r>
          </w:p>
        </w:tc>
        <w:tc>
          <w:tcPr>
            <w:tcW w:w="2515" w:type="dxa"/>
            <w:tcBorders/>
            <w:vAlign w:val="bottom"/>
          </w:tcPr>
          <w:p>
            <w:pPr>
              <w:pStyle w:val="TableContents"/>
              <w:bidi w:val="0"/>
              <w:spacing w:before="0" w:after="283"/>
              <w:jc w:val="left"/>
              <w:rPr/>
            </w:pPr>
            <w:r>
              <w:rPr/>
              <w:t>≤</w:t>
            </w:r>
            <w:r>
              <w:rPr/>
              <w:t>3.25:1.00 but &gt;2.75:1.00</w:t>
            </w:r>
          </w:p>
        </w:tc>
        <w:tc>
          <w:tcPr>
            <w:tcW w:w="19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2.500</w:t>
            </w:r>
          </w:p>
        </w:tc>
        <w:tc>
          <w:tcPr>
            <w:tcW w:w="27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2" w:type="dxa"/>
            <w:tcBorders/>
            <w:vAlign w:val="bottom"/>
          </w:tcPr>
          <w:p>
            <w:pPr>
              <w:pStyle w:val="TableContents"/>
              <w:bidi w:val="0"/>
              <w:spacing w:before="0" w:after="283"/>
              <w:jc w:val="right"/>
              <w:rPr/>
            </w:pPr>
            <w:r>
              <w:rPr/>
              <w:t>1.500</w:t>
            </w:r>
          </w:p>
        </w:tc>
        <w:tc>
          <w:tcPr>
            <w:tcW w:w="27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0.250</w:t>
            </w:r>
          </w:p>
        </w:tc>
        <w:tc>
          <w:tcPr>
            <w:tcW w:w="283" w:type="dxa"/>
            <w:tcBorders/>
            <w:vAlign w:val="bottom"/>
          </w:tcPr>
          <w:p>
            <w:pPr>
              <w:pStyle w:val="TableContents"/>
              <w:bidi w:val="0"/>
              <w:spacing w:before="0" w:after="283"/>
              <w:jc w:val="left"/>
              <w:rPr/>
            </w:pPr>
            <w:r>
              <w:rPr/>
              <w:t>% </w:t>
            </w:r>
          </w:p>
        </w:tc>
      </w:tr>
      <w:tr>
        <w:trPr/>
        <w:tc>
          <w:tcPr>
            <w:tcW w:w="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w:t>
            </w:r>
          </w:p>
        </w:tc>
        <w:tc>
          <w:tcPr>
            <w:tcW w:w="193" w:type="dxa"/>
            <w:tcBorders/>
            <w:shd w:fill="CCEEFF" w:val="clear"/>
            <w:vAlign w:val="bottom"/>
          </w:tcPr>
          <w:p>
            <w:pPr>
              <w:pStyle w:val="TableContents"/>
              <w:bidi w:val="0"/>
              <w:spacing w:before="0" w:after="283"/>
              <w:jc w:val="left"/>
              <w:rPr/>
            </w:pPr>
            <w:r>
              <w:rPr/>
              <w:t>  </w:t>
            </w:r>
          </w:p>
        </w:tc>
        <w:tc>
          <w:tcPr>
            <w:tcW w:w="2515" w:type="dxa"/>
            <w:tcBorders/>
            <w:shd w:fill="CCEEFF" w:val="clear"/>
            <w:vAlign w:val="bottom"/>
          </w:tcPr>
          <w:p>
            <w:pPr>
              <w:pStyle w:val="TableContents"/>
              <w:bidi w:val="0"/>
              <w:spacing w:before="0" w:after="283"/>
              <w:jc w:val="left"/>
              <w:rPr/>
            </w:pPr>
            <w:r>
              <w:rPr/>
              <w:t>≤</w:t>
            </w:r>
            <w:r>
              <w:rPr/>
              <w:t>2.75:1.00 but &gt;2.25:1.00</w:t>
            </w:r>
          </w:p>
        </w:tc>
        <w:tc>
          <w:tcPr>
            <w:tcW w:w="19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74" w:type="dxa"/>
            <w:tcBorders/>
            <w:shd w:fill="CCEEFF" w:val="clear"/>
            <w:vAlign w:val="bottom"/>
          </w:tcPr>
          <w:p>
            <w:pPr>
              <w:pStyle w:val="TableContents"/>
              <w:bidi w:val="0"/>
              <w:spacing w:before="0" w:after="283"/>
              <w:jc w:val="right"/>
              <w:rPr/>
            </w:pPr>
            <w:r>
              <w:rPr/>
              <w:t>2.250</w:t>
            </w:r>
          </w:p>
        </w:tc>
        <w:tc>
          <w:tcPr>
            <w:tcW w:w="27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283"/>
              <w:jc w:val="right"/>
              <w:rPr/>
            </w:pPr>
            <w:r>
              <w:rPr/>
              <w:t>1.250</w:t>
            </w:r>
          </w:p>
        </w:tc>
        <w:tc>
          <w:tcPr>
            <w:tcW w:w="27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0.200</w:t>
            </w:r>
          </w:p>
        </w:tc>
        <w:tc>
          <w:tcPr>
            <w:tcW w:w="283" w:type="dxa"/>
            <w:tcBorders/>
            <w:shd w:fill="CCEEFF" w:val="clear"/>
            <w:vAlign w:val="bottom"/>
          </w:tcPr>
          <w:p>
            <w:pPr>
              <w:pStyle w:val="TableContents"/>
              <w:bidi w:val="0"/>
              <w:spacing w:before="0" w:after="283"/>
              <w:jc w:val="left"/>
              <w:rPr/>
            </w:pPr>
            <w:r>
              <w:rPr/>
              <w:t>% </w:t>
            </w:r>
          </w:p>
        </w:tc>
      </w:tr>
      <w:tr>
        <w:trPr/>
        <w:tc>
          <w:tcPr>
            <w:tcW w:w="609" w:type="dxa"/>
            <w:tcBorders/>
          </w:tcPr>
          <w:p>
            <w:pPr>
              <w:pStyle w:val="TableContents"/>
              <w:bidi w:val="0"/>
              <w:spacing w:before="0" w:after="0"/>
              <w:jc w:val="left"/>
              <w:rPr>
                <w:rFonts w:ascii="Times New Roman" w:hAnsi="Times New Roman"/>
                <w:sz w:val="20"/>
              </w:rPr>
            </w:pPr>
            <w:r>
              <w:rPr>
                <w:rFonts w:ascii="Times New Roman" w:hAnsi="Times New Roman"/>
                <w:sz w:val="20"/>
              </w:rPr>
              <w:t>VI</w:t>
            </w:r>
          </w:p>
        </w:tc>
        <w:tc>
          <w:tcPr>
            <w:tcW w:w="193" w:type="dxa"/>
            <w:tcBorders/>
            <w:vAlign w:val="bottom"/>
          </w:tcPr>
          <w:p>
            <w:pPr>
              <w:pStyle w:val="TableContents"/>
              <w:bidi w:val="0"/>
              <w:spacing w:before="0" w:after="283"/>
              <w:jc w:val="left"/>
              <w:rPr/>
            </w:pPr>
            <w:r>
              <w:rPr/>
              <w:t>  </w:t>
            </w:r>
          </w:p>
        </w:tc>
        <w:tc>
          <w:tcPr>
            <w:tcW w:w="2515" w:type="dxa"/>
            <w:tcBorders/>
            <w:vAlign w:val="bottom"/>
          </w:tcPr>
          <w:p>
            <w:pPr>
              <w:pStyle w:val="TableContents"/>
              <w:bidi w:val="0"/>
              <w:spacing w:before="0" w:after="283"/>
              <w:jc w:val="left"/>
              <w:rPr/>
            </w:pPr>
            <w:r>
              <w:rPr/>
              <w:t>≤</w:t>
            </w:r>
            <w:r>
              <w:rPr/>
              <w:t>2.25:1.00</w:t>
            </w:r>
          </w:p>
        </w:tc>
        <w:tc>
          <w:tcPr>
            <w:tcW w:w="19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2.000</w:t>
            </w:r>
          </w:p>
        </w:tc>
        <w:tc>
          <w:tcPr>
            <w:tcW w:w="27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2"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0.200</w:t>
            </w:r>
          </w:p>
        </w:tc>
        <w:tc>
          <w:tcPr>
            <w:tcW w:w="28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Applicable Rate resulting from a change in the Consolidated Total Leverage Ratio shall become effective as of the first Business Day immediately following the date a Compliance Certificate is delivered pursuant to </w:t>
      </w:r>
      <w:r>
        <w:rPr>
          <w:rFonts w:ascii="Times New Roman" w:hAnsi="Times New Roman"/>
          <w:sz w:val="20"/>
          <w:u w:val="single"/>
        </w:rPr>
        <w:t>Section 6.02(b)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Compliance Certificate is not delivered within 5 Business Days of its becoming due in accordance with such </w:t>
      </w:r>
      <w:r>
        <w:rPr>
          <w:rFonts w:ascii="Times New Roman" w:hAnsi="Times New Roman"/>
          <w:sz w:val="20"/>
          <w:u w:val="single"/>
        </w:rPr>
        <w:t>Section 6.02(b)</w:t>
      </w:r>
      <w:r>
        <w:rPr>
          <w:rFonts w:ascii="Times New Roman" w:hAnsi="Times New Roman"/>
          <w:sz w:val="20"/>
        </w:rPr>
        <w:t xml:space="preserve">, then Pricing Level I will be applicable as of the first Business Day after the date on which such Compliance Certificate was required to be delivered until the date five Business Days after the appropriate Compliance Certificate is delivered, whereupon the Applicable Rate shall be adjusted based on the information contained in the Compliance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definition, the determination of the Applicable Rate for any period shall be subject to the provisions of </w:t>
      </w:r>
      <w:r>
        <w:rPr>
          <w:rFonts w:ascii="Times New Roman" w:hAnsi="Times New Roman"/>
          <w:sz w:val="20"/>
          <w:u w:val="single"/>
        </w:rPr>
        <w:t>Section 2.10(b)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Revolving Credit Percentage</w:t>
      </w:r>
      <w:r>
        <w:rPr>
          <w:rFonts w:ascii="Times New Roman" w:hAnsi="Times New Roman"/>
          <w:sz w:val="20"/>
        </w:rPr>
        <w:t xml:space="preserve">” means, with respect to any Revolving Credit Lender at any time, such Revolving Credit Lender’s Applicable Percentage in respect of the Revolving Credit Facility at such time. </w:t>
      </w:r>
    </w:p>
    <w:p>
      <w:pPr>
        <w:pStyle w:val="TextBody"/>
        <w:bidi w:val="0"/>
        <w:spacing w:before="240" w:after="0"/>
        <w:jc w:val="left"/>
        <w:rPr/>
      </w:pPr>
      <w:r>
        <w:rPr/>
        <w:t>“</w:t>
      </w:r>
      <w:r>
        <w:rPr>
          <w:rFonts w:ascii="Times New Roman" w:hAnsi="Times New Roman"/>
          <w:sz w:val="20"/>
          <w:u w:val="single"/>
        </w:rPr>
        <w:t>Appropriate Lender</w:t>
      </w:r>
      <w:r>
        <w:rPr>
          <w:rFonts w:ascii="Times New Roman" w:hAnsi="Times New Roman"/>
          <w:sz w:val="20"/>
        </w:rPr>
        <w:t xml:space="preserve">” means, at any time, (a) with respect to any Facility, a Lender that has a Commitment with respect to such Facility or holds a Loan under such Facility at such time, (b) with respect to the Letter of Credit Sublimit, (i) each L/C Issuer and (ii) if any Letters of Credit have been issued pursuant to </w:t>
      </w:r>
      <w:r>
        <w:rPr>
          <w:rFonts w:ascii="Times New Roman" w:hAnsi="Times New Roman"/>
          <w:sz w:val="20"/>
          <w:u w:val="single"/>
        </w:rPr>
        <w:t>Section 2.03(a)</w:t>
      </w:r>
      <w:r>
        <w:rPr>
          <w:rFonts w:ascii="Times New Roman" w:hAnsi="Times New Roman"/>
          <w:sz w:val="20"/>
        </w:rPr>
        <w:t xml:space="preserve">, the Revolving Credit Lenders and (c) with respect to the Swing Line Sublimit, (i) the Swing Line Lender and (ii) if any Swing Line Loans are outstanding pursuant to </w:t>
      </w:r>
      <w:r>
        <w:rPr>
          <w:rFonts w:ascii="Times New Roman" w:hAnsi="Times New Roman"/>
          <w:sz w:val="20"/>
          <w:u w:val="single"/>
        </w:rPr>
        <w:t>Section 2.04(a)</w:t>
      </w:r>
      <w:r>
        <w:rPr>
          <w:rFonts w:ascii="Times New Roman" w:hAnsi="Times New Roman"/>
          <w:sz w:val="20"/>
        </w:rPr>
        <w:t xml:space="preserve">, the Revolving Credit Lenders. </w:t>
      </w:r>
    </w:p>
    <w:p>
      <w:pPr>
        <w:pStyle w:val="TextBody"/>
        <w:bidi w:val="0"/>
        <w:spacing w:before="240" w:after="0"/>
        <w:jc w:val="left"/>
        <w:rPr/>
      </w:pPr>
      <w:r>
        <w:rPr/>
        <w:t>“</w:t>
      </w:r>
      <w:r>
        <w:rPr>
          <w:rFonts w:ascii="Times New Roman" w:hAnsi="Times New Roman"/>
          <w:sz w:val="20"/>
          <w:u w:val="single"/>
        </w:rPr>
        <w:t>Approved Bank</w:t>
      </w:r>
      <w:r>
        <w:rPr>
          <w:rFonts w:ascii="Times New Roman" w:hAnsi="Times New Roman"/>
          <w:sz w:val="20"/>
        </w:rPr>
        <w:t>” has the meaning specified in clause (c) of the definition of “</w:t>
      </w:r>
      <w:r>
        <w:rPr>
          <w:rFonts w:ascii="Times New Roman" w:hAnsi="Times New Roman"/>
          <w:sz w:val="20"/>
          <w:u w:val="single"/>
        </w:rPr>
        <w:t>Cash Equivalents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Arrangers</w:t>
      </w:r>
      <w:r>
        <w:rPr>
          <w:rFonts w:ascii="Times New Roman" w:hAnsi="Times New Roman"/>
          <w:sz w:val="20"/>
        </w:rPr>
        <w:t xml:space="preserve">” means each of the entities listed as a “Joint Lead Arranger and Joint Bookrunner” on the cover of this Agreement in its capacity as a joint lead arranger and a joint bookrunner. </w:t>
      </w:r>
    </w:p>
    <w:p>
      <w:pPr>
        <w:pStyle w:val="TextBody"/>
        <w:bidi w:val="0"/>
        <w:spacing w:before="240" w:after="0"/>
        <w:jc w:val="left"/>
        <w:rPr/>
      </w:pPr>
      <w:r>
        <w:rPr/>
        <w:t>“</w:t>
      </w:r>
      <w:r>
        <w:rPr>
          <w:rFonts w:ascii="Times New Roman" w:hAnsi="Times New Roman"/>
          <w:sz w:val="20"/>
          <w:u w:val="single"/>
        </w:rPr>
        <w:t>Assignee Group</w:t>
      </w:r>
      <w:r>
        <w:rPr>
          <w:rFonts w:ascii="Times New Roman" w:hAnsi="Times New Roman"/>
          <w:sz w:val="20"/>
        </w:rPr>
        <w:t xml:space="preserve">” means two or more Eligible Assignees that are Affiliates of one another or two or more Approved Funds managed by the same investment advisor.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party whose consent is required by </w:t>
      </w:r>
      <w:r>
        <w:rPr>
          <w:rFonts w:ascii="Times New Roman" w:hAnsi="Times New Roman"/>
          <w:sz w:val="20"/>
          <w:u w:val="single"/>
        </w:rPr>
        <w:t>Section 10.06(b)</w:t>
      </w:r>
      <w:r>
        <w:rPr>
          <w:rFonts w:ascii="Times New Roman" w:hAnsi="Times New Roman"/>
          <w:sz w:val="20"/>
        </w:rPr>
        <w:t xml:space="preserve">), and accepted by the Administrative Agent, in substantially the form of </w:t>
      </w:r>
      <w:r>
        <w:rPr>
          <w:rFonts w:ascii="Times New Roman" w:hAnsi="Times New Roman"/>
          <w:sz w:val="20"/>
          <w:u w:val="single"/>
        </w:rPr>
        <w:t>Exhibit E</w:t>
      </w:r>
      <w:r>
        <w:rPr>
          <w:rFonts w:ascii="Times New Roman" w:hAnsi="Times New Roman"/>
          <w:sz w:val="20"/>
        </w:rPr>
        <w:t xml:space="preserve"> or any other form approved by the Administrative Agent. </w:t>
      </w:r>
    </w:p>
    <w:p>
      <w:pPr>
        <w:pStyle w:val="TextBody"/>
        <w:bidi w:val="0"/>
        <w:spacing w:before="240" w:after="0"/>
        <w:jc w:val="left"/>
        <w:rPr/>
      </w:pPr>
      <w:r>
        <w:rPr/>
        <w:t>“</w:t>
      </w:r>
      <w:r>
        <w:rPr>
          <w:rFonts w:ascii="Times New Roman" w:hAnsi="Times New Roman"/>
          <w:sz w:val="20"/>
          <w:u w:val="single"/>
        </w:rPr>
        <w:t>Attributable Indebtedness</w:t>
      </w:r>
      <w:r>
        <w:rPr>
          <w:rFonts w:ascii="Times New Roman" w:hAnsi="Times New Roman"/>
          <w:sz w:val="20"/>
        </w:rPr>
        <w:t xml:space="preserve">” means, on any date, (a) in respect of any Capitalized Lease of any Person, the capitalized amount thereof that would appear on a balance sheet of such Person prepared as of such date in accordance with GAAP, and (b) in respect of any Off-Balance Sheet Obligation, the capitalized amount of the remaining lease payments under the relevant lease that would appear on a balance sheet of such Person prepared as of such date in accordance with GAAP if such lease were accounted for as a Capitalized Lease. </w:t>
      </w:r>
    </w:p>
    <w:p>
      <w:pPr>
        <w:pStyle w:val="TextBody"/>
        <w:bidi w:val="0"/>
        <w:spacing w:before="240" w:after="0"/>
        <w:jc w:val="left"/>
        <w:rPr/>
      </w:pPr>
      <w:r>
        <w:rPr/>
        <w:t>“</w:t>
      </w:r>
      <w:r>
        <w:rPr>
          <w:rFonts w:ascii="Times New Roman" w:hAnsi="Times New Roman"/>
          <w:sz w:val="20"/>
          <w:u w:val="single"/>
        </w:rPr>
        <w:t>Audited Financial Statements</w:t>
      </w:r>
      <w:r>
        <w:rPr>
          <w:rFonts w:ascii="Times New Roman" w:hAnsi="Times New Roman"/>
          <w:sz w:val="20"/>
        </w:rPr>
        <w:t xml:space="preserve">” means (a) the audited consolidated balance sheets of the Borrower and its Consolidated Subsidiaries for the fiscal year ended December 31, 2025, and (b) the related consolidated statements of income or operations, shareholders’ equity and cash flows for such fiscal year of the Borrower and its Consolidated Subsidiaries, including the notes thereto. </w:t>
      </w:r>
    </w:p>
    <w:p>
      <w:pPr>
        <w:pStyle w:val="TextBody"/>
        <w:bidi w:val="0"/>
        <w:spacing w:before="240" w:after="0"/>
        <w:jc w:val="left"/>
        <w:rPr/>
      </w:pPr>
      <w:r>
        <w:rPr/>
        <w:t>“</w:t>
      </w:r>
      <w:r>
        <w:rPr>
          <w:rFonts w:ascii="Times New Roman" w:hAnsi="Times New Roman"/>
          <w:sz w:val="20"/>
          <w:u w:val="single"/>
        </w:rPr>
        <w:t>Auto-Extension Letter of Credit</w:t>
      </w:r>
      <w:r>
        <w:rPr>
          <w:rFonts w:ascii="Times New Roman" w:hAnsi="Times New Roman"/>
          <w:sz w:val="20"/>
        </w:rPr>
        <w:t xml:space="preserve">” shall have the meaning specified in </w:t>
      </w:r>
      <w:r>
        <w:rPr>
          <w:rFonts w:ascii="Times New Roman" w:hAnsi="Times New Roman"/>
          <w:sz w:val="20"/>
          <w:u w:val="single"/>
        </w:rPr>
        <w:t>Section 2.03(b)(iii)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means, in respect of the Revolving Credit Facility, the period from and including the Closing Date to the earliest of (a) the Maturity Date, (b) the date of termination of all of the Commitments pursuant to </w:t>
      </w:r>
      <w:r>
        <w:rPr>
          <w:rFonts w:ascii="Times New Roman" w:hAnsi="Times New Roman"/>
          <w:sz w:val="20"/>
          <w:u w:val="single"/>
        </w:rPr>
        <w:t>Section 2.06</w:t>
      </w:r>
      <w:r>
        <w:rPr>
          <w:rFonts w:ascii="Times New Roman" w:hAnsi="Times New Roman"/>
          <w:sz w:val="20"/>
        </w:rPr>
        <w:t xml:space="preserve">, and (c) the date of termination of the Commitment of each Revolving Credit Lender to make Revolving Credit Loans and of the obligation of each L/C Issuer to make L/C Credit Extensions pursuant to </w:t>
      </w:r>
      <w:r>
        <w:rPr>
          <w:rFonts w:ascii="Times New Roman" w:hAnsi="Times New Roman"/>
          <w:sz w:val="20"/>
          <w:u w:val="single"/>
        </w:rPr>
        <w:t>Section 8.02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 of America</w:t>
      </w:r>
      <w:r>
        <w:rPr>
          <w:rFonts w:ascii="Times New Roman" w:hAnsi="Times New Roman"/>
          <w:sz w:val="20"/>
        </w:rPr>
        <w:t xml:space="preserve">” means Bank of America, N.A. and its successors.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means for any day a fluctuating rate per annum equal to the highest of (a) the Federal Funds Rate </w:t>
      </w:r>
      <w:r>
        <w:rPr>
          <w:rFonts w:ascii="Times New Roman" w:hAnsi="Times New Roman"/>
          <w:sz w:val="20"/>
          <w:u w:val="single"/>
        </w:rPr>
        <w:t>plus</w:t>
      </w:r>
      <w:r>
        <w:rPr>
          <w:rFonts w:ascii="Times New Roman" w:hAnsi="Times New Roman"/>
          <w:sz w:val="20"/>
        </w:rPr>
        <w:t xml:space="preserve"> 1/2 of 1%, (b) the rate of interest in effect for such day as publicly announced from time to time by Bank of America as its “prime rate,” (c) Term SOFR for a one-month Interest Period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3.03 hereof, then the Base Rate shall be the highest of clauses (a), (b) and (d) above and shall be determined without reference to clause (c) above. </w:t>
      </w:r>
    </w:p>
    <w:p>
      <w:pPr>
        <w:pStyle w:val="TextBody"/>
        <w:bidi w:val="0"/>
        <w:spacing w:before="240" w:after="0"/>
        <w:jc w:val="left"/>
        <w:rPr/>
      </w:pPr>
      <w:r>
        <w:rPr/>
        <w:t>“</w:t>
      </w:r>
      <w:r>
        <w:rPr>
          <w:rFonts w:ascii="Times New Roman" w:hAnsi="Times New Roman"/>
          <w:sz w:val="20"/>
          <w:u w:val="single"/>
        </w:rPr>
        <w:t>Base Rate Loan</w:t>
      </w:r>
      <w:r>
        <w:rPr>
          <w:rFonts w:ascii="Times New Roman" w:hAnsi="Times New Roman"/>
          <w:sz w:val="20"/>
        </w:rPr>
        <w:t xml:space="preserve">” means a Loan that bears interest based on the Base Rate.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has the meaning specified in the preamble hereto.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Revolving Credit Borrowing, a Swing Line Borrowing, a Term A Borrowing or a Term B Borrowing, as the context may require.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(x) a Saturday, Sunday or other day on which commercial banks are authorized to close under the Laws of, or are in fact closed in, the state where the Administrative Agent’s Office is located or the State of New York and (y) if such day relates to any Term SOFR Loan, any day that is not a U.S. Government Securities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Businesses</w:t>
      </w:r>
      <w:r>
        <w:rPr>
          <w:rFonts w:ascii="Times New Roman" w:hAnsi="Times New Roman"/>
          <w:sz w:val="20"/>
        </w:rPr>
        <w:t xml:space="preserve">” has the meaning specified in </w:t>
      </w:r>
      <w:r>
        <w:rPr>
          <w:rFonts w:ascii="Times New Roman" w:hAnsi="Times New Roman"/>
          <w:sz w:val="20"/>
          <w:u w:val="single"/>
        </w:rPr>
        <w:t>Section 5.13(a)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Capital Expenditures</w:t>
      </w:r>
      <w:r>
        <w:rPr>
          <w:rFonts w:ascii="Times New Roman" w:hAnsi="Times New Roman"/>
          <w:sz w:val="20"/>
        </w:rPr>
        <w:t xml:space="preserve">” means, with respect to any Person for any period, any expenditure in respect of the purchase or other acquisition of any fixed or capital asset that, in conformity with GAAP, is required to be capitalized and reflected in the property, plant and equipment or similar fixed asset accounts in the consolidated balance sheet of such Person and its Subsidiaries (and excluding, for the avoidance of doubt, normal replacements and maintenance which are properly charged under GAAP to current operations). </w:t>
      </w:r>
    </w:p>
    <w:p>
      <w:pPr>
        <w:pStyle w:val="TextBody"/>
        <w:bidi w:val="0"/>
        <w:spacing w:before="240" w:after="0"/>
        <w:jc w:val="left"/>
        <w:rPr/>
      </w:pPr>
      <w:r>
        <w:rPr/>
        <w:t>“</w:t>
      </w:r>
      <w:r>
        <w:rPr>
          <w:rFonts w:ascii="Times New Roman" w:hAnsi="Times New Roman"/>
          <w:sz w:val="20"/>
          <w:u w:val="single"/>
        </w:rPr>
        <w:t>Capitalized Lease</w:t>
      </w:r>
      <w:r>
        <w:rPr>
          <w:rFonts w:ascii="Times New Roman" w:hAnsi="Times New Roman"/>
          <w:sz w:val="20"/>
        </w:rPr>
        <w:t xml:space="preserve">” means, as applied to any Person, any lease of any Property (whether real, personal or mixed) by that Person as lessee which, in accordance with GAAP, is or should be accounted for as a capital lease on the balance sheet of such Person; </w:t>
      </w:r>
      <w:r>
        <w:rPr>
          <w:rFonts w:ascii="Times New Roman" w:hAnsi="Times New Roman"/>
          <w:sz w:val="20"/>
          <w:u w:val="single"/>
        </w:rPr>
        <w:t>provided</w:t>
      </w:r>
      <w:r>
        <w:rPr>
          <w:rFonts w:ascii="Times New Roman" w:hAnsi="Times New Roman"/>
          <w:sz w:val="20"/>
        </w:rPr>
        <w:t xml:space="preserve"> that, notwithstanding the foregoing, in no event will any lease that would have been categorized as an operating lease as determined in accordance with GAAP on the Closing Date be considered a capital lease (whether or not such lease was in effect on such date), regardless of any change in GAAP following the Closing Date that would otherwise require such obligations to be recharacterized (on a prospective or retroactive basis or otherwise) as a capital lease. </w:t>
      </w:r>
    </w:p>
    <w:p>
      <w:pPr>
        <w:pStyle w:val="TextBody"/>
        <w:bidi w:val="0"/>
        <w:spacing w:before="240" w:after="0"/>
        <w:jc w:val="left"/>
        <w:rPr/>
      </w:pPr>
      <w:r>
        <w:rPr/>
        <w:t>“</w:t>
      </w:r>
      <w:r>
        <w:rPr>
          <w:rFonts w:ascii="Times New Roman" w:hAnsi="Times New Roman"/>
          <w:sz w:val="20"/>
          <w:u w:val="single"/>
        </w:rPr>
        <w:t>Capitalized Software Expenditures</w:t>
      </w:r>
      <w:r>
        <w:rPr>
          <w:rFonts w:ascii="Times New Roman" w:hAnsi="Times New Roman"/>
          <w:sz w:val="20"/>
        </w:rPr>
        <w:t xml:space="preserve">” shall mean, for any period, the aggregate of all expenditures (whether paid in cash or accrued as liabilities) by a Person and its Subsidiaries during such period in respect of purchased software or internally developed software and software enhancements that, in conformity with GAAP, are or are required to be reflected as capitalized costs on the consolidated balance sheet of a Person and its Subsidiaries. </w:t>
      </w:r>
    </w:p>
    <w:p>
      <w:pPr>
        <w:pStyle w:val="TextBody"/>
        <w:bidi w:val="0"/>
        <w:spacing w:before="240" w:after="0"/>
        <w:jc w:val="left"/>
        <w:rPr/>
      </w:pPr>
      <w:r>
        <w:rPr/>
        <w:t>“</w:t>
      </w:r>
      <w:r>
        <w:rPr>
          <w:rFonts w:ascii="Times New Roman" w:hAnsi="Times New Roman"/>
          <w:sz w:val="20"/>
          <w:u w:val="single"/>
        </w:rPr>
        <w:t>Cash Collateralize</w:t>
      </w:r>
      <w:r>
        <w:rPr>
          <w:rFonts w:ascii="Times New Roman" w:hAnsi="Times New Roman"/>
          <w:sz w:val="20"/>
        </w:rPr>
        <w:t>” means to pledge and deposit with or deliver to the Administrative Agent, for the benefit of the Administrative Agent, one or more of the L/C Issuers or the Swing Line Lender (as applicable) and the Revolving Credit Lenders, as collateral for the L/C Obligations, Obligations in respect of Swing Line Loans, or obligations of Revolving Credit Lenders to fund participations in respect of either thereof (as the context may require), cash or deposit account balances or, if the applicable L/C Issuer or the Swing Line Lender benefitting from such collateral shall agree in its sole discretion, other credit support, in each case pursuant to documentation in form and substance satisfactory to (a) the Administrative Agent and (b) the applicable L/C Issuer or the Swing Line Lender (as applicable). “</w:t>
      </w:r>
      <w:r>
        <w:rPr>
          <w:rFonts w:ascii="Times New Roman" w:hAnsi="Times New Roman"/>
          <w:sz w:val="20"/>
          <w:u w:val="single"/>
        </w:rPr>
        <w:t>Cash Collateral</w:t>
      </w:r>
      <w:r>
        <w:rPr>
          <w:rFonts w:ascii="Times New Roman" w:hAnsi="Times New Roman"/>
          <w:sz w:val="20"/>
        </w:rPr>
        <w:t xml:space="preserve">” shall have a meaning correlative to the foregoing and shall include the proceeds of such cash collateral and other credit support.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securities issued or directly and fully guaranteed or insured by the United States of America or any agency or instrumentality thereof (</w:t>
      </w:r>
      <w:r>
        <w:rPr>
          <w:rFonts w:ascii="Times New Roman" w:hAnsi="Times New Roman"/>
          <w:sz w:val="20"/>
          <w:u w:val="single"/>
        </w:rPr>
        <w:t>provided</w:t>
      </w:r>
      <w:r>
        <w:rPr>
          <w:rFonts w:ascii="Times New Roman" w:hAnsi="Times New Roman"/>
          <w:sz w:val="20"/>
        </w:rPr>
        <w:t xml:space="preserve"> that the full faith and credit of the United States of America is pledged in support thereof) having maturities of not more than thirty-six (36) months from the date of acquisition; </w:t>
      </w:r>
    </w:p>
    <w:p>
      <w:pPr>
        <w:pStyle w:val="TextBody"/>
        <w:bidi w:val="0"/>
        <w:spacing w:before="120" w:after="0"/>
        <w:jc w:val="left"/>
        <w:rPr>
          <w:rFonts w:ascii="Times New Roman" w:hAnsi="Times New Roman"/>
          <w:sz w:val="20"/>
        </w:rPr>
      </w:pPr>
      <w:r>
        <w:rPr>
          <w:rFonts w:ascii="Times New Roman" w:hAnsi="Times New Roman"/>
          <w:sz w:val="20"/>
        </w:rPr>
        <w:t>(b) marketable obligations issued by any state or commonwealth of the United States of America rated (at the time of acquisition of such security) at least “</w:t>
      </w:r>
      <w:r>
        <w:rPr>
          <w:rFonts w:ascii="Times New Roman" w:hAnsi="Times New Roman"/>
          <w:i/>
          <w:sz w:val="20"/>
        </w:rPr>
        <w:t>AA</w:t>
      </w:r>
      <w:r>
        <w:rPr>
          <w:rFonts w:ascii="Times New Roman" w:hAnsi="Times New Roman"/>
          <w:sz w:val="20"/>
        </w:rPr>
        <w:t xml:space="preserve">” by S&amp;P, or the equivalent thereof by Moody’s, having maturities of not more than thirty-six (36) months from the date of acquisition; </w:t>
      </w:r>
    </w:p>
    <w:p>
      <w:pPr>
        <w:pStyle w:val="TextBody"/>
        <w:bidi w:val="0"/>
        <w:spacing w:before="120" w:after="0"/>
        <w:jc w:val="left"/>
        <w:rPr>
          <w:rFonts w:ascii="Times New Roman" w:hAnsi="Times New Roman"/>
          <w:sz w:val="20"/>
        </w:rPr>
      </w:pPr>
      <w:r>
        <w:rPr>
          <w:rFonts w:ascii="Times New Roman" w:hAnsi="Times New Roman"/>
          <w:sz w:val="20"/>
        </w:rPr>
        <w:t>(c) time deposits (including eurodollar time deposits), certificates of deposit (including eurodollar certificates of deposit) and bankers’ acceptances of (i) any Lender or any Affiliate of any Lender, (ii) any commercial bank of recognized standing either organized under the laws of the United States (or any State or territory thereof) having capital and surplus in excess of $500,000,000 or (iii) any bank whose short term commercial paper rating (at the time of acquisition of such security) by S&amp;P is at least “</w:t>
      </w:r>
      <w:r>
        <w:rPr>
          <w:rFonts w:ascii="Times New Roman" w:hAnsi="Times New Roman"/>
          <w:i/>
          <w:sz w:val="20"/>
        </w:rPr>
        <w:t>A-1</w:t>
      </w:r>
      <w:r>
        <w:rPr>
          <w:rFonts w:ascii="Times New Roman" w:hAnsi="Times New Roman"/>
          <w:sz w:val="20"/>
        </w:rPr>
        <w:t>” or the equivalent thereof (any such bank, an “</w:t>
      </w:r>
      <w:r>
        <w:rPr>
          <w:rFonts w:ascii="Times New Roman" w:hAnsi="Times New Roman"/>
          <w:sz w:val="20"/>
          <w:u w:val="single"/>
        </w:rPr>
        <w:t>Approved Bank</w:t>
      </w:r>
      <w:r>
        <w:rPr>
          <w:rFonts w:ascii="Times New Roman" w:hAnsi="Times New Roman"/>
          <w:sz w:val="20"/>
        </w:rPr>
        <w:t xml:space="preserve">”), in each case with maturities of not more than twelve months from the date of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commercial paper and variable or fixed rate notes issued by any Lender or Approved Bank or by the parent company of any Lender or Approved Bank and commercial paper and variable rate notes issued by, or guaranteed by, any industrial or financial company organized under the laws of the United States of America or any state or commonwealth thereof or the District of Columbia with a short term commercial paper rating (at the time of acquisition of such security) of at least “</w:t>
      </w:r>
      <w:r>
        <w:rPr>
          <w:rFonts w:ascii="Times New Roman" w:hAnsi="Times New Roman"/>
          <w:i/>
          <w:sz w:val="20"/>
        </w:rPr>
        <w:t>A-1</w:t>
      </w:r>
      <w:r>
        <w:rPr>
          <w:rFonts w:ascii="Times New Roman" w:hAnsi="Times New Roman"/>
          <w:sz w:val="20"/>
        </w:rPr>
        <w:t>” or the equivalent thereof by S&amp;P or at least “</w:t>
      </w:r>
      <w:r>
        <w:rPr>
          <w:rFonts w:ascii="Times New Roman" w:hAnsi="Times New Roman"/>
          <w:i/>
          <w:sz w:val="20"/>
        </w:rPr>
        <w:t>P-1</w:t>
      </w:r>
      <w:r>
        <w:rPr>
          <w:rFonts w:ascii="Times New Roman" w:hAnsi="Times New Roman"/>
          <w:sz w:val="20"/>
        </w:rPr>
        <w:t>” or the equivalent thereof by Moody’s, or guaranteed by any industrial company organized under the laws of the United States of America or any state or commonwealth thereof or the District of Columbia with a long term unsecured debt rating (at the time of acquisition of such security) of at least “</w:t>
      </w:r>
      <w:r>
        <w:rPr>
          <w:rFonts w:ascii="Times New Roman" w:hAnsi="Times New Roman"/>
          <w:i/>
          <w:sz w:val="20"/>
        </w:rPr>
        <w:t>Aa</w:t>
      </w:r>
      <w:r>
        <w:rPr>
          <w:rFonts w:ascii="Times New Roman" w:hAnsi="Times New Roman"/>
          <w:sz w:val="20"/>
        </w:rPr>
        <w:t xml:space="preserve">” or the equivalent thereof by Moody’s, and in each case with maturities of not more than 270 days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(e) money market and similar funds that (i) comply with the criteria set forth in Rule 2a-7 under the Investment Company Act of 1940, (ii) are rated “Aaa” by Moody’s and “AAA” by S&amp;P (or reasonably equivalent ratings of another internationally recognized rating agency) and (iii) have portfolio assets of at least $500.0 million; </w:t>
      </w:r>
    </w:p>
    <w:p>
      <w:pPr>
        <w:pStyle w:val="TextBody"/>
        <w:bidi w:val="0"/>
        <w:spacing w:before="120" w:after="0"/>
        <w:jc w:val="left"/>
        <w:rPr>
          <w:rFonts w:ascii="Times New Roman" w:hAnsi="Times New Roman"/>
          <w:sz w:val="20"/>
        </w:rPr>
      </w:pPr>
      <w:r>
        <w:rPr>
          <w:rFonts w:ascii="Times New Roman" w:hAnsi="Times New Roman"/>
          <w:sz w:val="20"/>
        </w:rPr>
        <w:t xml:space="preserve">(f) Indebtedness issued by persons with a rating of at least “A-2” by Moody’s or “A” by S&amp;P (or reasonably equivalent ratings of another internationally recognized rating agency), in each case, with maturities not exceeding one year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(g) shares of mutual funds whose investment guidelines restrict 95% of such funds’ investments to those satisfying the requirements of this definition and cash; and </w:t>
      </w:r>
    </w:p>
    <w:p>
      <w:pPr>
        <w:pStyle w:val="TextBody"/>
        <w:bidi w:val="0"/>
        <w:spacing w:before="120" w:after="0"/>
        <w:jc w:val="left"/>
        <w:rPr>
          <w:rFonts w:ascii="Times New Roman" w:hAnsi="Times New Roman"/>
          <w:sz w:val="20"/>
        </w:rPr>
      </w:pPr>
      <w:r>
        <w:rPr>
          <w:rFonts w:ascii="Times New Roman" w:hAnsi="Times New Roman"/>
          <w:sz w:val="20"/>
        </w:rPr>
        <w:t xml:space="preserve">(h) instruments equivalent to those referred to in clauses (a) through (g) above denominated in any foreign currency comparable in credit quality and tenor to those referred to above and commonly used by corporations for cash management purposes in any jurisdiction outside the United States to the extent reasonably required in connection with any business conducted by any Subsidiary organized in such jurisdiction. </w:t>
      </w:r>
    </w:p>
    <w:p>
      <w:pPr>
        <w:pStyle w:val="TextBody"/>
        <w:bidi w:val="0"/>
        <w:spacing w:before="240" w:after="0"/>
        <w:jc w:val="left"/>
        <w:rPr/>
      </w:pPr>
      <w:r>
        <w:rPr/>
        <w:t>“</w:t>
      </w:r>
      <w:r>
        <w:rPr>
          <w:rFonts w:ascii="Times New Roman" w:hAnsi="Times New Roman"/>
          <w:sz w:val="20"/>
          <w:u w:val="single"/>
        </w:rPr>
        <w:t>Cash Management Bank</w:t>
      </w:r>
      <w:r>
        <w:rPr>
          <w:rFonts w:ascii="Times New Roman" w:hAnsi="Times New Roman"/>
          <w:sz w:val="20"/>
        </w:rPr>
        <w:t xml:space="preserve">” means (a) any Person that, at the time it enters into a Cash Management Services Agreement, is a Lender or an Affiliate of a Lender or the Administrative Agent or an Affiliate of the Administrative Agent, in its capacity as a party to such Cash Management Services Agreement and (b) any Person that, at the time it, or its Affiliate, became a Lender or the Administrative Agent hereunder (including on the Closing Date), was a party to a Cash Management Services Agreement. </w:t>
      </w:r>
    </w:p>
    <w:p>
      <w:pPr>
        <w:pStyle w:val="TextBody"/>
        <w:bidi w:val="0"/>
        <w:spacing w:before="240" w:after="0"/>
        <w:jc w:val="left"/>
        <w:rPr/>
      </w:pPr>
      <w:r>
        <w:rPr/>
        <w:t>“</w:t>
      </w:r>
      <w:r>
        <w:rPr>
          <w:rFonts w:ascii="Times New Roman" w:hAnsi="Times New Roman"/>
          <w:sz w:val="20"/>
          <w:u w:val="single"/>
        </w:rPr>
        <w:t>Cash Management Services Agreement</w:t>
      </w:r>
      <w:r>
        <w:rPr>
          <w:rFonts w:ascii="Times New Roman" w:hAnsi="Times New Roman"/>
          <w:sz w:val="20"/>
        </w:rPr>
        <w:t xml:space="preserve">” means any agreement to provide management services, including treasury, depository, overdraft, p-card, credit or debit card, electronic funds transfer and other cash management services. </w:t>
      </w:r>
    </w:p>
    <w:p>
      <w:pPr>
        <w:pStyle w:val="TextBody"/>
        <w:bidi w:val="0"/>
        <w:spacing w:before="240" w:after="0"/>
        <w:jc w:val="left"/>
        <w:rPr/>
      </w:pPr>
      <w:r>
        <w:rPr/>
        <w:t>“</w:t>
      </w:r>
      <w:r>
        <w:rPr>
          <w:rFonts w:ascii="Times New Roman" w:hAnsi="Times New Roman"/>
          <w:sz w:val="20"/>
          <w:u w:val="single"/>
        </w:rPr>
        <w:t>Casualty</w:t>
      </w:r>
      <w:r>
        <w:rPr>
          <w:rFonts w:ascii="Times New Roman" w:hAnsi="Times New Roman"/>
          <w:sz w:val="20"/>
        </w:rPr>
        <w:t xml:space="preserve">” means any casualty or other loss, damage or destruction.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of this Agreement, of any of the following: (i) the adoption or taking effect of any law, rule, regulation or treaty, (ii) any change in any law, rule, regulation or treaty or in the administration, interpretation or application thereof by any Governmental Authority or (iii) the making or issuance of any request,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of 2010, as amended, or any rules, regulations, interpretations, guidelines or directives promulgated thereunder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an event or series of events by which any Person (or two or more Persons acting in concert) shall have acquired by contract or otherwise, or shall have entered into a contract or arrangement that, upon consummation thereof, will result in its or their acquisition of control over Voting Securities of the Borrower on a fully-diluted basis assuming the conversion and/or exercise of all outstanding Equity Interests of the Borrower owned by such Person or Persons representing 50% or more of the combined voting power of all Voting Securities of the Borrower.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means, (a) when used with respect to Commitments, whether such Commitments are Revolving Credit Commitments, Term A Commitments, Term B Commitments or commitments in respect of any other series of Loans and (b) when used with respect to Loans or a Borrowing, whether such Loans, or the Loans comprising such Borrowing, are Revolving Credit Loans, Term A Loans, Term B Loans or Loans of any other series.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the first date all of the conditions precedent in </w:t>
      </w:r>
      <w:r>
        <w:rPr>
          <w:rFonts w:ascii="Times New Roman" w:hAnsi="Times New Roman"/>
          <w:sz w:val="20"/>
          <w:u w:val="single"/>
        </w:rPr>
        <w:t>Section 4.01</w:t>
      </w:r>
      <w:r>
        <w:rPr>
          <w:rFonts w:ascii="Times New Roman" w:hAnsi="Times New Roman"/>
          <w:sz w:val="20"/>
        </w:rPr>
        <w:t xml:space="preserve"> are satisfied or waived in accordance with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CME</w:t>
      </w:r>
      <w:r>
        <w:rPr>
          <w:rFonts w:ascii="Times New Roman" w:hAnsi="Times New Roman"/>
          <w:sz w:val="20"/>
        </w:rPr>
        <w:t xml:space="preserve">” means CME Group Benchmark Administration Limited.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all the “Collateral” referred to in the Collateral Documents and any other assets and property that are or are intended under the terms of the Collateral Documents to be subject to Liens in favor of the Administrative Agent for the benefit of the Secured Parties; </w:t>
      </w:r>
      <w:r>
        <w:rPr>
          <w:rFonts w:ascii="Times New Roman" w:hAnsi="Times New Roman"/>
          <w:sz w:val="20"/>
          <w:u w:val="single"/>
        </w:rPr>
        <w:t>provided</w:t>
      </w:r>
      <w:r>
        <w:rPr>
          <w:rFonts w:ascii="Times New Roman" w:hAnsi="Times New Roman"/>
          <w:sz w:val="20"/>
        </w:rPr>
        <w:t xml:space="preserve">, that, the parties acknowledge that assets and property acquired after the Closing Date, as permitted herein or otherwise, of the type described in the Collateral Documents are and shall be pledged to the Administrative Agent for the benefit of the Secured Parties as contemplated by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Documents</w:t>
      </w:r>
      <w:r>
        <w:rPr>
          <w:rFonts w:ascii="Times New Roman" w:hAnsi="Times New Roman"/>
          <w:sz w:val="20"/>
        </w:rPr>
        <w:t xml:space="preserve">” means, collectively, the Security Agreement, the Pledge Agreement, Intellectual Property Security Agreements and any other security agreements, pledge agreements or similar instruments delivered to the Administrative Agent as collateral agent from time to time pursuant to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and each other agreement, instrument or document that creates or purports to create a Lien in favor of the Administrative Agent for the benefit of the Secured Parties.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a Term Commitment or a Revolving Credit Commitment, as the context may require. </w:t>
      </w:r>
    </w:p>
    <w:p>
      <w:pPr>
        <w:pStyle w:val="TextBody"/>
        <w:bidi w:val="0"/>
        <w:spacing w:before="240" w:after="0"/>
        <w:jc w:val="left"/>
        <w:rPr/>
      </w:pPr>
      <w:r>
        <w:rPr/>
        <w:t>“</w:t>
      </w:r>
      <w:r>
        <w:rPr>
          <w:rFonts w:ascii="Times New Roman" w:hAnsi="Times New Roman"/>
          <w:sz w:val="20"/>
          <w:u w:val="single"/>
        </w:rPr>
        <w:t>Commitment Fee</w:t>
      </w:r>
      <w:r>
        <w:rPr>
          <w:rFonts w:ascii="Times New Roman" w:hAnsi="Times New Roman"/>
          <w:sz w:val="20"/>
        </w:rPr>
        <w:t xml:space="preserve">” has the meaning specified in </w:t>
      </w:r>
      <w:r>
        <w:rPr>
          <w:rFonts w:ascii="Times New Roman" w:hAnsi="Times New Roman"/>
          <w:sz w:val="20"/>
          <w:u w:val="single"/>
        </w:rPr>
        <w:t>Section 2.09(a)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w:t>
      </w:r>
      <w:r>
        <w:rPr>
          <w:rFonts w:ascii="Times New Roman" w:hAnsi="Times New Roman"/>
          <w:i/>
          <w:sz w:val="20"/>
        </w:rPr>
        <w:t>et seq</w:t>
      </w:r>
      <w:r>
        <w:rPr>
          <w:rFonts w:ascii="Times New Roman" w:hAnsi="Times New Roman"/>
          <w:sz w:val="20"/>
        </w:rPr>
        <w:t xml:space="preserve">.), as amended from time to time, and any successor statute. </w:t>
      </w:r>
    </w:p>
    <w:p>
      <w:pPr>
        <w:pStyle w:val="TextBody"/>
        <w:bidi w:val="0"/>
        <w:spacing w:before="240" w:after="0"/>
        <w:jc w:val="left"/>
        <w:rPr/>
      </w:pPr>
      <w:r>
        <w:rPr/>
        <w:t>“</w:t>
      </w:r>
      <w:r>
        <w:rPr>
          <w:rFonts w:ascii="Times New Roman" w:hAnsi="Times New Roman"/>
          <w:sz w:val="20"/>
          <w:u w:val="single"/>
        </w:rPr>
        <w:t>Communication</w:t>
      </w:r>
      <w:r>
        <w:rPr>
          <w:rFonts w:ascii="Times New Roman" w:hAnsi="Times New Roman"/>
          <w:sz w:val="20"/>
        </w:rPr>
        <w:t xml:space="preserve">” means this Agreement, any other Loan Document and any document, any amendment, approval, consent, information, notice, certificate, request, statement, disclosure or authorization related to any Loan Document.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Condemnation</w:t>
      </w:r>
      <w:r>
        <w:rPr>
          <w:rFonts w:ascii="Times New Roman" w:hAnsi="Times New Roman"/>
          <w:sz w:val="20"/>
        </w:rPr>
        <w:t xml:space="preserve">” means any taking of Property, or any part thereof or interest therein, for public or quasi-public use under the power of eminent domain, by reason of any public improvement or condemnation proceeding, or in any other manner.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Borrower is reasonably necessary in connection with the administration of this Agreement and any other Loan Document). </w:t>
      </w:r>
    </w:p>
    <w:p>
      <w:pPr>
        <w:pStyle w:val="TextBody"/>
        <w:bidi w:val="0"/>
        <w:spacing w:before="240" w:after="0"/>
        <w:jc w:val="left"/>
        <w:rPr/>
      </w:pPr>
      <w:r>
        <w:rPr/>
        <w:t>“</w:t>
      </w:r>
      <w:r>
        <w:rPr>
          <w:rFonts w:ascii="Times New Roman" w:hAnsi="Times New Roman"/>
          <w:sz w:val="20"/>
          <w:u w:val="single"/>
        </w:rPr>
        <w:t>Consolidated Cash Interest Charges</w:t>
      </w:r>
      <w:r>
        <w:rPr>
          <w:rFonts w:ascii="Times New Roman" w:hAnsi="Times New Roman"/>
          <w:sz w:val="20"/>
        </w:rPr>
        <w:t xml:space="preserve">” means for any period, for any Person and its Subsidiaries determined on a consolidated basis, Consolidated Interest Charges payable in cash during such period.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means, for any period, for any Person and its Subsidiaries determined on a consolidated basis, an amount equal to Consolidated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following (without duplication) to the extent deducted in calculating such Consolidated Net Income during such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Interest Charges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federal, state, local and foreign income taxes payable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depreciation and amortization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charges and other expenses reducing Consolidated Net Income in each case which do not represent a cash item in such period or any future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expenses and other charges directly related to global enterprise resource planning implementation costs for such period, not to exceed $5,000,000 per annum;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expenses directly related to the remediation, unplanned idle time and underutilization of Subsidiary manufacturing facilities not to exceed an aggregate amount of $10,000,000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expenses actually incurred in connection with restructuring activities (which, for the avoidance of doubt, shall include, without duplication, discontinued operations, retention, severance, systems establishment costs, excess pension charges, contract termination costs and costs to consolidate facilities and relocate employees); </w:t>
            </w:r>
            <w:r>
              <w:rPr>
                <w:rFonts w:ascii="Times New Roman" w:hAnsi="Times New Roman"/>
                <w:i/>
                <w:sz w:val="20"/>
              </w:rPr>
              <w:t>provided</w:t>
            </w:r>
            <w:r>
              <w:rPr>
                <w:rFonts w:ascii="Times New Roman" w:hAnsi="Times New Roman"/>
                <w:sz w:val="20"/>
              </w:rPr>
              <w:t xml:space="preserve"> that the aggregate amount that may be added back pursuant to this clause (vii) (together with any amounts added back pursuant to (xiv) below and any Permitted Cost Savings added back pursuant to the definition thereof) shall not exceed the greater of (x) $100,000,000 and (y) 25% of Consolidated EBITDA of the Borrower and its consolidated Subsidiaries (as calculated after giving effect to such adjustments) for any four fiscal quarter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expenses attributable to the early extinguishment or conversion of Indebtedness (including deferred financing expenses written off and premiums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(other than integration costs), expenses and other charges associated with the Transactions and all Permitted Acquisitions, Investments, Dispositions, issuances or incurrences of Indebtedness, issuances of Equity Interests or, modifications of instruments of Indebtedness, solely with respect to transactions permitted hereunder (whether or not actually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(x)</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proceeds of business interruption insurance, in an amount not to exceed the earnings for the applicable period that such proceeds are intended to replace;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non-recurring milestone payments, royalty payments or upfront payments by any Loan Party permitted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any extraordinary, unusual or non-recurring cash losses, expenses or other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paid in cash in connection with any interest rate or foreign exchange rate Swap Contract permitted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integration costs relating to Permitted Acquisitions, Investments and Dispositions; </w:t>
            </w:r>
            <w:r>
              <w:rPr>
                <w:rFonts w:ascii="Times New Roman" w:hAnsi="Times New Roman"/>
                <w:i/>
                <w:sz w:val="20"/>
              </w:rPr>
              <w:t>provided</w:t>
            </w:r>
            <w:r>
              <w:rPr>
                <w:rFonts w:ascii="Times New Roman" w:hAnsi="Times New Roman"/>
                <w:sz w:val="20"/>
              </w:rPr>
              <w:t xml:space="preserve"> that the aggregate amount that may be added back pursuant to this clause (xiv) (together with any amounts added back pursuant to clause (vii) above and any Permitted Cost Savings added back pursuant to the definition thereof) shall not exceed the greater of (x) $100,000,000 and (y) 25% of Consolidated EBITDA of the Borrower and its consolidated Subsidiaries (as calculated after giving effect to such adjustments) for any four fiscal quarter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and other charges incurred in connection with the rationalization of SKUs in an amount not to exceed $25,000,000 per annum during any fiscal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(xvii)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cash expenses, charges and losses if and to the extent such expenses, charges and losses are (A) fully indemnified by a contractual obligation of the seller under a Permitted Acquisition or (B) covered by insurance (excluding self-insurance), but, in each case, only to the extent, (x) such indemnification obligation or insurance policy remains in full force and effect, (y) such seller is at the time such add-back is taken, and remains, solvent, and such seller or insurance provider has not refused or challenged a claim for such indemnification or insurance payment and (z) with respect to insurance, such insurance proceeds will be reimbursed within twelve months of the time such expenses were incurred;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22"/>
        <w:gridCol w:w="9277"/>
      </w:tblGrid>
      <w:tr>
        <w:trPr/>
        <w:tc>
          <w:tcPr>
            <w:tcW w:w="406" w:type="dxa"/>
            <w:tcBorders/>
            <w:vAlign w:val="center"/>
          </w:tcPr>
          <w:p>
            <w:pPr>
              <w:pStyle w:val="TableContents"/>
              <w:bidi w:val="0"/>
              <w:spacing w:before="0" w:after="283"/>
              <w:jc w:val="left"/>
              <w:rPr/>
            </w:pPr>
            <w:r>
              <w:rPr/>
              <w:t> </w:t>
            </w:r>
          </w:p>
        </w:tc>
        <w:tc>
          <w:tcPr>
            <w:tcW w:w="522" w:type="dxa"/>
            <w:tcBorders/>
          </w:tcPr>
          <w:p>
            <w:pPr>
              <w:pStyle w:val="TableContents"/>
              <w:bidi w:val="0"/>
              <w:spacing w:before="0" w:after="283"/>
              <w:jc w:val="left"/>
              <w:rPr/>
            </w:pPr>
            <w:r>
              <w:rPr/>
              <w:t>(xviii)</w:t>
            </w:r>
          </w:p>
        </w:tc>
        <w:tc>
          <w:tcPr>
            <w:tcW w:w="92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expenses, and other charges in connection with compliance with the EU Medical Device Regulation;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Permitted Cost Savings; </w:t>
            </w:r>
            <w:r>
              <w:rPr>
                <w:rFonts w:ascii="Times New Roman" w:hAnsi="Times New Roman"/>
                <w:sz w:val="20"/>
                <w:u w:val="single"/>
              </w:rPr>
              <w:t>minus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to the extent included in calculating such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local and foreign income tax credits of the Borrower and its Subsidiaries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non-cash items increasing Consolidated Net Income for such period unless representing a cash item in any future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any extraordinary, unusual or non-recurring cash gains;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indemnification and insurance proceeds received with respect to which an add-back was previously taken in accordance with </w:t>
            </w:r>
            <w:r>
              <w:rPr>
                <w:rFonts w:ascii="Times New Roman" w:hAnsi="Times New Roman"/>
                <w:sz w:val="20"/>
                <w:u w:val="single"/>
              </w:rPr>
              <w:t>clause (a)(xiv)</w:t>
            </w:r>
            <w:r>
              <w:rPr>
                <w:rFonts w:ascii="Times New Roman" w:hAnsi="Times New Roman"/>
                <w:sz w:val="20"/>
              </w:rPr>
              <w:t xml:space="preserve"> of this definition;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increases to Consolidated Net Income arising from any interest rate or foreign exchange Swap Contract permitted 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Consolidated EBITDA is subject to calculation on a Pro Forma Basis in accordance with the provisions in </w:t>
      </w:r>
      <w:r>
        <w:rPr>
          <w:rFonts w:ascii="Times New Roman" w:hAnsi="Times New Roman"/>
          <w:sz w:val="20"/>
          <w:u w:val="single"/>
        </w:rPr>
        <w:t>Section 1.03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there shall be excluded in determining Consolidated EBITDA for any period the EBITDA attributable to any Person, property, business or asset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Borrower or any Subsidiary during such period (each such Person, property, business or asset so sold or disposed of, a “</w:t>
      </w:r>
      <w:r>
        <w:rPr>
          <w:rFonts w:ascii="Times New Roman" w:hAnsi="Times New Roman"/>
          <w:sz w:val="20"/>
          <w:u w:val="single"/>
        </w:rPr>
        <w:t>Sold Entity or Business</w:t>
      </w:r>
      <w:r>
        <w:rPr>
          <w:rFonts w:ascii="Times New Roman" w:hAnsi="Times New Roman"/>
          <w:sz w:val="20"/>
        </w:rPr>
        <w:t xml:space="preserve">”), based on the actual EBITDA of such Sold Entity or Business for such period (including the portion thereof occurring prior to such sale, transfer or disposition). </w:t>
      </w:r>
    </w:p>
    <w:p>
      <w:pPr>
        <w:pStyle w:val="TextBody"/>
        <w:bidi w:val="0"/>
        <w:spacing w:before="240" w:after="0"/>
        <w:jc w:val="left"/>
        <w:rPr/>
      </w:pPr>
      <w:r>
        <w:rPr/>
        <w:t>“</w:t>
      </w:r>
      <w:r>
        <w:rPr>
          <w:rFonts w:ascii="Times New Roman" w:hAnsi="Times New Roman"/>
          <w:sz w:val="20"/>
          <w:u w:val="single"/>
        </w:rPr>
        <w:t>Consolidated Funded Indebtedness</w:t>
      </w:r>
      <w:r>
        <w:rPr>
          <w:rFonts w:ascii="Times New Roman" w:hAnsi="Times New Roman"/>
          <w:sz w:val="20"/>
        </w:rPr>
        <w:t xml:space="preserve">” means, for any Person and its Subsidiaries determined on a consolidated basis, as of any date of determination,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(except as provided in clause (d) below), (c) all direct, non-contingent obligations arising under letters of credit (including standby and commercial), bankers’ acceptances, bank guaranties, surety bonds and similar instruments, (d) all non-contingent obligations (but including any deferred purchase price of property or services that would be treated as debt in accordance with GAAP) in respect of the deferred purchase price of property or services (other than trade accounts payable in the ordinary course of business but including earn-outs that are earned and determinable but not yet due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payable), (e) Attributable Indebtedness in respect of Capitalized Leases and Off-Balance Sheet Obligations, (f) without duplication all Guarantees with respect to outstanding Indebtedness of the types specified in clauses (a) through (e) above, and (g) all Indebtedness of the types referred to in clauses (a) through (f) above of any partnership or joint venture (other than a joint venture that is itself a corporation or limited liability company) in which such Person is a general partner or joint venturer, unless such Indebtedness is expressly made non-recourse (except for customary exceptions to non-recourse provisions such as fraud, misappropriation of funds and environmental liabilities) to such Person or any such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Consolidated Funded Indebtedness shall be calculated net of available, unrestricted cash and Cash Equivalents as set forth on the most recent balance sheet of the Borrower and its Consolidated Subsidiaries delivered pursuant to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(ii) for purposes of the definition of “Consolidated Funded Indebtedness,” the Indebtedness in respect of convertible debt securities (including Convertible Indebtedness) shall be deemed to be the aggregate principal amount thereof outstanding as of such date of determination, and (iii) intercompany indebtedness shall not constitute “Consolidated Funded Indebtedness.” </w:t>
      </w:r>
    </w:p>
    <w:p>
      <w:pPr>
        <w:pStyle w:val="TextBody"/>
        <w:bidi w:val="0"/>
        <w:spacing w:before="240" w:after="0"/>
        <w:jc w:val="left"/>
        <w:rPr/>
      </w:pPr>
      <w:r>
        <w:rPr/>
        <w:t>“</w:t>
      </w:r>
      <w:r>
        <w:rPr>
          <w:rFonts w:ascii="Times New Roman" w:hAnsi="Times New Roman"/>
          <w:sz w:val="20"/>
          <w:u w:val="single"/>
        </w:rPr>
        <w:t>Consolidated Interest Charges</w:t>
      </w:r>
      <w:r>
        <w:rPr>
          <w:rFonts w:ascii="Times New Roman" w:hAnsi="Times New Roman"/>
          <w:sz w:val="20"/>
        </w:rPr>
        <w:t xml:space="preserve">” means, for any period, for any Person and its Subsidiaries determined on a consolidated basis, the sum of (a) all interest, premium payments, debt discount, loan fees, charges and related expenses (including capitalized interest) in connection with Indebtedness for borrowed money or purchase money Indebtedness, in each case to the extent treated as interest in accordance with GAAP, and (b) the portion of rent expense with respect to such period under Capitalized Leases that is treated as interest in accordance with GAAP. </w:t>
      </w:r>
    </w:p>
    <w:p>
      <w:pPr>
        <w:pStyle w:val="TextBody"/>
        <w:bidi w:val="0"/>
        <w:spacing w:before="240" w:after="0"/>
        <w:jc w:val="left"/>
        <w:rPr/>
      </w:pPr>
      <w:r>
        <w:rPr>
          <w:u w:val="single"/>
        </w:rPr>
        <w:t>“</w:t>
      </w:r>
      <w:r>
        <w:rPr>
          <w:rFonts w:ascii="Times New Roman" w:hAnsi="Times New Roman"/>
          <w:sz w:val="20"/>
          <w:u w:val="single"/>
        </w:rPr>
        <w:t>Consolidated Interest Coverage Ratio</w:t>
      </w:r>
      <w:r>
        <w:rPr>
          <w:rFonts w:ascii="Times New Roman" w:hAnsi="Times New Roman"/>
          <w:sz w:val="20"/>
        </w:rPr>
        <w:t xml:space="preserve">” means, as of any date of determination, the ratio of (a) Consolidated EBITDA for the period of four consecutive fiscal quarters ending on such date to (b) Consolidated Cash Interest Charges for such period.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means, for any period, for any Person and its Subsidiaries determined on a consolidated basis, the net income (excluding extraordinary gains but including extraordinary cash losses other than losses related to the Permitted Swap Termination) of such Person for that period. </w:t>
      </w:r>
    </w:p>
    <w:p>
      <w:pPr>
        <w:pStyle w:val="TextBody"/>
        <w:bidi w:val="0"/>
        <w:spacing w:before="240" w:after="0"/>
        <w:jc w:val="left"/>
        <w:rPr/>
      </w:pPr>
      <w:r>
        <w:rPr/>
        <w:t>“</w:t>
      </w:r>
      <w:r>
        <w:rPr>
          <w:rFonts w:ascii="Times New Roman" w:hAnsi="Times New Roman"/>
          <w:sz w:val="20"/>
          <w:u w:val="single"/>
        </w:rPr>
        <w:t>Consolidated Senior Secured Net Leverage Ratio</w:t>
      </w:r>
      <w:r>
        <w:rPr>
          <w:rFonts w:ascii="Times New Roman" w:hAnsi="Times New Roman"/>
          <w:sz w:val="20"/>
        </w:rPr>
        <w:t xml:space="preserve">” means, as of any date of determination, the ratio of (a) Consolidated Funded Indebtedness as of such date that is secured by a Lien to (b) Consolidated EBITDA for the period of four consecutive fiscal quarters ending on such date. </w:t>
      </w:r>
    </w:p>
    <w:p>
      <w:pPr>
        <w:pStyle w:val="TextBody"/>
        <w:bidi w:val="0"/>
        <w:spacing w:before="240" w:after="0"/>
        <w:jc w:val="left"/>
        <w:rPr/>
      </w:pPr>
      <w:r>
        <w:rPr/>
        <w:t>“</w:t>
      </w:r>
      <w:r>
        <w:rPr>
          <w:rFonts w:ascii="Times New Roman" w:hAnsi="Times New Roman"/>
          <w:sz w:val="20"/>
          <w:u w:val="single"/>
        </w:rPr>
        <w:t>Consolidated Senior Secured Net Leverage Incurrence Ratio</w:t>
      </w:r>
      <w:r>
        <w:rPr>
          <w:rFonts w:ascii="Times New Roman" w:hAnsi="Times New Roman"/>
          <w:sz w:val="20"/>
        </w:rPr>
        <w:t xml:space="preserve">” means a Consolidated Senior Secured Net Leverage Ratio of 3.75 to 1.00. </w:t>
      </w:r>
    </w:p>
    <w:p>
      <w:pPr>
        <w:pStyle w:val="TextBody"/>
        <w:bidi w:val="0"/>
        <w:spacing w:before="240" w:after="0"/>
        <w:jc w:val="left"/>
        <w:rPr/>
      </w:pPr>
      <w:r>
        <w:rPr/>
        <w:t>“</w:t>
      </w:r>
      <w:r>
        <w:rPr>
          <w:rFonts w:ascii="Times New Roman" w:hAnsi="Times New Roman"/>
          <w:sz w:val="20"/>
          <w:u w:val="single"/>
        </w:rPr>
        <w:t>Consolidated Subsidiary</w:t>
      </w:r>
      <w:r>
        <w:rPr>
          <w:rFonts w:ascii="Times New Roman" w:hAnsi="Times New Roman"/>
          <w:sz w:val="20"/>
        </w:rPr>
        <w:t xml:space="preserve">” means with respect to any Person at any date any Subsidiary (other than any Special Purpose Receivables Subsidiary) of such Person or other entity the accounts of which would be consolidated with those of such Person in its consolidated financial statements if such statements were prepared as of such date in accordance with GAAP. </w:t>
      </w:r>
    </w:p>
    <w:p>
      <w:pPr>
        <w:pStyle w:val="TextBody"/>
        <w:bidi w:val="0"/>
        <w:spacing w:before="240" w:after="0"/>
        <w:jc w:val="left"/>
        <w:rPr/>
      </w:pPr>
      <w:r>
        <w:rPr/>
        <w:t>“</w:t>
      </w:r>
      <w:r>
        <w:rPr>
          <w:rFonts w:ascii="Times New Roman" w:hAnsi="Times New Roman"/>
          <w:sz w:val="20"/>
          <w:u w:val="single"/>
        </w:rPr>
        <w:t>Consolidated Total Leverage Ratio</w:t>
      </w:r>
      <w:r>
        <w:rPr>
          <w:rFonts w:ascii="Times New Roman" w:hAnsi="Times New Roman"/>
          <w:sz w:val="20"/>
        </w:rPr>
        <w:t xml:space="preserve">” means, as of any date of determination, the ratio of (a) Consolidated Funded Indebtedness as of such date to (b) Consolidated EBITDA for the period of four consecutive fiscal quarters ending on such date. </w:t>
      </w:r>
    </w:p>
    <w:p>
      <w:pPr>
        <w:pStyle w:val="TextBody"/>
        <w:bidi w:val="0"/>
        <w:spacing w:before="240" w:after="0"/>
        <w:jc w:val="left"/>
        <w:rPr/>
      </w:pPr>
      <w:r>
        <w:rPr/>
        <w:t>“</w:t>
      </w:r>
      <w:r>
        <w:rPr>
          <w:rFonts w:ascii="Times New Roman" w:hAnsi="Times New Roman"/>
          <w:sz w:val="20"/>
          <w:u w:val="single"/>
        </w:rPr>
        <w:t>Consolidated Total Leverage Incurrence Ratio</w:t>
      </w:r>
      <w:r>
        <w:rPr>
          <w:rFonts w:ascii="Times New Roman" w:hAnsi="Times New Roman"/>
          <w:sz w:val="20"/>
        </w:rPr>
        <w:t xml:space="preserve">” means a Consolidated Total Leverage Ratio of 4.50 to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sz w:val="20"/>
          <w:u w:val="single"/>
        </w:rPr>
        <w:t>Convertible Indebtedness</w:t>
      </w:r>
      <w:r>
        <w:rPr>
          <w:rFonts w:ascii="Times New Roman" w:hAnsi="Times New Roman"/>
          <w:sz w:val="20"/>
        </w:rPr>
        <w:t xml:space="preserve">” means any Indebtedness of any Loan Party (which may be guaranteed by any other Loan Party) permitted to be incurred pursuant to </w:t>
      </w:r>
      <w:r>
        <w:rPr>
          <w:rFonts w:ascii="Times New Roman" w:hAnsi="Times New Roman"/>
          <w:sz w:val="20"/>
          <w:u w:val="single"/>
        </w:rPr>
        <w:t>Section 7.03(f)</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or </w:t>
      </w:r>
      <w:r>
        <w:rPr>
          <w:rFonts w:ascii="Times New Roman" w:hAnsi="Times New Roman"/>
          <w:sz w:val="20"/>
          <w:u w:val="single"/>
        </w:rPr>
        <w:t>(l)</w:t>
      </w:r>
      <w:r>
        <w:rPr>
          <w:rFonts w:ascii="Times New Roman" w:hAnsi="Times New Roman"/>
          <w:sz w:val="20"/>
        </w:rPr>
        <w:t xml:space="preserve"> of this Agreement that (i) contains customary conversion rights for similar forms of Indebtedness as of the date of issuance in the reasonable determination of the Borrower and (ii) is either (x) convertible into common stock of the Borrower (and cash in lieu of fractional shares) and/or cash (in an amount determined by reference to the price of such common stock) or (y) sold as units with call options, warrants or rights to purchase (or substantially equivalent derivative transactions) that are exercisable for common stock of the Borrower and/or cash (in an amount determined by reference to the price of such common stock); </w:t>
      </w:r>
      <w:r>
        <w:rPr>
          <w:rFonts w:ascii="Times New Roman" w:hAnsi="Times New Roman"/>
          <w:sz w:val="20"/>
          <w:u w:val="single"/>
        </w:rPr>
        <w:t>provided</w:t>
      </w:r>
      <w:r>
        <w:rPr>
          <w:rFonts w:ascii="Times New Roman" w:hAnsi="Times New Roman"/>
          <w:sz w:val="20"/>
        </w:rPr>
        <w:t xml:space="preserve">, that any such Indebtedness shall not be convertible at the option of the issuer of such Indebtedness. </w:t>
      </w:r>
    </w:p>
    <w:p>
      <w:pPr>
        <w:pStyle w:val="TextBody"/>
        <w:bidi w:val="0"/>
        <w:spacing w:before="240" w:after="0"/>
        <w:jc w:val="left"/>
        <w:rPr/>
      </w:pPr>
      <w:r>
        <w:rPr/>
        <w:t>“</w:t>
      </w:r>
      <w:r>
        <w:rPr>
          <w:rFonts w:ascii="Times New Roman" w:hAnsi="Times New Roman"/>
          <w:sz w:val="20"/>
          <w:u w:val="single"/>
        </w:rPr>
        <w:t>Credit Extension</w:t>
      </w:r>
      <w:r>
        <w:rPr>
          <w:rFonts w:ascii="Times New Roman" w:hAnsi="Times New Roman"/>
          <w:sz w:val="20"/>
        </w:rPr>
        <w:t xml:space="preserve">” means each of the following: (a) a Borrowing and (b) an L/C Credit Extension.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with respect to any applicable determination date, means SOFR published on such date on the Federal Reserve Bank of New York’s website (or any successor source).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with the giving of any notice, the passage of time, or both, would be an Event of Default. </w:t>
      </w:r>
    </w:p>
    <w:p>
      <w:pPr>
        <w:pStyle w:val="TextBody"/>
        <w:bidi w:val="0"/>
        <w:spacing w:before="240" w:after="0"/>
        <w:jc w:val="left"/>
        <w:rPr/>
      </w:pPr>
      <w:r>
        <w:rPr/>
        <w:t>“</w:t>
      </w:r>
      <w:r>
        <w:rPr>
          <w:rFonts w:ascii="Times New Roman" w:hAnsi="Times New Roman"/>
          <w:sz w:val="20"/>
          <w:u w:val="single"/>
        </w:rPr>
        <w:t>Default Rate</w:t>
      </w:r>
      <w:r>
        <w:rPr>
          <w:rFonts w:ascii="Times New Roman" w:hAnsi="Times New Roman"/>
          <w:sz w:val="20"/>
        </w:rPr>
        <w:t xml:space="preserve">” means an interest rate equal to (a) in the case of Term SOFR Loans, the sum of (i) Term SOFR for such Loans, </w:t>
      </w:r>
      <w:r>
        <w:rPr>
          <w:rFonts w:ascii="Times New Roman" w:hAnsi="Times New Roman"/>
          <w:sz w:val="20"/>
          <w:u w:val="single"/>
        </w:rPr>
        <w:t>plus</w:t>
      </w:r>
      <w:r>
        <w:rPr>
          <w:rFonts w:ascii="Times New Roman" w:hAnsi="Times New Roman"/>
          <w:sz w:val="20"/>
        </w:rPr>
        <w:t xml:space="preserve"> (ii) the Applicable Rate applicable to such Loans, </w:t>
      </w:r>
      <w:r>
        <w:rPr>
          <w:rFonts w:ascii="Times New Roman" w:hAnsi="Times New Roman"/>
          <w:sz w:val="20"/>
          <w:u w:val="single"/>
        </w:rPr>
        <w:t>plus</w:t>
      </w:r>
      <w:r>
        <w:rPr>
          <w:rFonts w:ascii="Times New Roman" w:hAnsi="Times New Roman"/>
          <w:sz w:val="20"/>
        </w:rPr>
        <w:t xml:space="preserve"> (iii) 2% per annum, (b) in the case of the Letter of Credit Fees, a rate equal to (i) the Applicable Rate </w:t>
      </w:r>
      <w:r>
        <w:rPr>
          <w:rFonts w:ascii="Times New Roman" w:hAnsi="Times New Roman"/>
          <w:sz w:val="20"/>
          <w:u w:val="single"/>
        </w:rPr>
        <w:t>plus</w:t>
      </w:r>
      <w:r>
        <w:rPr>
          <w:rFonts w:ascii="Times New Roman" w:hAnsi="Times New Roman"/>
          <w:sz w:val="20"/>
        </w:rPr>
        <w:t xml:space="preserve"> 2% per annum, (c) in the case of Base Rate Loans and for all other Obligations, the sum of (i) the Base Rate </w:t>
      </w:r>
      <w:r>
        <w:rPr>
          <w:rFonts w:ascii="Times New Roman" w:hAnsi="Times New Roman"/>
          <w:sz w:val="20"/>
          <w:u w:val="single"/>
        </w:rPr>
        <w:t>plus</w:t>
      </w:r>
      <w:r>
        <w:rPr>
          <w:rFonts w:ascii="Times New Roman" w:hAnsi="Times New Roman"/>
          <w:sz w:val="20"/>
        </w:rPr>
        <w:t xml:space="preserve"> (ii) the Applicable Rate applicable to Base Rate Loans, </w:t>
      </w:r>
      <w:r>
        <w:rPr>
          <w:rFonts w:ascii="Times New Roman" w:hAnsi="Times New Roman"/>
          <w:sz w:val="20"/>
          <w:u w:val="single"/>
        </w:rPr>
        <w:t>plus</w:t>
      </w:r>
      <w:r>
        <w:rPr>
          <w:rFonts w:ascii="Times New Roman" w:hAnsi="Times New Roman"/>
          <w:sz w:val="20"/>
        </w:rPr>
        <w:t xml:space="preserve"> (iii) 2% per annum.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2.15(b)</w:t>
      </w:r>
      <w:r>
        <w:rPr>
          <w:rFonts w:ascii="Times New Roman" w:hAnsi="Times New Roman"/>
          <w:sz w:val="20"/>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and of the effective date of such status, shall be conclusive and binding absent manifest error, and such Lender shall be deemed to be a Defaulting Lender (subject to </w:t>
      </w:r>
      <w:r>
        <w:rPr>
          <w:rFonts w:ascii="Times New Roman" w:hAnsi="Times New Roman"/>
          <w:sz w:val="20"/>
          <w:u w:val="single"/>
        </w:rPr>
        <w:t>Section 2.15(b)</w:t>
      </w:r>
      <w:r>
        <w:rPr>
          <w:rFonts w:ascii="Times New Roman" w:hAnsi="Times New Roman"/>
          <w:sz w:val="20"/>
        </w:rPr>
        <w:t xml:space="preserve">) as of the date established therefor by the Administrative Agent in a written notice of such determination, which shall be delivered by the Administrative Agent to the Borrower, each L/C Issuer, the Swing Line Lender and each other Lender promptly following such determination. </w:t>
      </w:r>
    </w:p>
    <w:p>
      <w:pPr>
        <w:pStyle w:val="TextBody"/>
        <w:bidi w:val="0"/>
        <w:spacing w:before="240" w:after="0"/>
        <w:jc w:val="left"/>
        <w:rPr/>
      </w:pPr>
      <w:r>
        <w:rPr/>
        <w:t>“</w:t>
      </w:r>
      <w:r>
        <w:rPr>
          <w:rFonts w:ascii="Times New Roman" w:hAnsi="Times New Roman"/>
          <w:sz w:val="20"/>
          <w:u w:val="single"/>
        </w:rPr>
        <w:t>Delaware LLC</w:t>
      </w:r>
      <w:r>
        <w:rPr>
          <w:rFonts w:ascii="Times New Roman" w:hAnsi="Times New Roman"/>
          <w:sz w:val="20"/>
        </w:rPr>
        <w:t xml:space="preserve">” means any limited liability company organized or formed under the laws of the State of Delaware. </w:t>
      </w:r>
    </w:p>
    <w:p>
      <w:pPr>
        <w:pStyle w:val="TextBody"/>
        <w:bidi w:val="0"/>
        <w:spacing w:before="240" w:after="0"/>
        <w:jc w:val="left"/>
        <w:rPr/>
      </w:pPr>
      <w:r>
        <w:rPr/>
        <w:t>“</w:t>
      </w:r>
      <w:r>
        <w:rPr>
          <w:rFonts w:ascii="Times New Roman" w:hAnsi="Times New Roman"/>
          <w:sz w:val="20"/>
          <w:u w:val="single"/>
        </w:rPr>
        <w:t>Delaware LLC Division</w:t>
      </w:r>
      <w:r>
        <w:rPr>
          <w:rFonts w:ascii="Times New Roman" w:hAnsi="Times New Roman"/>
          <w:sz w:val="20"/>
        </w:rPr>
        <w:t xml:space="preserve">” means the statutory division of any Delaware LLC into two or more Delaware LLCs pursuant to Section 18-217 of the Delaware Limited Liability Company Act. </w:t>
      </w:r>
    </w:p>
    <w:p>
      <w:pPr>
        <w:pStyle w:val="TextBody"/>
        <w:bidi w:val="0"/>
        <w:spacing w:before="240" w:after="0"/>
        <w:jc w:val="left"/>
        <w:rPr/>
      </w:pPr>
      <w:r>
        <w:rPr/>
        <w:t>“</w:t>
      </w:r>
      <w:r>
        <w:rPr>
          <w:rFonts w:ascii="Times New Roman" w:hAnsi="Times New Roman"/>
          <w:sz w:val="20"/>
          <w:u w:val="single"/>
        </w:rPr>
        <w:t>Delaware LP Division</w:t>
      </w:r>
      <w:r>
        <w:rPr>
          <w:rFonts w:ascii="Times New Roman" w:hAnsi="Times New Roman"/>
          <w:sz w:val="20"/>
        </w:rPr>
        <w:t xml:space="preserve">” means the statutory division of any limited partnership into two or more limited partnerships pursuant to Section 17-220 of the Delaware Limited Partnership Act or a comparable provision of any other requirement of Law. </w:t>
      </w:r>
    </w:p>
    <w:p>
      <w:pPr>
        <w:pStyle w:val="TextBody"/>
        <w:bidi w:val="0"/>
        <w:spacing w:before="240" w:after="0"/>
        <w:jc w:val="left"/>
        <w:rPr/>
      </w:pPr>
      <w:r>
        <w:rPr/>
        <w:t>“</w:t>
      </w:r>
      <w:r>
        <w:rPr>
          <w:rFonts w:ascii="Times New Roman" w:hAnsi="Times New Roman"/>
          <w:sz w:val="20"/>
          <w:u w:val="single"/>
        </w:rPr>
        <w:t>Designated Jurisdiction</w:t>
      </w:r>
      <w:r>
        <w:rPr>
          <w:rFonts w:ascii="Times New Roman" w:hAnsi="Times New Roman"/>
          <w:sz w:val="20"/>
        </w:rPr>
        <w:t xml:space="preserve">” means from time to time any country or territory to the extent that such country or territory itself is the subject of any Sanction. </w:t>
      </w:r>
    </w:p>
    <w:p>
      <w:pPr>
        <w:pStyle w:val="TextBody"/>
        <w:bidi w:val="0"/>
        <w:spacing w:before="240" w:after="0"/>
        <w:jc w:val="left"/>
        <w:rPr/>
      </w:pPr>
      <w:r>
        <w:rPr/>
        <w:t>“</w:t>
      </w:r>
      <w:r>
        <w:rPr>
          <w:rFonts w:ascii="Times New Roman" w:hAnsi="Times New Roman"/>
          <w:sz w:val="20"/>
          <w:u w:val="single"/>
        </w:rPr>
        <w:t>Designated Noncash Consideration</w:t>
      </w:r>
      <w:r>
        <w:rPr>
          <w:rFonts w:ascii="Times New Roman" w:hAnsi="Times New Roman"/>
          <w:sz w:val="20"/>
        </w:rPr>
        <w:t xml:space="preserve">” means the fair market value of noncash consideration received by the Borrower or a Subsidiary in connection with a Disposition pursuant to </w:t>
      </w:r>
      <w:r>
        <w:rPr>
          <w:rFonts w:ascii="Times New Roman" w:hAnsi="Times New Roman"/>
          <w:sz w:val="20"/>
          <w:u w:val="single"/>
        </w:rPr>
        <w:t>Section 7.05(p)</w:t>
      </w:r>
      <w:r>
        <w:rPr>
          <w:rFonts w:ascii="Times New Roman" w:hAnsi="Times New Roman"/>
          <w:sz w:val="20"/>
        </w:rPr>
        <w:t xml:space="preserve"> that is designated as Designated Noncash Consideration pursuant to a certificate of a Responsible Officer delivered to the Administrative Agent, setting forth the basis of such valuation (which amount will be reduced by any cash proceeds subsequently received by the Borrower or any Subsidiary (other than from the Borrower or a Subsidiary) in connection with any subsequent repayment, redemption or Disposition of such noncash consideration); </w:t>
      </w:r>
      <w:r>
        <w:rPr>
          <w:rFonts w:ascii="Times New Roman" w:hAnsi="Times New Roman"/>
          <w:sz w:val="20"/>
          <w:u w:val="single"/>
        </w:rPr>
        <w:t>provided</w:t>
      </w:r>
      <w:r>
        <w:rPr>
          <w:rFonts w:ascii="Times New Roman" w:hAnsi="Times New Roman"/>
          <w:sz w:val="20"/>
        </w:rPr>
        <w:t xml:space="preserve"> that the fair market value of each item of Designated Noncash Consideration shall be measured at the time received and without giving effect to subsequent changes in value.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or “</w:t>
      </w:r>
      <w:r>
        <w:rPr>
          <w:rFonts w:ascii="Times New Roman" w:hAnsi="Times New Roman"/>
          <w:sz w:val="20"/>
          <w:u w:val="single"/>
        </w:rPr>
        <w:t>Dispose</w:t>
      </w:r>
      <w:r>
        <w:rPr>
          <w:rFonts w:ascii="Times New Roman" w:hAnsi="Times New Roman"/>
          <w:sz w:val="20"/>
        </w:rPr>
        <w:t xml:space="preserve">” means the sale, transfer, license, lease, Casualty or Condemnation or other disposition (including any Sale and Leaseback Transaction or any sale of any Equity Interest of any Subsidiary) of any property by any Person, including any sale, assignment, transfer or other disposal, with or without recourse, of any notes issued by any other Person or accounts receivable or any rights and claims associated therewith or any capital stock of, or other Equity Interests in, any other Person; </w:t>
      </w:r>
      <w:r>
        <w:rPr>
          <w:rFonts w:ascii="Times New Roman" w:hAnsi="Times New Roman"/>
          <w:sz w:val="20"/>
          <w:u w:val="single"/>
        </w:rPr>
        <w:t>provided</w:t>
      </w:r>
      <w:r>
        <w:rPr>
          <w:rFonts w:ascii="Times New Roman" w:hAnsi="Times New Roman"/>
          <w:sz w:val="20"/>
        </w:rPr>
        <w:t xml:space="preserve"> that the foregoing shall not be deemed to imply that any such disposition is permitted under this Agreement. The term “Disposition” shall not include any Equity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Disqualified Stock</w:t>
      </w:r>
      <w:r>
        <w:rPr>
          <w:rFonts w:ascii="Times New Roman" w:hAnsi="Times New Roman"/>
          <w:sz w:val="20"/>
        </w:rPr>
        <w:t xml:space="preserve">” means any Equity Interest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in each case, other than for Equity Interests or Disqualified Stock, on or prior to the date that is ninety-one (91) days after the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only the portion of such Equity Interests which so matures or is mandatorily redeemable, is so convertible or exchangeable or is so redeemable at the option of the holder thereof prior to such date shall be deemed to be Disqualified Stock and (ii) with respect to any Equity Interests issued to any employee or to any plan for the benefit of employees of the Borrower or its Subsidiaries or by any such plan to such employees, such Equity Interest shall not constitute Disqualified Stock solely because it may be required to be repurchased by the Borrower or one of its Subsidiaries in order to satisfy applicable statutory or regulatory obligations or as a result of such employee’s termination, resignation, death or disability and if any class of Equity Interest of such Person that by its terms authorizes such Person to satisfy its obligations thereunder by delivery of an Equity Interest that is not Disqualified Stock, such Equity Interests shall not be deemed to be Disqualified Stock. Notwithstanding the preceding sentence, any Equity Interest that would constitute Disqualified Stock solely because the holders thereof have the right to require a Loan Party to repurchase such Equity Interest upon the occurrence of a change of control, an asset sale, condemnation or similar event shall not constitute Disqualified Stock. The amount of Disqualified Stock deemed to be outstanding at any time for purposes of this Agreement will be the maximum amount that the Borrower and its Subsidiaries may become obligated to pay upon maturity of, or pursuant to any mandatory redemption provisions of, such Disqualified Stock or portion thereof, plus accrued dividends.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lawful money of the United States.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 Subsidiary that is organized under the Laws of the United States, any state thereof or the District of Columbia. </w:t>
      </w:r>
    </w:p>
    <w:p>
      <w:pPr>
        <w:pStyle w:val="TextBody"/>
        <w:bidi w:val="0"/>
        <w:spacing w:before="240" w:after="0"/>
        <w:jc w:val="left"/>
        <w:rPr/>
      </w:pPr>
      <w:r>
        <w:rPr/>
        <w:t>“</w:t>
      </w:r>
      <w:r>
        <w:rPr>
          <w:rFonts w:ascii="Times New Roman" w:hAnsi="Times New Roman"/>
          <w:sz w:val="20"/>
          <w:u w:val="single"/>
        </w:rPr>
        <w:t>ECF Deductions</w:t>
      </w:r>
      <w:r>
        <w:rPr>
          <w:rFonts w:ascii="Times New Roman" w:hAnsi="Times New Roman"/>
          <w:sz w:val="20"/>
        </w:rPr>
        <w:t xml:space="preserve">” means, for any Excess Cash Flow Period, an amount equal to the sum of: </w:t>
      </w:r>
    </w:p>
    <w:p>
      <w:pPr>
        <w:pStyle w:val="TextBody"/>
        <w:bidi w:val="0"/>
        <w:spacing w:before="240" w:after="0"/>
        <w:jc w:val="left"/>
        <w:rPr>
          <w:rFonts w:ascii="Times New Roman" w:hAnsi="Times New Roman"/>
          <w:sz w:val="20"/>
        </w:rPr>
      </w:pPr>
      <w:r>
        <w:rPr>
          <w:rFonts w:ascii="Times New Roman" w:hAnsi="Times New Roman"/>
          <w:sz w:val="20"/>
        </w:rPr>
        <w:t xml:space="preserve">(a) the amount of Capital Expenditures made in cash or accrued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provided that to the extent the Borrower exercises such option, such amount shall not be permitted as a reduction against the subsequent Excess Cash Flow Period calculation) and in each case other than to the extent that any such Capital Expenditures are funded with the proceeds of long-term Indebtedness (other than any revolving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(b) the aggregate amount of cash consideration paid by the Borrower or any Subsidiary (on a consolidated basis) in connection with any permitted Investments, any Permitted Acquisitions, acquisitions of Intellectual Property and any deferred payments in connection with any Permitted Acquisition, crystallized long-term liability amounts other than Indebtedness for which payments are required to be made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provided that to the extent the Borrower exercises such option, such amount shall not be permitted as a reduction against the subsequent Excess Cash Flow Period calculation) and in each case other than to the extent that any such cash consideration is funded with the proceeds of long-term Indebtedness (other than any revolving Indebtedness),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at the Borrower’s election, without duplication of amounts deducted from Excess Cash Flow pursuant to Section 2.05(b)(i)(A) in respect of prior fiscal years, the aggregate consideration required to be paid in cash by the Borrower or any of the Subsidiaries pursuant to binding contracts (the “</w:t>
      </w:r>
      <w:r>
        <w:rPr>
          <w:rFonts w:ascii="Times New Roman" w:hAnsi="Times New Roman"/>
          <w:sz w:val="20"/>
          <w:u w:val="single"/>
        </w:rPr>
        <w:t>Contract Consideration</w:t>
      </w:r>
      <w:r>
        <w:rPr>
          <w:rFonts w:ascii="Times New Roman" w:hAnsi="Times New Roman"/>
          <w:sz w:val="20"/>
        </w:rPr>
        <w:t xml:space="preserve">”) entered into prior to or during such fiscal year or otherwise budgeted to be paid in cash, in each case, relating to permitted Investments, any Permitted Acquisitions, acquisitions of intellectual property, and any deferred payments in connection with any Permitted Acquisition, Capitalized Software Expenditures or other Capital Expenditures to be consummated or made during the period of four consecutive fiscal quarters of Borrower following the end of such fiscal year, provided that to the extent the aggregate amount of cash actually utilized to finance such permitted Investments, Permitted Acquisitions, acquisitions of intellectual property, and such deferred payments in connection with any Permitted Acquisition, Capitalized Software Expenditures or other Capital Expenditures during such period of four consecutive fiscal quarters is less than the Contract Consideration or amount otherwise budgeted for such uses, the amount of such shortfall shall be added to the calculation of Excess Cash Flow at the end of such period of four consecutive fiscal quarters. </w:t>
      </w:r>
    </w:p>
    <w:p>
      <w:pPr>
        <w:pStyle w:val="TextBody"/>
        <w:bidi w:val="0"/>
        <w:spacing w:before="240" w:after="0"/>
        <w:jc w:val="left"/>
        <w:rPr/>
      </w:pPr>
      <w:r>
        <w:rPr/>
        <w:t>“</w:t>
      </w:r>
      <w:r>
        <w:rPr>
          <w:rFonts w:ascii="Times New Roman" w:hAnsi="Times New Roman"/>
          <w:sz w:val="20"/>
          <w:u w:val="single"/>
        </w:rPr>
        <w:t>ECF Payment Amount</w:t>
      </w:r>
      <w:r>
        <w:rPr>
          <w:rFonts w:ascii="Times New Roman" w:hAnsi="Times New Roman"/>
          <w:sz w:val="20"/>
        </w:rPr>
        <w:t xml:space="preserve">” has the meaning specified in </w:t>
      </w:r>
      <w:r>
        <w:rPr>
          <w:rFonts w:ascii="Times New Roman" w:hAnsi="Times New Roman"/>
          <w:sz w:val="20"/>
          <w:u w:val="single"/>
        </w:rPr>
        <w:t>Section 2.05(b)(i)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ECF Threshold</w:t>
      </w:r>
      <w:r>
        <w:rPr>
          <w:rFonts w:ascii="Times New Roman" w:hAnsi="Times New Roman"/>
          <w:sz w:val="20"/>
        </w:rPr>
        <w:t xml:space="preserve">” has the meaning specified in </w:t>
      </w:r>
      <w:r>
        <w:rPr>
          <w:rFonts w:ascii="Times New Roman" w:hAnsi="Times New Roman"/>
          <w:sz w:val="20"/>
          <w:u w:val="single"/>
        </w:rPr>
        <w:t>Section 2.05(b)(i)(B)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Effective Yield</w:t>
      </w:r>
      <w:r>
        <w:rPr>
          <w:rFonts w:ascii="Times New Roman" w:hAnsi="Times New Roman"/>
          <w:sz w:val="20"/>
        </w:rPr>
        <w:t xml:space="preserve">” means, as to any Indebtedness as of any date of determination, the effective yield on such Indebtedness in the reasonable determination of the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(amortized over the shorter of (a) the remaining Weighted Average Life to Maturity of such Indebtedness and (b) the four years following the date of incurrence thereof) payable generally to lenders or other institutions providing such Indebtedness, but excluding any arrangement, structuring, ticking, commitment, amendment, unused line or underwriting fees or other similar fees payable in connection therewith that are not generally shared with the relevant Lenders and, if applicable, consent fees for an amendment paid generally to consenting Lenders; </w:t>
      </w:r>
      <w:r>
        <w:rPr>
          <w:rFonts w:ascii="Times New Roman" w:hAnsi="Times New Roman"/>
          <w:sz w:val="20"/>
          <w:u w:val="single"/>
        </w:rPr>
        <w:t>provided</w:t>
      </w:r>
      <w:r>
        <w:rPr>
          <w:rFonts w:ascii="Times New Roman" w:hAnsi="Times New Roman"/>
          <w:sz w:val="20"/>
        </w:rPr>
        <w:t xml:space="preserve"> that with respect to any Indebtedness that includes a Term SOFR “floor” or Base Rate “floor,” (i) to the extent that Term SOFR (with an Interest Period of one month) or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Term SOFR (with an Interest Period of one month) or Base Rate (without giving effect to any floors in such definitions), as applicable, on the date that the Effective Yield is being calculated is greater than such floor, then the floor shall be disregarded in calculating the Effective Yield.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Sections 10.06(b)(iii)</w:t>
      </w:r>
      <w:r>
        <w:rPr>
          <w:rFonts w:ascii="Times New Roman" w:hAnsi="Times New Roman"/>
          <w:sz w:val="20"/>
        </w:rPr>
        <w:t xml:space="preserve"> and </w:t>
      </w:r>
      <w:r>
        <w:rPr>
          <w:rFonts w:ascii="Times New Roman" w:hAnsi="Times New Roman"/>
          <w:sz w:val="20"/>
          <w:u w:val="single"/>
        </w:rPr>
        <w:t>10.06(b)(v)</w:t>
      </w:r>
      <w:r>
        <w:rPr>
          <w:rFonts w:ascii="Times New Roman" w:hAnsi="Times New Roman"/>
          <w:sz w:val="20"/>
        </w:rPr>
        <w:t xml:space="preserve"> (subject to such consents, if any, as may be required under </w:t>
      </w:r>
      <w:r>
        <w:rPr>
          <w:rFonts w:ascii="Times New Roman" w:hAnsi="Times New Roman"/>
          <w:sz w:val="20"/>
          <w:u w:val="single"/>
        </w:rPr>
        <w:t>Section 10.06(b)(iii)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Engagement Letter</w:t>
      </w:r>
      <w:r>
        <w:rPr>
          <w:rFonts w:ascii="Times New Roman" w:hAnsi="Times New Roman"/>
          <w:sz w:val="20"/>
        </w:rPr>
        <w:t xml:space="preserve">” means the engagement letter agreement dated October 19, 2026, among the Borrower, Bank of America, N.A. and the Arrangers party thereto.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Convertible Indebtedness shall not be or be deemed to be an Equity Interest. </w:t>
      </w:r>
    </w:p>
    <w:p>
      <w:pPr>
        <w:pStyle w:val="TextBody"/>
        <w:bidi w:val="0"/>
        <w:spacing w:before="240" w:after="0"/>
        <w:jc w:val="left"/>
        <w:rPr/>
      </w:pPr>
      <w:r>
        <w:rPr/>
        <w:t>“</w:t>
      </w:r>
      <w:r>
        <w:rPr>
          <w:rFonts w:ascii="Times New Roman" w:hAnsi="Times New Roman"/>
          <w:sz w:val="20"/>
          <w:u w:val="single"/>
        </w:rPr>
        <w:t>Equity Issuance</w:t>
      </w:r>
      <w:r>
        <w:rPr>
          <w:rFonts w:ascii="Times New Roman" w:hAnsi="Times New Roman"/>
          <w:sz w:val="20"/>
        </w:rPr>
        <w:t xml:space="preserve">” means any issuance by the Borrower or any of its Subsidiaries of any capital stock or other Equity Interests to any Person or receipt by the Borrower or any of its Subsidiaries of a capital contribution from any Person, including the issuance of Equity Interests pursuant to the exercise of options or warrants and the conversion of any Indebtedness to equity; </w:t>
      </w:r>
      <w:r>
        <w:rPr>
          <w:rFonts w:ascii="Times New Roman" w:hAnsi="Times New Roman"/>
          <w:sz w:val="20"/>
          <w:u w:val="single"/>
        </w:rPr>
        <w:t>provided</w:t>
      </w:r>
      <w:r>
        <w:rPr>
          <w:rFonts w:ascii="Times New Roman" w:hAnsi="Times New Roman"/>
          <w:sz w:val="20"/>
        </w:rPr>
        <w:t xml:space="preserve"> that the foregoing shall not be deemed to imply that any such issuance is permitted under this Agreement.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under common control with the Borrower or any of its Subsidiaries within the meaning of Section 414(b) or (c) of the Code (and Sections 414(m) and (o) of the Code for purposes of provisions relating to Section 412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ERISA Event</w:t>
      </w:r>
      <w:r>
        <w:rPr>
          <w:rFonts w:ascii="Times New Roman" w:hAnsi="Times New Roman"/>
          <w:sz w:val="20"/>
        </w:rPr>
        <w:t xml:space="preserve">” means (a) a Reportable Event with respect to a Pension Plan; (b) the withdrawal of the Borrower or any of its Subsidiaries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(within the meaning of Sections 4203 and 4205 of ERISA) by the Borrower or any of its Subsidiaries or any ERISA Affiliate from a Multiemployer Plan resulting in withdrawal liability to the Borrower or any of its Subsidiaries or any ERISA Affiliate under Section 4201 of ERISA, or notification to the Borrower or any of its Subsidiaries or any ERISA Affiliate that a Multiemployer Plan is in reorganization within the meaning of Section 4241 of ERISA;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document described as such and published by the Loan Market Association (or any successor person)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specified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Cash Flow</w:t>
      </w:r>
      <w:r>
        <w:rPr>
          <w:rFonts w:ascii="Times New Roman" w:hAnsi="Times New Roman"/>
          <w:sz w:val="20"/>
        </w:rPr>
        <w:t xml:space="preserve">” means, for any Excess Cash Flow Period, an amount equal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Net Income of the Borrower for such Excess Cash Flow Period, </w:t>
            </w:r>
            <w:r>
              <w:rPr>
                <w:rFonts w:ascii="Times New Roman" w:hAnsi="Times New Roman"/>
                <w:i/>
                <w:sz w:val="20"/>
              </w:rPr>
              <w:t>minus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without duplication (in each case, for the Borrower and its Subsidiaries on a consolidated basis but in the case of any amounts below excluding any such amounts that are already deducted pursuant to Section 2.05(b)(i)(A) and to the extent already deducted as an ECF Deduction, in the calculation of any mandatory prepayment obligation under Section 2.05(b)(i) for such Excess Cash Flow Period),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repayments, prepayments, repurchases, redemptions and other cash payments made with respect to the principal of any Indebtedness (including principal representing capitalized interest) or the principal component of any capitalized lease obligations of the Borrower or any of its Subsidiaries during such period and, at the option of the Borrower, after such period but prior to the date a mandatory prepayment is due and payable for such period pursuant to Section 2.05(b)(i) (excluding voluntary and mandatory prepayments of Term Loans, but including all premium, make-whole or penalty payments paid in cash (to the extent such payments are not expensed during such period or are not deducted in calculating Consolidated Net Income and such payments are not otherwise prohibited under this Agreement) and all repayments with respect to revolving Indebtedness to the extent accompanied by a corresponding permanent reduction in commitments, but including payments under Section 2.07, all scheduled principal repayments of Senior Secured Notes, and the amount of any mandatory prepayment of Loans and any other Indebtedness that is secured by Liens on the Collateral on a pari passu basis with the Obligations (including the Senior Secured Notes), pursuant to Section 2.05(b)(ii) to the extent required due to a Disposition that resulted in an increase to such Consolidated Net Income and not in excess of the amount of such increase);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cash payments made by the Borrower or any of its Subsidiaries during such period in respect of Capital Expenditures, acquisitions of intellectual property, Permitted Acquisitions and permitted Investments, and (B) at the option of the Borrower, cash payments that the Borrower or any of its Subsidiaries has committed or budgeted to make or is required to make in respect of Capital Expenditures, acquisitions of intellectual property, Permitted Acquisitions and permitted Investments within 365 days after the end of such period; provided that amounts described in this clause (B) will not reduce Excess Cash Flow in subsequent periods, and, to the extent not paid, will increase Excess Cash Flow in the subsequent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cash payments made by the Borrower or any of its Subsidiaries during such period in respect of Taxes, to the extent such payments exceed the amount of Tax expense deducted in calculating such Consolidated Net Income, and (B) at the option of the Borrower, cash payments that the Borrower or any of its Subsidiaries will be required or budgeted to make in respect of Taxes (including distributions to the Borrower in respect of Taxes) within 365 days after the end of such period; provided that amounts described in this clause (B) will not reduce Excess Cash Flow in subsequent periods, and, to the extent not paid, will increase Excess Cash Flow in the subsequent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cash payments and other cash expenditures made by the Borrower or any of its Subsidiaries during such period (A) with respect to items that were excluded in the calculation of such Consolidated Net Income or (B) that were not expensed during such period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non-cash credits included in calculating such Consolidated Net Income (including insured or indemnified losses to the extent not reimbursed in cash during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increase in the working capital of the Borrower during such period (measured as the excess, if any, of working capital at the end of such Excess Cash Flow Period minus working capital at the beginning of such Excess Cash Flow Period),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payments made in satisfaction of noncurrent liabilities (excluding payments of Indebtedness for borrowed money) not made directly or indirectly using proceeds, payments or any other amounts available from events or circumstances that were not included in determining Consolidated Net Income during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deducted in arriving at Consolidated Net Income, cash fees, expenses and purchase price adjustments incurred in connection with any permitted Investment and Equity Issuance or debt issuance (whether or not consummated) made to pay any of the foregoing incurred by the Borrower;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payments made in respect of pensions and other postemployment benefits in such period to the extent not deducted in arriving at such Consolidated Net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payments made by the Borrower or any of its Subsidiaries during such period in respect of items for which an accrual or reserve was established in a prior period, in each case to the extent such payments are not expensed during such period or are not deducted in calculating Consolidated Net Income;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plus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without duplication (in each case, for the Borrower and the Subsidiaries on a consolidated basis),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7"/>
        <w:gridCol w:w="8373"/>
      </w:tblGrid>
      <w:tr>
        <w:trPr/>
        <w:tc>
          <w:tcPr>
            <w:tcW w:w="132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non-cash charges, losses and expenses (including, without limitation, Taxes) of the Borrower or any of its Subsidiaries that were deducted in calculating such Consolidated Net Income (provided, in each case, that if any non-cash charge represents an accrual or reserve for cash items in any future period, the cash payment in respect thereof in such future period shall be subtracted from Excess Cash Flow in such future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decrease in working capital of the Borrower during such period (measured as the excess, if any, of working capital at the beginning of such Excess Cash Flow Period minus working capital at the end of such Excess Cash Flow Period) (other than any such decreases contemplated by this clause (ii) that are directly attributable to acquisitions of a Person or business unit by the Borrower and the Subsidiaries of the Borrower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referred to in clauses (b)(i) and (b)(ii) above to the extent funded with the proceeds of the issuance or the incurrence of long-term Indebtedness (other than proceeds of revolving loans). </w:t>
            </w:r>
          </w:p>
        </w:tc>
      </w:tr>
    </w:tbl>
    <w:p>
      <w:pPr>
        <w:pStyle w:val="TextBody"/>
        <w:bidi w:val="0"/>
        <w:spacing w:before="240" w:after="0"/>
        <w:jc w:val="left"/>
        <w:rPr/>
      </w:pPr>
      <w:r>
        <w:rPr/>
        <w:t>“</w:t>
      </w:r>
      <w:r>
        <w:rPr>
          <w:rFonts w:ascii="Times New Roman" w:hAnsi="Times New Roman"/>
          <w:sz w:val="20"/>
          <w:u w:val="single"/>
        </w:rPr>
        <w:t>Excess Cash Flow Period</w:t>
      </w:r>
      <w:r>
        <w:rPr>
          <w:rFonts w:ascii="Times New Roman" w:hAnsi="Times New Roman"/>
          <w:sz w:val="20"/>
        </w:rPr>
        <w:t xml:space="preserve">” means each fiscal year of the Borrower starting with the first full fiscal year ending after the Closing Date. </w:t>
      </w:r>
    </w:p>
    <w:p>
      <w:pPr>
        <w:pStyle w:val="TextBody"/>
        <w:bidi w:val="0"/>
        <w:spacing w:before="240" w:after="0"/>
        <w:jc w:val="left"/>
        <w:rPr/>
      </w:pPr>
      <w:r>
        <w:rPr/>
        <w:t>“</w:t>
      </w:r>
      <w:r>
        <w:rPr>
          <w:rFonts w:ascii="Times New Roman" w:hAnsi="Times New Roman"/>
          <w:sz w:val="20"/>
          <w:u w:val="single"/>
        </w:rPr>
        <w:t>Excluded Subsidiaries</w:t>
      </w:r>
      <w:r>
        <w:rPr>
          <w:rFonts w:ascii="Times New Roman" w:hAnsi="Times New Roman"/>
          <w:sz w:val="20"/>
        </w:rPr>
        <w:t xml:space="preserve">” means (a) all Foreign Subsidiaries, (b) each Domestic Subsidiary that owns no material assets other than equity interests in one or more Foreign Subsidiaries, (c) each Domestic Subsidiary of any Foreign Subsidiary, (d) each Immaterial Subsidiary, (e) all Subsidiaries that are not wholly owned directly by the Borrower or one or more of its Wholly-Owned Subsidiaries and (f) all Special Purpose Receivables Subsidiaries; for the avoidance doubt, each Excluded Subsidiary subject to clauses (a) and (b) above is a “Pledged Excluded Subsidiary” (as such term is defined in the Security Agreement) and at least 66.66% of the Equity Interests thereof are or will be pledged collateral in accordance with the terms of the Pledge Agreement.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Subsidiary Guarantor, any Swap Obligation if, and to the extent that, all or a portion of the guaranty of such Subsidiary Guarantor of, or the grant by such Subsidiary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Subsidiary Guarantor’s failure for any reason to constitute an “eligible contract participant” as defined in the Commodity Exchange Act (determined after giving effect to </w:t>
      </w:r>
      <w:r>
        <w:rPr>
          <w:rFonts w:ascii="Times New Roman" w:hAnsi="Times New Roman"/>
          <w:sz w:val="20"/>
          <w:u w:val="single"/>
        </w:rPr>
        <w:t>Section 10.20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other “keepwell, support or other agreement” for the benefit of such Subsidiary Guarantor and any and all guarantees of such Subsidiary Guarantor’s Swap Obligations by other Loan Parties) at the time the guaranty of such Subsidiary Guarantor, or a grant by such Subsidiary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applicable Commitment, or in the case of a Loan not made pursuant to a prior Commitment, such Lender acquires such interest in such Loan (other than pursuant to an assignment request by the Borrower under </w:t>
      </w:r>
      <w:r>
        <w:rPr>
          <w:rFonts w:ascii="Times New Roman" w:hAnsi="Times New Roman"/>
          <w:sz w:val="20"/>
          <w:u w:val="single"/>
        </w:rPr>
        <w:t>Section 10.13</w:t>
      </w:r>
      <w:r>
        <w:rPr>
          <w:rFonts w:ascii="Times New Roman" w:hAnsi="Times New Roman"/>
          <w:sz w:val="20"/>
        </w:rPr>
        <w:t xml:space="preserve">) or (ii) such Lender changes its Lending Office, except in each case to the extent that, pursuant to </w:t>
      </w:r>
      <w:r>
        <w:rPr>
          <w:rFonts w:ascii="Times New Roman" w:hAnsi="Times New Roman"/>
          <w:sz w:val="20"/>
          <w:u w:val="single"/>
        </w:rPr>
        <w:t>Section 3.01(a)(ii)</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amounts with respect to such Taxes were payable either to such Lender’s assignor immediately before such Lender acquired the applicable interest in the applicable Commitment or Loan or to such Lender immediately before it changed its Lending Office, (c) Taxes attributable to such Recipient’s failure to comply with </w:t>
      </w:r>
      <w:r>
        <w:rPr>
          <w:rFonts w:ascii="Times New Roman" w:hAnsi="Times New Roman"/>
          <w:sz w:val="20"/>
          <w:u w:val="single"/>
        </w:rPr>
        <w:t>Section 3.01(e)</w:t>
      </w:r>
      <w:r>
        <w:rPr>
          <w:rFonts w:ascii="Times New Roman" w:hAnsi="Times New Roman"/>
          <w:sz w:val="20"/>
        </w:rPr>
        <w:t xml:space="preserve"> and (d) any U.S. federal withholding Taxes imposed pursuant to FATCA. </w:t>
      </w:r>
    </w:p>
    <w:p>
      <w:pPr>
        <w:pStyle w:val="TextBody"/>
        <w:bidi w:val="0"/>
        <w:spacing w:before="240" w:after="0"/>
        <w:jc w:val="left"/>
        <w:rPr/>
      </w:pPr>
      <w:r>
        <w:rPr/>
        <w:t>“</w:t>
      </w:r>
      <w:r>
        <w:rPr>
          <w:rFonts w:ascii="Times New Roman" w:hAnsi="Times New Roman"/>
          <w:sz w:val="20"/>
          <w:u w:val="single"/>
        </w:rPr>
        <w:t>Executive Officer</w:t>
      </w:r>
      <w:r>
        <w:rPr>
          <w:rFonts w:ascii="Times New Roman" w:hAnsi="Times New Roman"/>
          <w:sz w:val="20"/>
        </w:rPr>
        <w:t xml:space="preserve">” means (i) with respect to the Borrower, those officers with titles of president, chief executive officer, executive vice-president and senior vice-president, and (ii) with respect to any other Loan Party, those officers with titles of president, chief executive officer and vice president. </w:t>
      </w:r>
    </w:p>
    <w:p>
      <w:pPr>
        <w:pStyle w:val="TextBody"/>
        <w:bidi w:val="0"/>
        <w:spacing w:before="240" w:after="0"/>
        <w:jc w:val="left"/>
        <w:rPr/>
      </w:pPr>
      <w:r>
        <w:rPr/>
        <w:t>“</w:t>
      </w:r>
      <w:r>
        <w:rPr>
          <w:rFonts w:ascii="Times New Roman" w:hAnsi="Times New Roman"/>
          <w:sz w:val="20"/>
          <w:u w:val="single"/>
        </w:rPr>
        <w:t>Existing Credit Agreement</w:t>
      </w:r>
      <w:r>
        <w:rPr>
          <w:rFonts w:ascii="Times New Roman" w:hAnsi="Times New Roman"/>
          <w:sz w:val="20"/>
        </w:rPr>
        <w:t xml:space="preserve">” has the meaning specified in the recitals hereto. </w:t>
      </w:r>
    </w:p>
    <w:p>
      <w:pPr>
        <w:pStyle w:val="TextBody"/>
        <w:bidi w:val="0"/>
        <w:spacing w:before="240" w:after="0"/>
        <w:jc w:val="left"/>
        <w:rPr/>
      </w:pPr>
      <w:r>
        <w:rPr/>
        <w:t>“</w:t>
      </w:r>
      <w:r>
        <w:rPr>
          <w:rFonts w:ascii="Times New Roman" w:hAnsi="Times New Roman"/>
          <w:sz w:val="20"/>
          <w:u w:val="single"/>
        </w:rPr>
        <w:t>Existing Lenders</w:t>
      </w:r>
      <w:r>
        <w:rPr>
          <w:rFonts w:ascii="Times New Roman" w:hAnsi="Times New Roman"/>
          <w:sz w:val="20"/>
        </w:rPr>
        <w:t xml:space="preserve">” has the meaning specified in the recitals hereto.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shall mean each of the letters of credit set forth on </w:t>
      </w:r>
      <w:r>
        <w:rPr>
          <w:rFonts w:ascii="Times New Roman" w:hAnsi="Times New Roman"/>
          <w:sz w:val="20"/>
          <w:u w:val="single"/>
        </w:rPr>
        <w:t>Schedule 1.01(b)</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Existing Loan Documents</w:t>
      </w:r>
      <w:r>
        <w:rPr>
          <w:rFonts w:ascii="Times New Roman" w:hAnsi="Times New Roman"/>
          <w:sz w:val="20"/>
        </w:rPr>
        <w:t xml:space="preserve">” shall have the meaning specified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Existing Obligations</w:t>
      </w:r>
      <w:r>
        <w:rPr>
          <w:rFonts w:ascii="Times New Roman" w:hAnsi="Times New Roman"/>
          <w:sz w:val="20"/>
        </w:rPr>
        <w:t xml:space="preserve">” shall have the meaning specified in </w:t>
      </w:r>
      <w:r>
        <w:rPr>
          <w:rFonts w:ascii="Times New Roman" w:hAnsi="Times New Roman"/>
          <w:sz w:val="20"/>
          <w:u w:val="single"/>
        </w:rPr>
        <w:t>Section 1.07(b)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Facility</w:t>
      </w:r>
      <w:r>
        <w:rPr>
          <w:rFonts w:ascii="Times New Roman" w:hAnsi="Times New Roman"/>
          <w:sz w:val="20"/>
        </w:rPr>
        <w:t xml:space="preserve">” means each Term A Facility, Term B Facility or the Revolving Credit Facility, as applicable. </w:t>
      </w:r>
    </w:p>
    <w:p>
      <w:pPr>
        <w:pStyle w:val="TextBody"/>
        <w:bidi w:val="0"/>
        <w:spacing w:before="240" w:after="0"/>
        <w:jc w:val="left"/>
        <w:rPr/>
      </w:pPr>
      <w:r>
        <w:rPr/>
        <w:t>“</w:t>
      </w:r>
      <w:r>
        <w:rPr>
          <w:rFonts w:ascii="Times New Roman" w:hAnsi="Times New Roman"/>
          <w:sz w:val="20"/>
          <w:u w:val="single"/>
        </w:rPr>
        <w:t>FASB ASC</w:t>
      </w:r>
      <w:r>
        <w:rPr>
          <w:rFonts w:ascii="Times New Roman" w:hAnsi="Times New Roman"/>
          <w:sz w:val="20"/>
        </w:rPr>
        <w:t xml:space="preserve">” means the Accounting Standards Codification of the Financial Accounting Standards Board.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hAnsi="Times New Roman"/>
          <w:sz w:val="20"/>
          <w:u w:val="single"/>
        </w:rPr>
        <w:t>provided</w:t>
      </w:r>
      <w:r>
        <w:rPr>
          <w:rFonts w:ascii="Times New Roman" w:hAnsi="Times New Roman"/>
          <w:sz w:val="20"/>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w:t>
      </w:r>
    </w:p>
    <w:p>
      <w:pPr>
        <w:pStyle w:val="TextBody"/>
        <w:bidi w:val="0"/>
        <w:spacing w:before="240" w:after="0"/>
        <w:jc w:val="left"/>
        <w:rPr/>
      </w:pPr>
      <w:r>
        <w:rPr/>
        <w:t>“</w:t>
      </w:r>
      <w:r>
        <w:rPr>
          <w:rFonts w:ascii="Times New Roman" w:hAnsi="Times New Roman"/>
          <w:sz w:val="20"/>
          <w:u w:val="single"/>
        </w:rPr>
        <w:t>Fee Letters</w:t>
      </w:r>
      <w:r>
        <w:rPr>
          <w:rFonts w:ascii="Times New Roman" w:hAnsi="Times New Roman"/>
          <w:sz w:val="20"/>
        </w:rPr>
        <w:t xml:space="preserve">” means, collectively, the Agent Fee Letter and any other fee letter executed between the Borrower and an Arranger. </w:t>
      </w:r>
    </w:p>
    <w:p>
      <w:pPr>
        <w:pStyle w:val="TextBody"/>
        <w:bidi w:val="0"/>
        <w:spacing w:before="240" w:after="0"/>
        <w:jc w:val="left"/>
        <w:rPr/>
      </w:pPr>
      <w:r>
        <w:rPr/>
        <w:t>“</w:t>
      </w:r>
      <w:r>
        <w:rPr>
          <w:rFonts w:ascii="Times New Roman" w:hAnsi="Times New Roman"/>
          <w:sz w:val="20"/>
          <w:u w:val="single"/>
        </w:rPr>
        <w:t>Financial Covenant Event of Default</w:t>
      </w:r>
      <w:r>
        <w:rPr>
          <w:rFonts w:ascii="Times New Roman" w:hAnsi="Times New Roman"/>
          <w:sz w:val="20"/>
        </w:rPr>
        <w:t xml:space="preserve">” has the meaning specified in </w:t>
      </w:r>
      <w:r>
        <w:rPr>
          <w:rFonts w:ascii="Times New Roman" w:hAnsi="Times New Roman"/>
          <w:sz w:val="20"/>
          <w:u w:val="single"/>
        </w:rPr>
        <w:t>Section 8.01(b)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First Lien Intercreditor Agreement</w:t>
      </w:r>
      <w:r>
        <w:rPr>
          <w:rFonts w:ascii="Times New Roman" w:hAnsi="Times New Roman"/>
          <w:sz w:val="20"/>
        </w:rPr>
        <w:t xml:space="preserve">” means (1) the First Lien Intercreditor Agreement dated as of the Closing Date, among the Administrative Agent, Truist Bank, as Initial Additional First Lien Collateral Agent, the Borrower and the Guarantors party thereto or (2) another intercreditor agreement substantially in the form of Exhibit J, together with any changes thereto which are reasonably acceptable to the Administrative Agent and the Borrower.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any Lender that is organized under the Laws of a jurisdiction other than that in which the Borrower is resident for tax purposes (including such a Lender when acting in the capacity of a L/C Issuer). For purposes of this definition, the United States, each State thereof and the District of Columbia shall be deemed to constitute a single jurisdiction.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 Subsidiary that is not a Domestic Subsidiary. </w:t>
      </w:r>
    </w:p>
    <w:p>
      <w:pPr>
        <w:pStyle w:val="TextBody"/>
        <w:bidi w:val="0"/>
        <w:spacing w:before="240" w:after="0"/>
        <w:jc w:val="left"/>
        <w:rPr/>
      </w:pPr>
      <w:r>
        <w:rPr/>
        <w:t>“</w:t>
      </w:r>
      <w:r>
        <w:rPr>
          <w:rFonts w:ascii="Times New Roman" w:hAnsi="Times New Roman"/>
          <w:sz w:val="20"/>
          <w:u w:val="single"/>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sz w:val="20"/>
          <w:u w:val="single"/>
        </w:rPr>
        <w:t>Fronting Exposure</w:t>
      </w:r>
      <w:r>
        <w:rPr>
          <w:rFonts w:ascii="Times New Roman" w:hAnsi="Times New Roman"/>
          <w:sz w:val="20"/>
        </w:rPr>
        <w:t xml:space="preserve">” means, at any time there is a Defaulting Lender that is a Revolving Credit Lender, (a) with respect to each L/C Issuer, such Defaulting Lender’s Applicable Percentage of the outstanding L/C Obligations other than L/C Obligations as to which such Defaulting Lender’s participation obligation has been reallocated to other 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or Cash Collateralized in accordance with the terms hereof. </w:t>
      </w:r>
    </w:p>
    <w:p>
      <w:pPr>
        <w:pStyle w:val="TextBody"/>
        <w:bidi w:val="0"/>
        <w:spacing w:before="240" w:after="0"/>
        <w:jc w:val="left"/>
        <w:rPr/>
      </w:pPr>
      <w:r>
        <w:rPr/>
        <w:t>“</w:t>
      </w:r>
      <w:r>
        <w:rPr>
          <w:rFonts w:ascii="Times New Roman" w:hAnsi="Times New Roman"/>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activities.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w:t>
      </w:r>
    </w:p>
    <w:p>
      <w:pPr>
        <w:pStyle w:val="TextBody"/>
        <w:bidi w:val="0"/>
        <w:spacing w:before="240" w:after="0"/>
        <w:jc w:val="left"/>
        <w:rPr/>
      </w:pPr>
      <w:r>
        <w:rPr/>
        <w:t>“</w:t>
      </w:r>
      <w:r>
        <w:rPr>
          <w:rFonts w:ascii="Times New Roman" w:hAnsi="Times New Roman"/>
          <w:sz w:val="20"/>
          <w:u w:val="single"/>
        </w:rPr>
        <w:t>Granting Lender</w:t>
      </w:r>
      <w:r>
        <w:rPr>
          <w:rFonts w:ascii="Times New Roman" w:hAnsi="Times New Roman"/>
          <w:sz w:val="20"/>
        </w:rPr>
        <w:t xml:space="preserve">” has the meaning specified in </w:t>
      </w:r>
      <w:r>
        <w:rPr>
          <w:rFonts w:ascii="Times New Roman" w:hAnsi="Times New Roman"/>
          <w:sz w:val="20"/>
          <w:u w:val="single"/>
        </w:rPr>
        <w:t>Section 10.06(g)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means, as to any Person, (a) any obligation, contingent or otherwise, of such Person guaranteeing or having the economic effect of guaranteeing any Indebtedness or other obligation payable or performable by another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 w:hAnsi="Times New Roman"/>
          <w:sz w:val="20"/>
          <w:u w:val="single"/>
        </w:rPr>
        <w:t>provided</w:t>
      </w:r>
      <w:r>
        <w:rPr>
          <w:rFonts w:ascii="Times New Roman" w:hAnsi="Times New Roman"/>
          <w:sz w:val="20"/>
        </w:rPr>
        <w:t xml:space="preserve">, that, the term Guarantee shall not include (i) endorsements of instruments for collection in the ordinary course, (ii) customary exceptions to non-recourse provisions such as fraud, misappropriation of funds and environmental liabilities or (iii) assurances relating to environmental matters.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 </w:t>
      </w:r>
    </w:p>
    <w:p>
      <w:pPr>
        <w:pStyle w:val="TextBody"/>
        <w:bidi w:val="0"/>
        <w:spacing w:before="240" w:after="0"/>
        <w:jc w:val="left"/>
        <w:rPr/>
      </w:pPr>
      <w:r>
        <w:rPr/>
        <w:t>“</w:t>
      </w:r>
      <w:r>
        <w:rPr>
          <w:rFonts w:ascii="Times New Roman" w:hAnsi="Times New Roman"/>
          <w:sz w:val="20"/>
          <w:u w:val="single"/>
        </w:rPr>
        <w:t>Honor Date</w:t>
      </w:r>
      <w:r>
        <w:rPr>
          <w:rFonts w:ascii="Times New Roman" w:hAnsi="Times New Roman"/>
          <w:sz w:val="20"/>
        </w:rPr>
        <w:t xml:space="preserve">” has the meaning specified in </w:t>
      </w:r>
      <w:r>
        <w:rPr>
          <w:rFonts w:ascii="Times New Roman" w:hAnsi="Times New Roman"/>
          <w:sz w:val="20"/>
          <w:u w:val="single"/>
        </w:rPr>
        <w:t>Section 2.03(c)(i)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Immaterial Subsidiaries</w:t>
      </w:r>
      <w:r>
        <w:rPr>
          <w:rFonts w:ascii="Times New Roman" w:hAnsi="Times New Roman"/>
          <w:sz w:val="20"/>
        </w:rPr>
        <w:t xml:space="preserve">” means each Domestic Subsidiary that (a) is not a Material Subsidiary and (b) is designated by written notice from the Borrower to the Administrative Agent as an “Immaterial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as of any date of determination, the aggregate Consolidated EBITDA during the four consecutive fiscal quarters most recently ended of all Domestic Subsidiaries that are designated as Immaterial Subsidiaries shall not exceed ten percent (10.0%) of the Consolidated EBITDA during such period of the Borrower and its consolidated Domestic Subsidiaries, and (ii) as of the Closing Date, each of the Domestic Subsidiaries listed in part A of </w:t>
      </w:r>
      <w:r>
        <w:rPr>
          <w:rFonts w:ascii="Times New Roman" w:hAnsi="Times New Roman"/>
          <w:sz w:val="20"/>
          <w:u w:val="single"/>
        </w:rPr>
        <w:t>Schedule 1.01(a)</w:t>
      </w:r>
      <w:r>
        <w:rPr>
          <w:rFonts w:ascii="Times New Roman" w:hAnsi="Times New Roman"/>
          <w:sz w:val="20"/>
        </w:rPr>
        <w:t xml:space="preserve"> that is designated as an “Immaterial Subsidiary” in accordance with this definition shall be deemed to be an Immaterial Subsidiary. </w:t>
      </w:r>
    </w:p>
    <w:p>
      <w:pPr>
        <w:pStyle w:val="TextBody"/>
        <w:bidi w:val="0"/>
        <w:spacing w:before="240" w:after="0"/>
        <w:jc w:val="left"/>
        <w:rPr/>
      </w:pPr>
      <w:r>
        <w:rPr/>
        <w:t>“</w:t>
      </w:r>
      <w:r>
        <w:rPr>
          <w:rFonts w:ascii="Times New Roman" w:hAnsi="Times New Roman"/>
          <w:sz w:val="20"/>
          <w:u w:val="single"/>
        </w:rPr>
        <w:t>Increase Effective Date</w:t>
      </w:r>
      <w:r>
        <w:rPr>
          <w:rFonts w:ascii="Times New Roman" w:hAnsi="Times New Roman"/>
          <w:sz w:val="20"/>
        </w:rPr>
        <w:t xml:space="preserve">” has the meaning specified in </w:t>
      </w:r>
      <w:r>
        <w:rPr>
          <w:rFonts w:ascii="Times New Roman" w:hAnsi="Times New Roman"/>
          <w:sz w:val="20"/>
          <w:u w:val="single"/>
        </w:rPr>
        <w:t>Section 2.16(d)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Incremental Amount</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Facility</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Increase</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Note</w:t>
      </w:r>
      <w:r>
        <w:rPr>
          <w:rFonts w:ascii="Times New Roman" w:hAnsi="Times New Roman"/>
          <w:sz w:val="20"/>
        </w:rPr>
        <w:t xml:space="preserve">” has the meaning specified in </w:t>
      </w:r>
      <w:r>
        <w:rPr>
          <w:rFonts w:ascii="Times New Roman" w:hAnsi="Times New Roman"/>
          <w:sz w:val="20"/>
          <w:u w:val="single"/>
        </w:rPr>
        <w:t>Section 7.03(j)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Revolving Commitment</w:t>
      </w:r>
      <w:r>
        <w:rPr>
          <w:rFonts w:ascii="Times New Roman" w:hAnsi="Times New Roman"/>
          <w:sz w:val="20"/>
        </w:rPr>
        <w:t xml:space="preserve">” has the meaning assigned to such term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A Loans</w:t>
      </w:r>
      <w:r>
        <w:rPr>
          <w:rFonts w:ascii="Times New Roman" w:hAnsi="Times New Roman"/>
          <w:sz w:val="20"/>
        </w:rPr>
        <w:t xml:space="preserve">” has the meaning assigned to such term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B Loans</w:t>
      </w:r>
      <w:r>
        <w:rPr>
          <w:rFonts w:ascii="Times New Roman" w:hAnsi="Times New Roman"/>
          <w:sz w:val="20"/>
        </w:rPr>
        <w:t xml:space="preserve">” has the meaning assigned to such term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Loan</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Loan Increases</w:t>
      </w:r>
      <w:r>
        <w:rPr>
          <w:rFonts w:ascii="Times New Roman" w:hAnsi="Times New Roman"/>
          <w:sz w:val="20"/>
        </w:rPr>
        <w:t xml:space="preserve">” has the meaning assigned to such term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as to any Person at a particular time, without duplication, all of the following, whether or not included as indebtedness or liabilities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(a) all obligations of such Person for borrowed money and all obligations of such Person evidenced by bonds, debentures, notes, loan agreements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(b) the maximum amount of all direct or contingent obligations of such Person arising under letters of credit (including standby and commercial), bankers’ acceptances, bank guaranties, surety bonds and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(c) net payment obligations of such Person under any Swap Contract; </w:t>
      </w:r>
    </w:p>
    <w:p>
      <w:pPr>
        <w:pStyle w:val="TextBody"/>
        <w:bidi w:val="0"/>
        <w:spacing w:before="120" w:after="0"/>
        <w:jc w:val="left"/>
        <w:rPr>
          <w:rFonts w:ascii="Times New Roman" w:hAnsi="Times New Roman"/>
          <w:sz w:val="20"/>
        </w:rPr>
      </w:pPr>
      <w:r>
        <w:rPr>
          <w:rFonts w:ascii="Times New Roman" w:hAnsi="Times New Roman"/>
          <w:sz w:val="20"/>
        </w:rPr>
        <w:t xml:space="preserve">(d) all obligations of such Person to pay the deferred purchase price of property or services (other than trade accounts payable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(excluding prepaid interest thereon) secured by a Lien on property owned by such Person (including indebtedness arising under conditional sales or other title retention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(f) Capitalized Leases and Off-Balance Sheet Obligations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(g) all obligations of such Person to purchase, redeem, retire, defease or otherwise make any payment in respect of any Disqualified Stock in such Person or any other Person, valued, in the case of a redeemable preferred interest, at the greater of its voluntary or involuntary liquidation preference plus accrued and unpaid dividends; and </w:t>
      </w:r>
    </w:p>
    <w:p>
      <w:pPr>
        <w:pStyle w:val="TextBody"/>
        <w:bidi w:val="0"/>
        <w:spacing w:before="120" w:after="0"/>
        <w:jc w:val="left"/>
        <w:rPr>
          <w:rFonts w:ascii="Times New Roman" w:hAnsi="Times New Roman"/>
          <w:sz w:val="20"/>
        </w:rPr>
      </w:pPr>
      <w:r>
        <w:rPr>
          <w:rFonts w:ascii="Times New Roman" w:hAnsi="Times New Roman"/>
          <w:sz w:val="20"/>
        </w:rPr>
        <w:t xml:space="preserve">(h) all Guarantees of such Person in respect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in an amount proportionate to such Person’s interest therein, unless such Indebtedness is expressly made non-recourse to such Person (subject to customary exceptions to non-recourse provisions such as fraud, misappropriation of funds and environmental liabilities) or except to the extent such Indebtedness is owed by such partnership or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venture to such Person. The amount of any net obligation under any Swap Contract on any date shall be deemed to be the Swap Termination Value thereof as of such date. The amount of any Capitalized Lease or Off-Balance Sheet Obligation as of any date shall be deemed to be the amount of Attributable Indebtedness in respect thereof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(i) prepaid or deferred revenue arising in the ordinary course of business, (ii) purchase price holdbacks arising in the ordinary course of business in respect of a portion of the purchase prices of an asset to satisfy unperformed obligations of the seller of such asset, (iii) earn-out obligations which have not yet become a liability on the balance sheet under GAAP and (iv) any Swap Contract associated with an accelerated share repurchase program, shall not constitute Indebtedness.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the preceding </w:t>
      </w:r>
      <w:r>
        <w:rPr>
          <w:rFonts w:ascii="Times New Roman" w:hAnsi="Times New Roman"/>
          <w:sz w:val="20"/>
          <w:u w:val="single"/>
        </w:rPr>
        <w:t>clause (a)</w:t>
      </w:r>
      <w:r>
        <w:rPr>
          <w:rFonts w:ascii="Times New Roman" w:hAnsi="Times New Roman"/>
          <w:sz w:val="20"/>
        </w:rPr>
        <w:t xml:space="preserve">,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specified in </w:t>
      </w:r>
      <w:r>
        <w:rPr>
          <w:rFonts w:ascii="Times New Roman" w:hAnsi="Times New Roman"/>
          <w:sz w:val="20"/>
          <w:u w:val="single"/>
        </w:rPr>
        <w:t>Section 10.04(b)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has the meaning specified in </w:t>
      </w:r>
      <w:r>
        <w:rPr>
          <w:rFonts w:ascii="Times New Roman" w:hAnsi="Times New Roman"/>
          <w:sz w:val="20"/>
          <w:u w:val="single"/>
        </w:rPr>
        <w:t>Section 10.07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defined in the Security Agreement. </w:t>
      </w:r>
    </w:p>
    <w:p>
      <w:pPr>
        <w:pStyle w:val="TextBody"/>
        <w:bidi w:val="0"/>
        <w:spacing w:before="240" w:after="0"/>
        <w:jc w:val="left"/>
        <w:rPr/>
      </w:pPr>
      <w:r>
        <w:rPr/>
        <w:t>“</w:t>
      </w:r>
      <w:r>
        <w:rPr>
          <w:rFonts w:ascii="Times New Roman" w:hAnsi="Times New Roman"/>
          <w:sz w:val="20"/>
          <w:u w:val="single"/>
        </w:rPr>
        <w:t>Intellectual Property Security Agreement</w:t>
      </w:r>
      <w:r>
        <w:rPr>
          <w:rFonts w:ascii="Times New Roman" w:hAnsi="Times New Roman"/>
          <w:sz w:val="20"/>
        </w:rPr>
        <w:t xml:space="preserve">” has the meaning specified in </w:t>
      </w:r>
      <w:r>
        <w:rPr>
          <w:rFonts w:ascii="Times New Roman" w:hAnsi="Times New Roman"/>
          <w:sz w:val="20"/>
          <w:u w:val="single"/>
        </w:rPr>
        <w:t>Section 4.01(a)(xvii)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Intercompany Notes</w:t>
      </w:r>
      <w:r>
        <w:rPr>
          <w:rFonts w:ascii="Times New Roman" w:hAnsi="Times New Roman"/>
          <w:sz w:val="20"/>
        </w:rPr>
        <w:t xml:space="preserve">” means the promissory notes issued as contemplated by </w:t>
      </w:r>
      <w:r>
        <w:rPr>
          <w:rFonts w:ascii="Times New Roman" w:hAnsi="Times New Roman"/>
          <w:sz w:val="20"/>
          <w:u w:val="single"/>
        </w:rPr>
        <w:t>Section 7.02(d)</w:t>
      </w:r>
      <w:r>
        <w:rPr>
          <w:rFonts w:ascii="Times New Roman" w:hAnsi="Times New Roman"/>
          <w:sz w:val="20"/>
        </w:rPr>
        <w:t xml:space="preserve">, substantially in the form of Exhibit A to the Pledge Agreement or any intercompany loan agreement in form and substance reasonably satisfactory to the Administrative Agent.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as to any Term SOFR Loan, the last day of each Interest Period applicable to such Loan and the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Interest Period for a Term SOFR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(with Swing Line Loans being deemed made under the Revolving Credit Facility for purposes of this definition).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as to each Term SOFR Loan, the period commencing on the date such Term SOFR Loan is disbursed or converted to or continued as a Term SOFR Loan and ending on the date one, three or six months thereafter, as selected by the Borrower in the Loan Notice (in the case of each requested Interest Period, subject to availability);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any Interest Period that would otherwise end on a day that is not a Business Day shall be extended to the next succeeding Business Day unless, in the case of a Term SOFR Loan, such Business Day falls in another calendar month, in which case such Interest Period shall end on the immediately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Interest Period shall extend beyond the Maturity Date; and </w:t>
      </w:r>
    </w:p>
    <w:p>
      <w:pPr>
        <w:pStyle w:val="TextBody"/>
        <w:bidi w:val="0"/>
        <w:spacing w:before="120" w:after="0"/>
        <w:jc w:val="left"/>
        <w:rPr>
          <w:rFonts w:ascii="Times New Roman" w:hAnsi="Times New Roman"/>
          <w:sz w:val="20"/>
        </w:rPr>
      </w:pPr>
      <w:r>
        <w:rPr>
          <w:rFonts w:ascii="Times New Roman" w:hAnsi="Times New Roman"/>
          <w:sz w:val="20"/>
        </w:rPr>
        <w:t xml:space="preserve">(d) solely with respect to the Interest Period applicable to Term SOFR Loans made on the Closing Date, the Borrower may elect a period of less than one month.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division, business unit or line of business. For purposes of covenant compliance, the amount of any Investment shall be the amount actually invested, without adjustment for subsequent increases or decreases in the value of such Investment.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ISP</w:t>
      </w:r>
      <w:r>
        <w:rPr>
          <w:rFonts w:ascii="Times New Roman" w:hAnsi="Times New Roman"/>
          <w:sz w:val="20"/>
        </w:rPr>
        <w:t xml:space="preserve">” means, with respect to any Letter of Credit, the “International Standby Practices 1998” published by the International Chamber of Commerce under Publication No. 590 (or such later version thereof as may be in effect at the time of issuance). </w:t>
      </w:r>
    </w:p>
    <w:p>
      <w:pPr>
        <w:pStyle w:val="TextBody"/>
        <w:bidi w:val="0"/>
        <w:spacing w:before="240" w:after="0"/>
        <w:jc w:val="left"/>
        <w:rPr/>
      </w:pPr>
      <w:r>
        <w:rPr/>
        <w:t>“</w:t>
      </w:r>
      <w:r>
        <w:rPr>
          <w:rFonts w:ascii="Times New Roman" w:hAnsi="Times New Roman"/>
          <w:sz w:val="20"/>
          <w:u w:val="single"/>
        </w:rPr>
        <w:t>Issuer Documents</w:t>
      </w:r>
      <w:r>
        <w:rPr>
          <w:rFonts w:ascii="Times New Roman" w:hAnsi="Times New Roman"/>
          <w:sz w:val="20"/>
        </w:rPr>
        <w:t xml:space="preserve">” means with respect to any Letter of Credit, the Letter of Credit Application and any other document, agreement and instrument entered into by any L/C Issuer and the Borrower (or any Subsidiary) or in favor of any L/C Issuer and relating to any such Letter of Credit. </w:t>
      </w:r>
    </w:p>
    <w:p>
      <w:pPr>
        <w:pStyle w:val="TextBody"/>
        <w:bidi w:val="0"/>
        <w:spacing w:before="240" w:after="0"/>
        <w:jc w:val="left"/>
        <w:rPr/>
      </w:pPr>
      <w:r>
        <w:rPr/>
        <w:t>“</w:t>
      </w:r>
      <w:r>
        <w:rPr>
          <w:rFonts w:ascii="Times New Roman" w:hAnsi="Times New Roman"/>
          <w:sz w:val="20"/>
          <w:u w:val="single"/>
        </w:rPr>
        <w:t>Joinder Agreement</w:t>
      </w:r>
      <w:r>
        <w:rPr>
          <w:rFonts w:ascii="Times New Roman" w:hAnsi="Times New Roman"/>
          <w:sz w:val="20"/>
        </w:rPr>
        <w:t xml:space="preserve">” means a joinder agreement executed and delivered in accordance with the provisions of </w:t>
      </w:r>
      <w:r>
        <w:rPr>
          <w:rFonts w:ascii="Times New Roman" w:hAnsi="Times New Roman"/>
          <w:sz w:val="20"/>
          <w:u w:val="single"/>
        </w:rPr>
        <w:t>Section 6.11</w:t>
      </w:r>
      <w:r>
        <w:rPr>
          <w:rFonts w:ascii="Times New Roman" w:hAnsi="Times New Roman"/>
          <w:sz w:val="20"/>
        </w:rPr>
        <w:t xml:space="preserve">, substantially in the form of </w:t>
      </w:r>
      <w:r>
        <w:rPr>
          <w:rFonts w:ascii="Times New Roman" w:hAnsi="Times New Roman"/>
          <w:sz w:val="20"/>
          <w:u w:val="single"/>
        </w:rPr>
        <w:t>Exhibit G</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Laws</w:t>
      </w:r>
      <w:r>
        <w:rPr>
          <w:rFonts w:ascii="Times New Roman" w:hAnsi="Times New Roman"/>
          <w:sz w:val="20"/>
        </w:rPr>
        <w:t xml:space="preserve">” means, collectively, all international, foreign, Federal, state and local statutes, treaties, rules, guidelines, regulations, ordinances, codes,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(including, without limitation, under the Federal Food, Drug and Cosmetic Act, the Safe Medical Devices Act of 1990, the FDA Modernization Act of 1997, and additional laws and regulations relating to medical devices promulgated by various governments and governmental agencies, the International Standards Organization’s regulations and registration requirements and the European Medical Device Directives). </w:t>
      </w:r>
    </w:p>
    <w:p>
      <w:pPr>
        <w:pStyle w:val="TextBody"/>
        <w:bidi w:val="0"/>
        <w:spacing w:before="240" w:after="0"/>
        <w:jc w:val="left"/>
        <w:rPr/>
      </w:pPr>
      <w:r>
        <w:rPr/>
        <w:t>“</w:t>
      </w:r>
      <w:r>
        <w:rPr>
          <w:rFonts w:ascii="Times New Roman" w:hAnsi="Times New Roman"/>
          <w:sz w:val="20"/>
          <w:u w:val="single"/>
        </w:rPr>
        <w:t>Lender Party</w:t>
      </w:r>
      <w:r>
        <w:rPr>
          <w:rFonts w:ascii="Times New Roman" w:hAnsi="Times New Roman"/>
          <w:sz w:val="20"/>
        </w:rPr>
        <w:t xml:space="preserve">” means collectively, the Lenders, the Swing Line Lender and each L/C Issuer. </w:t>
      </w:r>
    </w:p>
    <w:p>
      <w:pPr>
        <w:pStyle w:val="TextBody"/>
        <w:bidi w:val="0"/>
        <w:spacing w:before="240" w:after="0"/>
        <w:jc w:val="left"/>
        <w:rPr/>
      </w:pPr>
      <w:r>
        <w:rPr/>
        <w:t>“</w:t>
      </w:r>
      <w:r>
        <w:rPr>
          <w:rFonts w:ascii="Times New Roman" w:hAnsi="Times New Roman"/>
          <w:sz w:val="20"/>
          <w:u w:val="single"/>
        </w:rPr>
        <w:t>L/C Advance</w:t>
      </w:r>
      <w:r>
        <w:rPr>
          <w:rFonts w:ascii="Times New Roman" w:hAnsi="Times New Roman"/>
          <w:sz w:val="20"/>
        </w:rPr>
        <w:t xml:space="preserve">” means, with respect to each Revolving Credit Lender, such Lender’s funding of its participation in any L/C Borrowing in accordance with its Applicable Revolving Credit Percentage. </w:t>
      </w:r>
    </w:p>
    <w:p>
      <w:pPr>
        <w:pStyle w:val="TextBody"/>
        <w:bidi w:val="0"/>
        <w:spacing w:before="240" w:after="0"/>
        <w:jc w:val="left"/>
        <w:rPr/>
      </w:pPr>
      <w:r>
        <w:rPr/>
        <w:t>“</w:t>
      </w:r>
      <w:r>
        <w:rPr>
          <w:rFonts w:ascii="Times New Roman" w:hAnsi="Times New Roman"/>
          <w:sz w:val="20"/>
          <w:u w:val="single"/>
        </w:rPr>
        <w:t>L/C Borrowing</w:t>
      </w:r>
      <w:r>
        <w:rPr>
          <w:rFonts w:ascii="Times New Roman" w:hAnsi="Times New Roman"/>
          <w:sz w:val="20"/>
        </w:rPr>
        <w:t xml:space="preserve">” means an extension of credit resulting from a drawing under any Letter of Credit which has not been reimbursed by the Borrower on the Honor Date or refinanced as a Revolving Credit Borrowing. </w:t>
      </w:r>
    </w:p>
    <w:p>
      <w:pPr>
        <w:pStyle w:val="TextBody"/>
        <w:bidi w:val="0"/>
        <w:spacing w:before="240" w:after="0"/>
        <w:jc w:val="left"/>
        <w:rPr/>
      </w:pPr>
      <w:r>
        <w:rPr/>
        <w:t>“</w:t>
      </w:r>
      <w:r>
        <w:rPr>
          <w:rFonts w:ascii="Times New Roman" w:hAnsi="Times New Roman"/>
          <w:sz w:val="20"/>
          <w:u w:val="single"/>
        </w:rPr>
        <w:t>L/C Credit Extension</w:t>
      </w:r>
      <w:r>
        <w:rPr>
          <w:rFonts w:ascii="Times New Roman" w:hAnsi="Times New Roman"/>
          <w:sz w:val="20"/>
        </w:rPr>
        <w:t xml:space="preserve">” means, with respect to any Letter of Credit, the issuance thereof or extension of the expiry date thereof, or the renewal or increase of the amount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L/C Issuer</w:t>
      </w:r>
      <w:r>
        <w:rPr>
          <w:rFonts w:ascii="Times New Roman" w:hAnsi="Times New Roman"/>
          <w:sz w:val="20"/>
        </w:rPr>
        <w:t xml:space="preserve">” means, individually or collectively as the context may indicate, (a) each of Bank of America and JPMorgan Chase Bank, N.A., in its capacity as issuer of Letters of Credit hereunder or any successor to each of Bank of America and JPMorgan Chase Bank, N.A., in its capacity as an issuer of Letters of Credit hereunder, (b) each other Revolving Credit Lender with a Letter of Credit Commitment set forth on </w:t>
      </w:r>
      <w:r>
        <w:rPr>
          <w:rFonts w:ascii="Times New Roman" w:hAnsi="Times New Roman"/>
          <w:sz w:val="20"/>
          <w:u w:val="single"/>
        </w:rPr>
        <w:t>Schedule 2.01</w:t>
      </w:r>
      <w:r>
        <w:rPr>
          <w:rFonts w:ascii="Times New Roman" w:hAnsi="Times New Roman"/>
          <w:sz w:val="20"/>
        </w:rPr>
        <w:t xml:space="preserve"> and (c) any other Revolving Credit Lender, selected by the Borrower (with the consent of the Administrative Agent and such Revolving Credit Lender, which consent, in the case of the Administrative Agent shall not be unreasonably withheld or delayed) to be an issuer of Letters of Credit hereunder, or any successor to such Lender in its capacity as an issuer of Letters of Credit hereunder. Each L/C Issuer may, in its discretion, arrange for one or more Letters of Credit to be issued by Affiliates of such L/C Issuer, in which case the term “L/C Issuer” shall include any such Affiliate with respect to Letters of Credit issued by such Affiliate and for all purposes of the Loan Documents. </w:t>
      </w:r>
    </w:p>
    <w:p>
      <w:pPr>
        <w:pStyle w:val="TextBody"/>
        <w:bidi w:val="0"/>
        <w:spacing w:before="240" w:after="0"/>
        <w:jc w:val="left"/>
        <w:rPr/>
      </w:pPr>
      <w:r>
        <w:rPr/>
        <w:t>“</w:t>
      </w:r>
      <w:r>
        <w:rPr>
          <w:rFonts w:ascii="Times New Roman" w:hAnsi="Times New Roman"/>
          <w:sz w:val="20"/>
          <w:u w:val="single"/>
        </w:rPr>
        <w:t>L/C Obligations</w:t>
      </w:r>
      <w:r>
        <w:rPr>
          <w:rFonts w:ascii="Times New Roman" w:hAnsi="Times New Roman"/>
          <w:sz w:val="20"/>
        </w:rPr>
        <w:t xml:space="preserve">” means, as at any date of determination, the aggregate amount available to be drawn under all outstanding Letters of Credit </w:t>
      </w:r>
      <w:r>
        <w:rPr>
          <w:rFonts w:ascii="Times New Roman" w:hAnsi="Times New Roman"/>
          <w:sz w:val="20"/>
          <w:u w:val="single"/>
        </w:rPr>
        <w:t>plus</w:t>
      </w:r>
      <w:r>
        <w:rPr>
          <w:rFonts w:ascii="Times New Roman" w:hAnsi="Times New Roman"/>
          <w:sz w:val="20"/>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For purposes of this Agreement, if on any date of determination a Letter of Credit has expired by its terms but any amount may still be drawn thereunder by reason of the operation of Rule 3.14 of the ISP, such Letter of Credit shall be deemed to be “outstanding” in the amount remaining to be drawn.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xml:space="preserve">” has the meaning specified in the introductory paragraph hereto and, as the context requires, includes each Lender with a commitment to make Loans as designated in </w:t>
      </w:r>
      <w:r>
        <w:rPr>
          <w:rFonts w:ascii="Times New Roman" w:hAnsi="Times New Roman"/>
          <w:sz w:val="20"/>
          <w:u w:val="single"/>
        </w:rPr>
        <w:t>Section 2.01</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xml:space="preserve"> or in an Assignment and Assumption pursuant to which such Lender becomes a party hereto; </w:t>
      </w:r>
      <w:r>
        <w:rPr>
          <w:rFonts w:ascii="Times New Roman" w:hAnsi="Times New Roman"/>
          <w:sz w:val="20"/>
          <w:u w:val="single"/>
        </w:rPr>
        <w:t>provided</w:t>
      </w:r>
      <w:r>
        <w:rPr>
          <w:rFonts w:ascii="Times New Roman" w:hAnsi="Times New Roman"/>
          <w:sz w:val="20"/>
        </w:rPr>
        <w:t xml:space="preserve"> that references to “Lenders” shall include any Swing Line Lender; for purposes of clarification only, to the extent that the Swing Line Lender may have rights and obligations in addition to those of the other Lenders due to its status as Swing Line Lender, its status as such will be specifically referenced. </w:t>
      </w:r>
    </w:p>
    <w:p>
      <w:pPr>
        <w:pStyle w:val="TextBody"/>
        <w:bidi w:val="0"/>
        <w:spacing w:before="240" w:after="0"/>
        <w:jc w:val="left"/>
        <w:rPr/>
      </w:pPr>
      <w:r>
        <w:rPr/>
        <w:t>“</w:t>
      </w:r>
      <w:r>
        <w:rPr>
          <w:rFonts w:ascii="Times New Roman" w:hAnsi="Times New Roman"/>
          <w:sz w:val="20"/>
          <w:u w:val="single"/>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to which a Lender may from time to time notify the Borrower and the Administrative Agent.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standby letter of credit issued hereunder and shall include the Existing Letters of Credit. </w:t>
      </w:r>
    </w:p>
    <w:p>
      <w:pPr>
        <w:pStyle w:val="TextBody"/>
        <w:bidi w:val="0"/>
        <w:spacing w:before="240" w:after="0"/>
        <w:jc w:val="left"/>
        <w:rPr/>
      </w:pPr>
      <w:r>
        <w:rPr/>
        <w:t>“</w:t>
      </w:r>
      <w:r>
        <w:rPr>
          <w:rFonts w:ascii="Times New Roman" w:hAnsi="Times New Roman"/>
          <w:sz w:val="20"/>
          <w:u w:val="single"/>
        </w:rPr>
        <w:t>Letter of Credit Application</w:t>
      </w:r>
      <w:r>
        <w:rPr>
          <w:rFonts w:ascii="Times New Roman" w:hAnsi="Times New Roman"/>
          <w:sz w:val="20"/>
        </w:rPr>
        <w:t xml:space="preserve">” means an application and agreement for the issuance or amendment of a Letter of Credit in the form from time to time in use by the applicable L/C Issuer (modified to the extent that the terms thereof conflict with the terms hereof).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shall mean, with respect to each L/C Issuer, the commitment of such L/C Issuer to issue Letters of Credit up to the amount set forth opposite the name of such L/C Issuer on </w:t>
      </w:r>
      <w:r>
        <w:rPr>
          <w:rFonts w:ascii="Times New Roman" w:hAnsi="Times New Roman"/>
          <w:sz w:val="20"/>
          <w:u w:val="single"/>
        </w:rPr>
        <w:t>Schedule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Expiration Date</w:t>
      </w:r>
      <w:r>
        <w:rPr>
          <w:rFonts w:ascii="Times New Roman" w:hAnsi="Times New Roman"/>
          <w:sz w:val="20"/>
        </w:rPr>
        <w:t xml:space="preserve">” means the day that is thirty days prior to the Maturity Date then in effect (or, if such day is not a Business Day, the immediately preceding Business Day). </w:t>
      </w:r>
    </w:p>
    <w:p>
      <w:pPr>
        <w:pStyle w:val="TextBody"/>
        <w:bidi w:val="0"/>
        <w:spacing w:before="240" w:after="0"/>
        <w:jc w:val="left"/>
        <w:rPr/>
      </w:pPr>
      <w:r>
        <w:rPr/>
        <w:t>“</w:t>
      </w:r>
      <w:r>
        <w:rPr>
          <w:rFonts w:ascii="Times New Roman" w:hAnsi="Times New Roman"/>
          <w:sz w:val="20"/>
          <w:u w:val="single"/>
        </w:rPr>
        <w:t>Letter of Credit Fee</w:t>
      </w:r>
      <w:r>
        <w:rPr>
          <w:rFonts w:ascii="Times New Roman" w:hAnsi="Times New Roman"/>
          <w:sz w:val="20"/>
        </w:rPr>
        <w:t xml:space="preserve">” has the meaning specified in </w:t>
      </w:r>
      <w:r>
        <w:rPr>
          <w:rFonts w:ascii="Times New Roman" w:hAnsi="Times New Roman"/>
          <w:sz w:val="20"/>
          <w:u w:val="single"/>
        </w:rPr>
        <w:t>Section 2.03(h)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means an amount equal to the lesser of (a) $60,000,000 and (b) the Revolving Credit Commitments; provided that (i) as to Bank of America, in its capacity as a L/C Issuer, Bank of America’s Letter of Credit Sublimit shall be $30,000,000.00, (ii) as to JPMorgan Chase Bank, N.A., in its capacity as a L/C Issuer, JPMorgan Chase Bank, N.A.’s Letter of Credit Sublimit shall be $30,000,000.00, and (iii) as to any L/C Issuer that becomes a L/C Issuer after the Closing Date, the amount notified in writing to the Administrative Agent by the Borrower and such L/C Issuer. The Letter of Credit Sublimit is part of, and not in addition to, the Revolving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License</w:t>
      </w:r>
      <w:r>
        <w:rPr>
          <w:rFonts w:ascii="Times New Roman" w:hAnsi="Times New Roman"/>
          <w:sz w:val="20"/>
        </w:rPr>
        <w:t xml:space="preserve">” means any license, certification, accreditation, consent, permit or other authorization or approval which is required to be obtained from any Governmental Authority in connection with the operation of the Borrower and its Subsidiaries, including the development, testing, marketing, manufacturing and pricing and sale of medical devices.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 </w:t>
      </w:r>
    </w:p>
    <w:p>
      <w:pPr>
        <w:pStyle w:val="TextBody"/>
        <w:bidi w:val="0"/>
        <w:spacing w:before="240" w:after="0"/>
        <w:jc w:val="left"/>
        <w:rPr/>
      </w:pPr>
      <w:r>
        <w:rPr/>
        <w:t>“</w:t>
      </w:r>
      <w:r>
        <w:rPr>
          <w:rFonts w:ascii="Times New Roman" w:hAnsi="Times New Roman"/>
          <w:sz w:val="20"/>
          <w:u w:val="single"/>
        </w:rPr>
        <w:t>Liened Property</w:t>
      </w:r>
      <w:r>
        <w:rPr>
          <w:rFonts w:ascii="Times New Roman" w:hAnsi="Times New Roman"/>
          <w:sz w:val="20"/>
        </w:rPr>
        <w:t xml:space="preserve">” has the meaning specified in </w:t>
      </w:r>
      <w:r>
        <w:rPr>
          <w:rFonts w:ascii="Times New Roman" w:hAnsi="Times New Roman"/>
          <w:sz w:val="20"/>
          <w:u w:val="single"/>
        </w:rPr>
        <w:t>Section 6.11(a)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Limited Condition Acquisition</w:t>
      </w:r>
      <w:r>
        <w:rPr>
          <w:rFonts w:ascii="Times New Roman" w:hAnsi="Times New Roman"/>
          <w:sz w:val="20"/>
        </w:rPr>
        <w:t xml:space="preserve">” means any acquisition by the Borrower or one or more of its subsidiaries permitted hereunder whose consummation is not conditioned under the applicable acquisition agreement on the availability of, or on obtaining, third party financing.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means an extension of credit by a Lender to the Borrower under </w:t>
      </w:r>
      <w:r>
        <w:rPr>
          <w:rFonts w:ascii="Times New Roman" w:hAnsi="Times New Roman"/>
          <w:sz w:val="20"/>
          <w:u w:val="single"/>
        </w:rPr>
        <w:t>ARTICLE II</w:t>
      </w:r>
      <w:r>
        <w:rPr>
          <w:rFonts w:ascii="Times New Roman" w:hAnsi="Times New Roman"/>
          <w:sz w:val="20"/>
        </w:rPr>
        <w:t xml:space="preserve"> in the form of a Term Loan, a Revolving Credit Loan, a Swing Line Loan or L/C Advance. Each Loan may be divided into tranches which are Base Rate Loans or Term SOFR Loans (each a “</w:t>
      </w:r>
      <w:r>
        <w:rPr>
          <w:rFonts w:ascii="Times New Roman" w:hAnsi="Times New Roman"/>
          <w:sz w:val="20"/>
          <w:u w:val="single"/>
        </w:rPr>
        <w:t>Type</w:t>
      </w:r>
      <w:r>
        <w:rPr>
          <w:rFonts w:ascii="Times New Roman" w:hAnsi="Times New Roman"/>
          <w:sz w:val="20"/>
        </w:rPr>
        <w:t xml:space="preserve">” of Loan).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this Agreement, the Notes, each Issuer Document, the Fee Letters, the Subsidiary Guaranty, the Collateral Documents, the Restatement Agreement, the Ratification Agreement, the First Lien Intercreditor Agreement, and any agreement creating or perfecting rights in Cash Collateral pursuant to the provisions of </w:t>
      </w:r>
      <w:r>
        <w:rPr>
          <w:rFonts w:ascii="Times New Roman" w:hAnsi="Times New Roman"/>
          <w:sz w:val="20"/>
          <w:u w:val="single"/>
        </w:rPr>
        <w:t>Section 2.14</w:t>
      </w:r>
      <w:r>
        <w:rPr>
          <w:rFonts w:ascii="Times New Roman" w:hAnsi="Times New Roman"/>
          <w:sz w:val="20"/>
        </w:rPr>
        <w:t xml:space="preserve"> and all other documents delivered to the Administrative Agent or the L/C Issuers in connection herewith or therewith relating specifically to the Obligations. </w:t>
      </w:r>
    </w:p>
    <w:p>
      <w:pPr>
        <w:pStyle w:val="TextBody"/>
        <w:bidi w:val="0"/>
        <w:spacing w:before="240" w:after="0"/>
        <w:jc w:val="left"/>
        <w:rPr/>
      </w:pPr>
      <w:r>
        <w:rPr/>
        <w:t>“</w:t>
      </w:r>
      <w:r>
        <w:rPr>
          <w:rFonts w:ascii="Times New Roman" w:hAnsi="Times New Roman"/>
          <w:sz w:val="20"/>
          <w:u w:val="single"/>
        </w:rPr>
        <w:t>Loan Notice</w:t>
      </w:r>
      <w:r>
        <w:rPr>
          <w:rFonts w:ascii="Times New Roman" w:hAnsi="Times New Roman"/>
          <w:sz w:val="20"/>
        </w:rPr>
        <w:t xml:space="preserve">” means a notice of (a) a Borrowing, (b) a conversion of Loans from one Type to the other, or (c) a continuation of Term SOFR Loans, pursuant to </w:t>
      </w:r>
      <w:r>
        <w:rPr>
          <w:rFonts w:ascii="Times New Roman" w:hAnsi="Times New Roman"/>
          <w:sz w:val="20"/>
          <w:u w:val="single"/>
        </w:rPr>
        <w:t>Section 2.02(a)</w:t>
      </w:r>
      <w:r>
        <w:rPr>
          <w:rFonts w:ascii="Times New Roman" w:hAnsi="Times New Roman"/>
          <w:sz w:val="20"/>
        </w:rPr>
        <w:t xml:space="preserve">, which, in each case, if in writing, shall be substantially in the form of </w:t>
      </w:r>
      <w:r>
        <w:rPr>
          <w:rFonts w:ascii="Times New Roman" w:hAnsi="Times New Roman"/>
          <w:sz w:val="20"/>
          <w:u w:val="single"/>
        </w:rPr>
        <w:t>Exhibit A</w:t>
      </w:r>
      <w:r>
        <w:rPr>
          <w:rFonts w:ascii="Times New Roman" w:hAnsi="Times New Roman"/>
          <w:sz w:val="20"/>
        </w:rPr>
        <w:t xml:space="preserve"> hereto or such other form as may be approved by the Administrative Agent (including any form on an electronic platform or electronic transmission system as shall be approved by the Administrative Agent), appropriately completed and signed by a Responsible Officer of the Borrower. </w:t>
      </w:r>
    </w:p>
    <w:p>
      <w:pPr>
        <w:pStyle w:val="TextBody"/>
        <w:bidi w:val="0"/>
        <w:spacing w:before="240" w:after="0"/>
        <w:jc w:val="left"/>
        <w:rPr/>
      </w:pPr>
      <w:r>
        <w:rPr/>
        <w:t>“</w:t>
      </w:r>
      <w:r>
        <w:rPr>
          <w:rFonts w:ascii="Times New Roman" w:hAnsi="Times New Roman"/>
          <w:sz w:val="20"/>
          <w:u w:val="single"/>
        </w:rPr>
        <w:t>Loan Party</w:t>
      </w:r>
      <w:r>
        <w:rPr>
          <w:rFonts w:ascii="Times New Roman" w:hAnsi="Times New Roman"/>
          <w:sz w:val="20"/>
        </w:rPr>
        <w:t>” means, the Borrower and each Subsidiary Guarantor, and “</w:t>
      </w:r>
      <w:r>
        <w:rPr>
          <w:rFonts w:ascii="Times New Roman" w:hAnsi="Times New Roman"/>
          <w:sz w:val="20"/>
          <w:u w:val="single"/>
        </w:rPr>
        <w:t>Loan Parties</w:t>
      </w:r>
      <w:r>
        <w:rPr>
          <w:rFonts w:ascii="Times New Roman" w:hAnsi="Times New Roman"/>
          <w:sz w:val="20"/>
        </w:rPr>
        <w:t xml:space="preserve">” means any combination of the foregoing. </w:t>
      </w:r>
    </w:p>
    <w:p>
      <w:pPr>
        <w:pStyle w:val="TextBody"/>
        <w:bidi w:val="0"/>
        <w:spacing w:before="240" w:after="0"/>
        <w:jc w:val="left"/>
        <w:rPr/>
      </w:pPr>
      <w:r>
        <w:rPr/>
        <w:t>“</w:t>
      </w:r>
      <w:r>
        <w:rPr>
          <w:rFonts w:ascii="Times New Roman" w:hAnsi="Times New Roman"/>
          <w:sz w:val="20"/>
          <w:u w:val="single"/>
        </w:rPr>
        <w:t>Master Agreement</w:t>
      </w:r>
      <w:r>
        <w:rPr>
          <w:rFonts w:ascii="Times New Roman" w:hAnsi="Times New Roman"/>
          <w:sz w:val="20"/>
        </w:rPr>
        <w:t>” has the meaning specified in the definition of “</w:t>
      </w:r>
      <w:r>
        <w:rPr>
          <w:rFonts w:ascii="Times New Roman" w:hAnsi="Times New Roman"/>
          <w:sz w:val="20"/>
          <w:u w:val="single"/>
        </w:rPr>
        <w:t>Swap Contract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a material adverse effect upon the operations, business or financial condition of the Borrower and its Subsidiaries taken as a whole, (b) a material adverse effect on the ability of any Loan Party to perform its material obligations under any Loan Document to which it is a party, (c) a material adverse effect upon the legality, validity or binding effect of any Loan Document, or (d) a material adverse effect on the rights, powers, or remedies of the Administrative Agent or any Secured Party under any Loan Document (other than as a result of conditions specific to such Secured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Intellectual Property</w:t>
      </w:r>
      <w:r>
        <w:rPr>
          <w:rFonts w:ascii="Times New Roman" w:hAnsi="Times New Roman"/>
          <w:sz w:val="20"/>
        </w:rPr>
        <w:t xml:space="preserve">” means Intellectual Property that is owned or exclusively licensed by the Borrower or any of its Subsidiaries and is material to the operation of the business of the Borrower and its Subsidiaries, taken as a whole. </w:t>
      </w:r>
    </w:p>
    <w:p>
      <w:pPr>
        <w:pStyle w:val="TextBody"/>
        <w:bidi w:val="0"/>
        <w:spacing w:before="240" w:after="0"/>
        <w:jc w:val="left"/>
        <w:rPr/>
      </w:pPr>
      <w:r>
        <w:rPr/>
        <w:t>“</w:t>
      </w:r>
      <w:r>
        <w:rPr>
          <w:rFonts w:ascii="Times New Roman" w:hAnsi="Times New Roman"/>
          <w:sz w:val="20"/>
          <w:u w:val="single"/>
        </w:rPr>
        <w:t>Material Subsidiary</w:t>
      </w:r>
      <w:r>
        <w:rPr>
          <w:rFonts w:ascii="Times New Roman" w:hAnsi="Times New Roman"/>
          <w:sz w:val="20"/>
        </w:rPr>
        <w:t xml:space="preserve">” means, as of any date of determination, any Domestic Subsidiary that has Consolidated EBITDA during the four consecutive fiscal quarters ended on such date in excess of five percent (5%) of the Consolidated EBITDA for such period of the Borrower and its Domestic Subsidiaries.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(a) with respect to the Revolving Credit Facility, October 19, 2031, (b) with respect to the Term A Facility, October 19, 2031 and (c) with respect to the Term B Facility, October 19, 2033; provided, however, that, in each case, if such date is not a Business Day, the Maturity Date shall be the next preceding Business Day.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shall have the meaning specified in </w:t>
      </w:r>
      <w:r>
        <w:rPr>
          <w:rFonts w:ascii="Times New Roman" w:hAnsi="Times New Roman"/>
          <w:sz w:val="20"/>
          <w:u w:val="single"/>
        </w:rPr>
        <w:t>Section 10.09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Minimum Collateral Amount</w:t>
      </w:r>
      <w:r>
        <w:rPr>
          <w:rFonts w:ascii="Times New Roman" w:hAnsi="Times New Roman"/>
          <w:sz w:val="20"/>
        </w:rPr>
        <w:t xml:space="preserve">” means, at any time, (i) with respect to Cash Collateral consisting of cash or deposit account balances provided to reduce or eliminate Fronting Exposure during the existence of a Defaulting Lender, an amount equal to 103% of the Fronting Exposure of the L/C Issuers with respect to Letters of Credit issued and outstanding at such time, (ii) with respect to Cash Collateral consisting of cash or deposit account balances provided in accordance with the provisions of </w:t>
      </w:r>
      <w:r>
        <w:rPr>
          <w:rFonts w:ascii="Times New Roman" w:hAnsi="Times New Roman"/>
          <w:sz w:val="20"/>
          <w:u w:val="single"/>
        </w:rPr>
        <w:t>Section 2.14(a)(i)</w:t>
      </w:r>
      <w:r>
        <w:rPr>
          <w:rFonts w:ascii="Times New Roman" w:hAnsi="Times New Roman"/>
          <w:sz w:val="20"/>
        </w:rPr>
        <w:t xml:space="preserve">, </w:t>
      </w:r>
      <w:r>
        <w:rPr>
          <w:rFonts w:ascii="Times New Roman" w:hAnsi="Times New Roman"/>
          <w:sz w:val="20"/>
          <w:u w:val="single"/>
        </w:rPr>
        <w:t>(a)(ii)</w:t>
      </w:r>
      <w:r>
        <w:rPr>
          <w:rFonts w:ascii="Times New Roman" w:hAnsi="Times New Roman"/>
          <w:sz w:val="20"/>
        </w:rPr>
        <w:t xml:space="preserve"> or </w:t>
      </w:r>
      <w:r>
        <w:rPr>
          <w:rFonts w:ascii="Times New Roman" w:hAnsi="Times New Roman"/>
          <w:sz w:val="20"/>
          <w:u w:val="single"/>
        </w:rPr>
        <w:t>(a)(iii)</w:t>
      </w:r>
      <w:r>
        <w:rPr>
          <w:rFonts w:ascii="Times New Roman" w:hAnsi="Times New Roman"/>
          <w:sz w:val="20"/>
        </w:rPr>
        <w:t xml:space="preserve">, an amount equal to 103% of the Outstanding Amount of all L/C Obligations, and (iii) otherwise, an amount determined by the Administrative Agent and the L/C Issuers in their sole discretion but not to exceed 103% of the amount in question. </w:t>
      </w:r>
    </w:p>
    <w:p>
      <w:pPr>
        <w:pStyle w:val="TextBody"/>
        <w:bidi w:val="0"/>
        <w:spacing w:before="240" w:after="0"/>
        <w:jc w:val="left"/>
        <w:rPr/>
      </w:pPr>
      <w:r>
        <w:rPr/>
        <w:t>“</w:t>
      </w:r>
      <w:r>
        <w:rPr>
          <w:rFonts w:ascii="Times New Roman" w:hAnsi="Times New Roman"/>
          <w:sz w:val="20"/>
          <w:u w:val="single"/>
        </w:rPr>
        <w:t>Minority Equity Interests</w:t>
      </w:r>
      <w:r>
        <w:rPr>
          <w:rFonts w:ascii="Times New Roman" w:hAnsi="Times New Roman"/>
          <w:sz w:val="20"/>
        </w:rPr>
        <w:t xml:space="preserve">” means Equity Interests in a Person that is not a Subsidiary of the Borrower (or any of its Subsidiaries) owned by any Loan Party as of the Closing Date or otherwise acquired by any Loan Party after the Closing Date as a result of a Permitted Acquisition.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in interest.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employee benefit plan of the type described in Section 4001(a)(3) of ERISA, to which the Borrower or any of its Subsidiaries or any ERISA Affiliate makes or is obligated to make contributions, or during the preceding five plan years, has made or has been obligated to make contributions. </w:t>
      </w:r>
    </w:p>
    <w:p>
      <w:pPr>
        <w:pStyle w:val="TextBody"/>
        <w:bidi w:val="0"/>
        <w:spacing w:before="240" w:after="0"/>
        <w:jc w:val="left"/>
        <w:rPr/>
      </w:pPr>
      <w:r>
        <w:rPr/>
        <w:t>“</w:t>
      </w:r>
      <w:r>
        <w:rPr>
          <w:rFonts w:ascii="Times New Roman" w:hAnsi="Times New Roman"/>
          <w:sz w:val="20"/>
          <w:u w:val="single"/>
        </w:rPr>
        <w:t>Multiple Employer Plan</w:t>
      </w:r>
      <w:r>
        <w:rPr>
          <w:rFonts w:ascii="Times New Roman" w:hAnsi="Times New Roman"/>
          <w:sz w:val="20"/>
        </w:rPr>
        <w:t xml:space="preserve">” means a Plan which has two or more contributing sponsors (including the Borrower or any ERISA Affiliate) at least two of whom are not under common control, as such a plan is described in Section 4064 of ERISA. </w:t>
      </w:r>
    </w:p>
    <w:p>
      <w:pPr>
        <w:pStyle w:val="TextBody"/>
        <w:bidi w:val="0"/>
        <w:spacing w:before="240" w:after="0"/>
        <w:jc w:val="left"/>
        <w:rPr/>
      </w:pPr>
      <w:r>
        <w:rPr/>
        <w:t>“</w:t>
      </w:r>
      <w:r>
        <w:rPr>
          <w:rFonts w:ascii="Times New Roman" w:hAnsi="Times New Roman"/>
          <w:sz w:val="20"/>
          <w:u w:val="single"/>
        </w:rPr>
        <w:t>Net Cash Proceeds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Disposition by the Borrower or any of its Subsidiaries, the excess, if any, of (i) the sum of cash and Cash Equivalents actually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expenses incurred by the Borrower or such Subsidiary in connection with such transaction, (C) taxes, including sales, transfer, deed or mortgage recording taxes, and any other payment required by applicable law as a result of such Disposition, reasonably estimated to be actually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two years of the date of the relevant transaction as a result of any gain recognized in connection therewith; provided that, if the amount of any estimated taxes or other payment required by applicable law pursuant to subclause (C) exceeds the amount of taxes or other payment required by applicable law actually required to be paid in cash in respect of such Disposition, the aggregate amount of such excess shall constitute Net Cash Proceeds, (D) any reserve established in accordance with GAAP in connection with such Disposition and (E) any amounts required to be applied, offered to be applied, or is contemporaneously applied, to the prepayment, repurchase or redemption of any pari passu senior secured Indebtedness of the Borrower or any of its Subsidiaries (including the Senior Secured Notes) pursuant to the terms thereof in connection with such Disposition and calculated in accordance with the ratable share determined by reference to the respective outstanding principal amounts of the Term Loans and such other pari passu Indebtedness at the time of such Disposition; </w:t>
      </w:r>
      <w:r>
        <w:rPr>
          <w:rFonts w:ascii="Times New Roman" w:hAnsi="Times New Roman"/>
          <w:sz w:val="20"/>
          <w:u w:val="single"/>
        </w:rPr>
        <w:t>provided</w:t>
      </w:r>
      <w:r>
        <w:rPr>
          <w:rFonts w:ascii="Times New Roman" w:hAnsi="Times New Roman"/>
          <w:sz w:val="20"/>
        </w:rPr>
        <w:t xml:space="preserve"> that the amounts deducted pursuant to this clause (E) shall not also be deducted in the calculation of any mandatory prepayment obligation under Section 2.05(b)(ii);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 </w:t>
      </w:r>
    </w:p>
    <w:p>
      <w:pPr>
        <w:pStyle w:val="TextBody"/>
        <w:bidi w:val="0"/>
        <w:spacing w:before="240" w:after="0"/>
        <w:jc w:val="left"/>
        <w:rPr/>
      </w:pPr>
      <w:r>
        <w:rPr/>
        <w:t>“</w:t>
      </w:r>
      <w:r>
        <w:rPr>
          <w:rFonts w:ascii="Times New Roman" w:hAnsi="Times New Roman"/>
          <w:sz w:val="20"/>
          <w:u w:val="single"/>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sz w:val="20"/>
          <w:u w:val="single"/>
        </w:rPr>
        <w:t>Non-Extension Notice Date</w:t>
      </w:r>
      <w:r>
        <w:rPr>
          <w:rFonts w:ascii="Times New Roman" w:hAnsi="Times New Roman"/>
          <w:sz w:val="20"/>
        </w:rPr>
        <w:t xml:space="preserve">” shall have the meaning specified in </w:t>
      </w:r>
      <w:r>
        <w:rPr>
          <w:rFonts w:ascii="Times New Roman" w:hAnsi="Times New Roman"/>
          <w:sz w:val="20"/>
          <w:u w:val="single"/>
        </w:rPr>
        <w:t>Section 2.03(b)(iii)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a Term A Note, a Term B Note or a Revolving Credit Note, as the context may require.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all advances to, and debts, liabilities, obligations, indemnities, covenants and duties of, the Borrower and its Subsidiaries arising under any Loan Document, any Secured Swap Contract, any Secured Cash Management Services Agreement, or otherwise with respect to any Loan or Letter of Credit, whether direct or indirect (including those acquired by assumption), absolute or contingent, due or to become due, now existing or hereafter arising and including interest, fees and other amounts that accrue after the commencement by or against the Borrower and its Subsidiaries or any Affiliate thereof of any proceeding under any Debtor Relief Laws naming such Person as the debtor in such proceeding, regardless of whether such interest, fees and other amounts are allowed claims in such proceeding. Without limiting the generality of the foregoing, the Obligations of any Loan Party under the Loan Documents include (a) the obligation to pay principal, interest, Letter of Credit commissions, charges, expenses, fees, attorney fees and disbursements, indemnities and other amounts payable by any Loan Party under any Loan Document and (b) the obligations of any Loan Party to reimburse any amount in respect of any of the foregoing that any Secured Party, in its sole discretion, may elect to pay or advance on behalf of any Loan Party; </w:t>
      </w:r>
      <w:r>
        <w:rPr>
          <w:rFonts w:ascii="Times New Roman" w:hAnsi="Times New Roman"/>
          <w:sz w:val="20"/>
          <w:u w:val="single"/>
        </w:rPr>
        <w:t>provided</w:t>
      </w:r>
      <w:r>
        <w:rPr>
          <w:rFonts w:ascii="Times New Roman" w:hAnsi="Times New Roman"/>
          <w:sz w:val="20"/>
        </w:rPr>
        <w:t xml:space="preserve"> that “Obligations” shall exclude any Excluded Swap Obligations. If applicable, the Obligations shall be “Designated Senior Indebtedness” (or substantially similar designation) pursuant to and for purposes of any Convertible Indebtedness.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Off-Balance Sheet Obligation</w:t>
      </w:r>
      <w:r>
        <w:rPr>
          <w:rFonts w:ascii="Times New Roman" w:hAnsi="Times New Roman"/>
          <w:sz w:val="20"/>
        </w:rPr>
        <w:t xml:space="preserve">” means any transaction, agreement or other contractual arrangement to which an entity unconsolidated with the Borrower is a party, under which the Borrower has: </w:t>
      </w:r>
    </w:p>
    <w:p>
      <w:pPr>
        <w:pStyle w:val="TextBody"/>
        <w:bidi w:val="0"/>
        <w:spacing w:before="120" w:after="0"/>
        <w:jc w:val="left"/>
        <w:rPr>
          <w:rFonts w:ascii="Times New Roman" w:hAnsi="Times New Roman"/>
          <w:sz w:val="20"/>
        </w:rPr>
      </w:pPr>
      <w:r>
        <w:rPr>
          <w:rFonts w:ascii="Times New Roman" w:hAnsi="Times New Roman"/>
          <w:sz w:val="20"/>
        </w:rPr>
        <w:t xml:space="preserve">(a) any obligation under a guarantee contract that has any of the characteristics identified in FASB ASC 460-10-15-4; </w:t>
      </w:r>
    </w:p>
    <w:p>
      <w:pPr>
        <w:pStyle w:val="TextBody"/>
        <w:bidi w:val="0"/>
        <w:spacing w:before="120" w:after="0"/>
        <w:jc w:val="left"/>
        <w:rPr>
          <w:rFonts w:ascii="Times New Roman" w:hAnsi="Times New Roman"/>
          <w:sz w:val="20"/>
        </w:rPr>
      </w:pPr>
      <w:r>
        <w:rPr>
          <w:rFonts w:ascii="Times New Roman" w:hAnsi="Times New Roman"/>
          <w:sz w:val="20"/>
        </w:rPr>
        <w:t xml:space="preserve">(b) a retained or contingent interest in assets transferred to an unconsolidated entity or similar arrangement that serves as credit, liquidity or market risk support to such entity for such assets; </w:t>
      </w:r>
    </w:p>
    <w:p>
      <w:pPr>
        <w:pStyle w:val="TextBody"/>
        <w:bidi w:val="0"/>
        <w:spacing w:before="120" w:after="0"/>
        <w:jc w:val="left"/>
        <w:rPr>
          <w:rFonts w:ascii="Times New Roman" w:hAnsi="Times New Roman"/>
          <w:sz w:val="20"/>
        </w:rPr>
      </w:pPr>
      <w:r>
        <w:rPr>
          <w:rFonts w:ascii="Times New Roman" w:hAnsi="Times New Roman"/>
          <w:sz w:val="20"/>
        </w:rPr>
        <w:t xml:space="preserve">(c) any obligation, including a contingent obligation, under a contract that would be accounted for as a derivative instrument, except that it is both indexed to the Borrower’s own stock and classified in stockholders’ equity in the Borrower’s statement of financial position, as described in FASB ASC 815-10-15-74; or </w:t>
      </w:r>
    </w:p>
    <w:p>
      <w:pPr>
        <w:pStyle w:val="TextBody"/>
        <w:bidi w:val="0"/>
        <w:spacing w:before="120" w:after="0"/>
        <w:jc w:val="left"/>
        <w:rPr>
          <w:rFonts w:ascii="Times New Roman" w:hAnsi="Times New Roman"/>
          <w:sz w:val="20"/>
        </w:rPr>
      </w:pPr>
      <w:r>
        <w:rPr>
          <w:rFonts w:ascii="Times New Roman" w:hAnsi="Times New Roman"/>
          <w:sz w:val="20"/>
        </w:rPr>
        <w:t xml:space="preserve">(d) any obligation, including a contingent obligation, arising out of a variable interest (as defined in the FASB ASC Master Glossary) in an unconsolidated entity that is held by, and material to, the Borrower, where such entity provides financing, liquidity, market risk or credit risk support to, or engages in leasing, hedging or research and development services with, the Borrower or its Subsidiaries. </w:t>
      </w:r>
    </w:p>
    <w:p>
      <w:pPr>
        <w:pStyle w:val="TextBody"/>
        <w:bidi w:val="0"/>
        <w:spacing w:before="240" w:after="0"/>
        <w:jc w:val="left"/>
        <w:rPr/>
      </w:pPr>
      <w:r>
        <w:rPr/>
        <w:t>“</w:t>
      </w:r>
      <w:r>
        <w:rPr>
          <w:rFonts w:ascii="Times New Roman" w:hAnsi="Times New Roman"/>
          <w:sz w:val="20"/>
          <w:u w:val="single"/>
        </w:rPr>
        <w:t>Operating Lease</w:t>
      </w:r>
      <w:r>
        <w:rPr>
          <w:rFonts w:ascii="Times New Roman" w:hAnsi="Times New Roman"/>
          <w:sz w:val="20"/>
        </w:rPr>
        <w:t xml:space="preserve">” means, as applied to any Person, any lease (including, without limitation, leases that may be terminated by the lessee at any time) of any Property that is not a Capitalized Lease other than any such lease in which that Person is the lessor. </w:t>
      </w:r>
    </w:p>
    <w:p>
      <w:pPr>
        <w:pStyle w:val="TextBody"/>
        <w:bidi w:val="0"/>
        <w:spacing w:before="240" w:after="0"/>
        <w:jc w:val="left"/>
        <w:rPr/>
      </w:pPr>
      <w:r>
        <w:rPr/>
        <w:t>“</w:t>
      </w:r>
      <w:r>
        <w:rPr>
          <w:rFonts w:ascii="Times New Roman" w:hAnsi="Times New Roman"/>
          <w:sz w:val="20"/>
          <w:u w:val="single"/>
        </w:rPr>
        <w:t>Original Closing Date</w:t>
      </w:r>
      <w:r>
        <w:rPr>
          <w:rFonts w:ascii="Times New Roman" w:hAnsi="Times New Roman"/>
          <w:sz w:val="20"/>
        </w:rPr>
        <w:t xml:space="preserve">” means March 24, 2023. </w:t>
      </w:r>
    </w:p>
    <w:p>
      <w:pPr>
        <w:pStyle w:val="TextBody"/>
        <w:bidi w:val="0"/>
        <w:spacing w:before="240" w:after="0"/>
        <w:jc w:val="left"/>
        <w:rPr/>
      </w:pPr>
      <w:r>
        <w:rPr/>
        <w:t>“</w:t>
      </w:r>
      <w:r>
        <w:rPr>
          <w:rFonts w:ascii="Times New Roman" w:hAnsi="Times New Roman"/>
          <w:sz w:val="20"/>
          <w:u w:val="single"/>
        </w:rPr>
        <w:t>Organization Documents</w:t>
      </w:r>
      <w:r>
        <w:rPr>
          <w:rFonts w:ascii="Times New Roman" w:hAnsi="Times New Roman"/>
          <w:sz w:val="20"/>
        </w:rPr>
        <w:t xml:space="preserve">” means (a) with respect to any corporation, the certificate or articles of incorporation and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sz w:val="20"/>
          <w:u w:val="single"/>
        </w:rPr>
        <w:t>Section 3.06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Outbound Investment Rules</w:t>
      </w:r>
      <w:r>
        <w:rPr>
          <w:rFonts w:ascii="Times New Roman" w:hAnsi="Times New Roman"/>
          <w:sz w:val="20"/>
        </w:rPr>
        <w:t xml:space="preserve">” means the regulations administered and enforced, together with any related public guidance issued, by the United States Treasury Department under U.S. Executive Order 14105 of August 9, 2023; as of the date of this Agreement, and as codified at 31 C.F.R. § 850.101 et seq. </w:t>
      </w:r>
    </w:p>
    <w:p>
      <w:pPr>
        <w:pStyle w:val="TextBody"/>
        <w:bidi w:val="0"/>
        <w:spacing w:before="240" w:after="0"/>
        <w:jc w:val="left"/>
        <w:rPr/>
      </w:pPr>
      <w:r>
        <w:rPr/>
        <w:t>“</w:t>
      </w:r>
      <w:r>
        <w:rPr>
          <w:rFonts w:ascii="Times New Roman" w:hAnsi="Times New Roman"/>
          <w:sz w:val="20"/>
          <w:u w:val="single"/>
        </w:rPr>
        <w:t>Outstanding Amount</w:t>
      </w:r>
      <w:r>
        <w:rPr>
          <w:rFonts w:ascii="Times New Roman" w:hAnsi="Times New Roman"/>
          <w:sz w:val="20"/>
        </w:rPr>
        <w:t xml:space="preserve">” means (a) with respect to any Class of Term Loans, Revolving Credit Loans and Swing Line Loans on any date, the aggregate outstanding principal amount thereof after giving effect to any borrowings and prepayments or repayments of such Class of Term Loans,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w:t>
      </w:r>
    </w:p>
    <w:p>
      <w:pPr>
        <w:pStyle w:val="TextBody"/>
        <w:bidi w:val="0"/>
        <w:spacing w:before="240" w:after="0"/>
        <w:jc w:val="left"/>
        <w:rPr/>
      </w:pPr>
      <w:r>
        <w:rPr/>
        <w:t>“</w:t>
      </w:r>
      <w:r>
        <w:rPr>
          <w:rFonts w:ascii="Times New Roman" w:hAnsi="Times New Roman"/>
          <w:sz w:val="20"/>
          <w:u w:val="single"/>
        </w:rPr>
        <w:t>Pension Act</w:t>
      </w:r>
      <w:r>
        <w:rPr>
          <w:rFonts w:ascii="Times New Roman" w:hAnsi="Times New Roman"/>
          <w:sz w:val="20"/>
        </w:rPr>
        <w:t xml:space="preserve">” means the Pension Protection Act of 2006. </w:t>
      </w:r>
    </w:p>
    <w:p>
      <w:pPr>
        <w:pStyle w:val="TextBody"/>
        <w:bidi w:val="0"/>
        <w:spacing w:before="240" w:after="0"/>
        <w:jc w:val="left"/>
        <w:rPr/>
      </w:pPr>
      <w:r>
        <w:rPr/>
        <w:t>“</w:t>
      </w:r>
      <w:r>
        <w:rPr>
          <w:rFonts w:ascii="Times New Roman" w:hAnsi="Times New Roman"/>
          <w:sz w:val="20"/>
          <w:u w:val="single"/>
        </w:rPr>
        <w:t>Pension Funding Rules</w:t>
      </w:r>
      <w:r>
        <w:rPr>
          <w:rFonts w:ascii="Times New Roman" w:hAnsi="Times New Roman"/>
          <w:sz w:val="20"/>
        </w:rPr>
        <w:t xml:space="preserve">”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 </w:t>
      </w:r>
    </w:p>
    <w:p>
      <w:pPr>
        <w:pStyle w:val="TextBody"/>
        <w:bidi w:val="0"/>
        <w:spacing w:before="240" w:after="0"/>
        <w:jc w:val="left"/>
        <w:rPr/>
      </w:pPr>
      <w:r>
        <w:rPr/>
        <w:t>“</w:t>
      </w:r>
      <w:r>
        <w:rPr>
          <w:rFonts w:ascii="Times New Roman" w:hAnsi="Times New Roman"/>
          <w:sz w:val="20"/>
          <w:u w:val="single"/>
        </w:rPr>
        <w:t>Permitted Acquisitions</w:t>
      </w:r>
      <w:r>
        <w:rPr>
          <w:rFonts w:ascii="Times New Roman" w:hAnsi="Times New Roman"/>
          <w:sz w:val="20"/>
        </w:rPr>
        <w:t xml:space="preserve">” means any Acquisition; </w:t>
      </w:r>
      <w:r>
        <w:rPr>
          <w:rFonts w:ascii="Times New Roman" w:hAnsi="Times New Roman"/>
          <w:sz w:val="20"/>
          <w:u w:val="single"/>
        </w:rPr>
        <w:t>provided</w:t>
      </w:r>
      <w:r>
        <w:rPr>
          <w:rFonts w:ascii="Times New Roman" w:hAnsi="Times New Roman"/>
          <w:sz w:val="20"/>
        </w:rPr>
        <w:t xml:space="preserve"> that (a) the Property acquired (or the Property of the Person acquired) in such Acquisition shall be used or useful in the same or similar line of business as the Loan Parties on the Closing Date, including activities ancillary, related or complementary thereto, (b) in the case of an Acquisition of the Equity Interests of another Person, the board of directors (or other comparable governing body) of such other Person shall have duly approved such Acquisition, (c) (i) at the time of the execution and delivery of the purchase agreement related to such Acquisition, no Event of Default has occurred and is continuing or would result therefrom, and (ii) after giving effect to any Acquisition, no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8.01(f)</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8.01(i)</w:t>
      </w:r>
      <w:r>
        <w:rPr>
          <w:rFonts w:ascii="Times New Roman" w:hAnsi="Times New Roman"/>
          <w:sz w:val="20"/>
        </w:rPr>
        <w:t xml:space="preserve"> has occurred and is continuing or would result therefrom, (d) the Borrower and its Consolidated Subsidiaries shall be in compliance with </w:t>
      </w:r>
      <w:r>
        <w:rPr>
          <w:rFonts w:ascii="Times New Roman" w:hAnsi="Times New Roman"/>
          <w:sz w:val="20"/>
          <w:u w:val="single"/>
        </w:rPr>
        <w:t>Section 7.17</w:t>
      </w:r>
      <w:r>
        <w:rPr>
          <w:rFonts w:ascii="Times New Roman" w:hAnsi="Times New Roman"/>
          <w:sz w:val="20"/>
        </w:rPr>
        <w:t xml:space="preserve"> on a Pro Forma Basis after giving effect to such Acquisition, (e) after giving effect to such Acquisition, the Acquisition shall not result in a minority interest in a general partnership or joint venture (other than to the extent indirectly owned by the acquired Person and which were not made in contemplation of or in connection with such Acquisition and were in existence on the date of such Acquisition) and (f) the Loan Parties shall, and shall cause the party that is the subject of the Acquisition to, execute and deliver such joinder and pledge agreements, security agreements and intercompany notes and take such other actions as may be necessary for compliance with the provisions of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Bond Hedge Transaction</w:t>
      </w:r>
      <w:r>
        <w:rPr>
          <w:rFonts w:ascii="Times New Roman" w:hAnsi="Times New Roman"/>
          <w:sz w:val="20"/>
        </w:rPr>
        <w:t xml:space="preserve">” means any call or capped call option (or substantively equivalent derivative transaction) on the Borrower’s common stock (whether settled in cash and/or common stock) purchased by the Borrower in connection with the issuance of any Convertible Indebtedness; </w:t>
      </w:r>
      <w:r>
        <w:rPr>
          <w:rFonts w:ascii="Times New Roman" w:hAnsi="Times New Roman"/>
          <w:sz w:val="20"/>
          <w:u w:val="single"/>
        </w:rPr>
        <w:t>provided</w:t>
      </w:r>
      <w:r>
        <w:rPr>
          <w:rFonts w:ascii="Times New Roman" w:hAnsi="Times New Roman"/>
          <w:sz w:val="20"/>
        </w:rPr>
        <w:t xml:space="preserve"> that the purchase price for such Permitted Bond Hedge Transaction, less the proceeds received by the Borrower from the sale of any related Permitted Warrant Transaction, does not exceed the net cash proceeds received by the Borrower or any other Loan Party from the sale of such Convertible Indebtedness issued in connection with the Permitted Bond Hedge Transaction. </w:t>
      </w:r>
    </w:p>
    <w:p>
      <w:pPr>
        <w:pStyle w:val="TextBody"/>
        <w:bidi w:val="0"/>
        <w:spacing w:before="240" w:after="0"/>
        <w:jc w:val="left"/>
        <w:rPr/>
      </w:pPr>
      <w:r>
        <w:rPr/>
        <w:t>“</w:t>
      </w:r>
      <w:r>
        <w:rPr>
          <w:rFonts w:ascii="Times New Roman" w:hAnsi="Times New Roman"/>
          <w:sz w:val="20"/>
          <w:u w:val="single"/>
        </w:rPr>
        <w:t>Permitted Cost Savings</w:t>
      </w:r>
      <w:r>
        <w:rPr>
          <w:rFonts w:ascii="Times New Roman" w:hAnsi="Times New Roman"/>
          <w:sz w:val="20"/>
        </w:rPr>
        <w:t xml:space="preserve">” means, for any four quarter measurement period, the sum of pro forma future cost savings, operating expense reductions and synergies related to acquisitions, investments, dispositions and other operational changes that are reasonably identifiable and factually supportable and projected by the Borrower in good faith to result from actions that have been taken or are expected to be taken (in the good faith of the Borrower) within 24 months after the effective date of such acquisition, investment, disposition or operational change; provided that the aggregate amount of all cost savings, operating expense reductions and synergies that may be added back to Consolidated EBITDA of the Borrower and its consolidated Subsidiaries (including pursuant to the definition of “Pro Forma Basis”) during such measurement period (together with all amounts added back to Consolidated EBITDA pursuant to clauses (a)(vii) and (a)(xiv) of the definition thereof) does not exceed the greater of (x) $100,000,000 and (y) 25% of Consolidated EBITDA of the Borrower and its consolidated Subsidiaries (as calculated after giving effect to such adjustments) for any four fiscal quarter period.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has the meaning specified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Receivables Documents</w:t>
      </w:r>
      <w:r>
        <w:rPr>
          <w:rFonts w:ascii="Times New Roman" w:hAnsi="Times New Roman"/>
          <w:sz w:val="20"/>
        </w:rPr>
        <w:t xml:space="preserve">” shall mean all documents and agreements evidencing, relating to or otherwise governing a Permitted Receivables Financing. </w:t>
      </w:r>
    </w:p>
    <w:p>
      <w:pPr>
        <w:pStyle w:val="TextBody"/>
        <w:bidi w:val="0"/>
        <w:spacing w:before="240" w:after="0"/>
        <w:jc w:val="left"/>
        <w:rPr/>
      </w:pPr>
      <w:r>
        <w:rPr/>
        <w:t>“</w:t>
      </w:r>
      <w:r>
        <w:rPr>
          <w:rFonts w:ascii="Times New Roman" w:hAnsi="Times New Roman"/>
          <w:sz w:val="20"/>
          <w:u w:val="single"/>
        </w:rPr>
        <w:t>Permitted Receivables Financing</w:t>
      </w:r>
      <w:r>
        <w:rPr>
          <w:rFonts w:ascii="Times New Roman" w:hAnsi="Times New Roman"/>
          <w:sz w:val="20"/>
        </w:rPr>
        <w:t xml:space="preserve">” shall mean one or more transactions by the Borrower or any of the Subsidiaries pursuant to which the Borrower or such Subsidiary may sell, convey or otherwise transfer to one or more Special Purpose Receivables Subsidiaries, any Receivables Assets (whether now existing or arising in the future) of the Borrower or such Subsidiary; </w:t>
      </w:r>
      <w:r>
        <w:rPr>
          <w:rFonts w:ascii="Times New Roman" w:hAnsi="Times New Roman"/>
          <w:sz w:val="20"/>
          <w:u w:val="single"/>
        </w:rPr>
        <w:t>provided</w:t>
      </w:r>
      <w:r>
        <w:rPr>
          <w:rFonts w:ascii="Times New Roman" w:hAnsi="Times New Roman"/>
          <w:sz w:val="20"/>
        </w:rPr>
        <w:t xml:space="preserve"> that (a) such transactions are non-recourse to the Borrower and the other Loan Parties, and with respect to non-Loan Party Subsidiaries, recourse in connection with such transactions shall be limited to the extent customary for similar transactions (and in any event without any guarantee by Borrower or any other Subsidiary (other than any Special Purpose Receivables Subsidiary)) and (b) the aggregate Receivables Net Investment shall not exceed $250.0 million at any time. </w:t>
      </w:r>
    </w:p>
    <w:p>
      <w:pPr>
        <w:pStyle w:val="TextBody"/>
        <w:bidi w:val="0"/>
        <w:spacing w:before="240" w:after="0"/>
        <w:jc w:val="left"/>
        <w:rPr/>
      </w:pPr>
      <w:r>
        <w:rPr/>
        <w:t>“</w:t>
      </w:r>
      <w:r>
        <w:rPr>
          <w:rFonts w:ascii="Times New Roman" w:hAnsi="Times New Roman"/>
          <w:sz w:val="20"/>
          <w:u w:val="single"/>
        </w:rPr>
        <w:t>Permitted Refinancing</w:t>
      </w:r>
      <w:r>
        <w:rPr>
          <w:rFonts w:ascii="Times New Roman" w:hAnsi="Times New Roman"/>
          <w:sz w:val="20"/>
        </w:rPr>
        <w:t xml:space="preserve">” means, with respect to any Indebtedness of a Person, any amendment, modification, refinancing, refunding, renewal, replacement or extension of such Indebtedness of such Person; </w:t>
      </w:r>
      <w:r>
        <w:rPr>
          <w:rFonts w:ascii="Times New Roman" w:hAnsi="Times New Roman"/>
          <w:i/>
          <w:sz w:val="20"/>
        </w:rPr>
        <w:t>provided</w:t>
      </w:r>
      <w:r>
        <w:rPr>
          <w:rFonts w:ascii="Times New Roman" w:hAnsi="Times New Roman"/>
          <w:sz w:val="20"/>
          <w:u w:val="single"/>
        </w:rPr>
        <w:t xml:space="preserve"> </w:t>
      </w:r>
      <w:r>
        <w:rPr>
          <w:rFonts w:ascii="Times New Roman" w:hAnsi="Times New Roman"/>
          <w:sz w:val="20"/>
        </w:rPr>
        <w:t xml:space="preserve">that (a) the principal amount thereof does not exceed the principal amount of the Indebtedness so modified, refinanced, refunded, renewed, replaced or extended except by an amount equal to unpaid accrued interest, fees and premium (including tender premiums) thereon plus underwriting discounts, other reasonable amounts paid, and fees and expenses (including upfront fees, original issue discount or initial yield payments) incurred in connection with such modification, refinancing, refunding, renewal, replacement or extension plus additional amounts otherwise permitted under </w:t>
      </w:r>
      <w:r>
        <w:rPr>
          <w:rFonts w:ascii="Times New Roman" w:hAnsi="Times New Roman"/>
          <w:sz w:val="20"/>
          <w:u w:val="single"/>
        </w:rPr>
        <w:t>Section 7.03</w:t>
      </w:r>
      <w:r>
        <w:rPr>
          <w:rFonts w:ascii="Times New Roman" w:hAnsi="Times New Roman"/>
          <w:sz w:val="20"/>
        </w:rPr>
        <w:t xml:space="preserve">, (b) such modification, refinancing, refunding, renewal, replacement or extension has a final maturity date equal to or later than the final maturity date of the Indebtedness so modified, refinanced, refunded, renewed, replaced or extended, (c) other than with respect to revolving Indebtedness, such modification, refinancing, refunding, renewal, replacement or extension has a weighted average life to maturity equal to or greater than the remaining weighted average life to maturity of, the Indebtedness being modified, refinanced, refunded, renewed, replaced or extended, (d) to the extent such Indebtedness being modified, refinanced, refunded, renewed, replaced or extended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 and (e) if any Liens securing the Indebtedness being modified, refinanced, refunded, renewed, replaced, exchanged or extended is secured by the Collateral on a second priority (or other junior priority) basis to the Liens securing the Obligations, the Liens securing such Indebtedness shall be secured by the Collateral on a second priority (or other junior priority) basis to the Liens securing the Obligations on terms that are at least as favorable to the Secured Parties (in the good faith determination of the Borrower) as those contained in the documentation governing the Indebtedness being modified, refinanced, refunded, renewed, replaced, exchanged or extended, taken as a whole. </w:t>
      </w:r>
    </w:p>
    <w:p>
      <w:pPr>
        <w:pStyle w:val="TextBody"/>
        <w:bidi w:val="0"/>
        <w:spacing w:before="240" w:after="0"/>
        <w:jc w:val="left"/>
        <w:rPr/>
      </w:pPr>
      <w:r>
        <w:rPr/>
        <w:t>“</w:t>
      </w:r>
      <w:r>
        <w:rPr>
          <w:rFonts w:ascii="Times New Roman" w:hAnsi="Times New Roman"/>
          <w:sz w:val="20"/>
          <w:u w:val="single"/>
        </w:rPr>
        <w:t>Permitted Warrant Transaction</w:t>
      </w:r>
      <w:r>
        <w:rPr>
          <w:rFonts w:ascii="Times New Roman" w:hAnsi="Times New Roman"/>
          <w:sz w:val="20"/>
        </w:rPr>
        <w:t xml:space="preserve">” means any call option, warrant or right to purchase (or substantively equivalent derivative transaction) on the Borrower’s common stock (whether settled in cash and/or common stock) sold by the Borrower in connection with and substantially concurrently with any purchase by the Borrower of a related Permitted Bond Hedge Transaction; </w:t>
      </w:r>
      <w:r>
        <w:rPr>
          <w:rFonts w:ascii="Times New Roman" w:hAnsi="Times New Roman"/>
          <w:sz w:val="20"/>
          <w:u w:val="single"/>
        </w:rPr>
        <w:t>provided</w:t>
      </w:r>
      <w:r>
        <w:rPr>
          <w:rFonts w:ascii="Times New Roman" w:hAnsi="Times New Roman"/>
          <w:sz w:val="20"/>
        </w:rPr>
        <w:t xml:space="preserve"> that the purchase price for such Permitted Bond Hedge Transaction, less the proceeds received by the Borrower from the sale of such related Permitted Warrant Transaction, does not exceed the net cash proceeds received by the Borrower or any other Loan Party from the sale of the Convertible Indebtedness issued in connection with the Permitted Warrant Transaction. </w:t>
      </w:r>
    </w:p>
    <w:p>
      <w:pPr>
        <w:pStyle w:val="TextBody"/>
        <w:bidi w:val="0"/>
        <w:spacing w:before="240" w:after="0"/>
        <w:jc w:val="left"/>
        <w:rPr/>
      </w:pPr>
      <w:r>
        <w:rPr/>
        <w:t>“</w:t>
      </w:r>
      <w:r>
        <w:rPr>
          <w:rFonts w:ascii="Times New Roman" w:hAnsi="Times New Roman"/>
          <w:sz w:val="20"/>
          <w:u w:val="single"/>
        </w:rPr>
        <w:t>Permitted Swap Termination</w:t>
      </w:r>
      <w:r>
        <w:rPr>
          <w:rFonts w:ascii="Times New Roman" w:hAnsi="Times New Roman"/>
          <w:sz w:val="20"/>
        </w:rPr>
        <w:t xml:space="preserve">” means the termination of the Swap Contract to which Borrower is a party on the Closing Date.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(i) any “employee benefit plan” within the meaning of Section 3(3) of ERISA other than a Multiemployer Plan, maintained for employees of the Borrower or any Subsidiary (or, with respect to any “employee benefit plan” that is a Pension Plan, maintained for employees of the Borrower or any ERISA Affiliate) or (ii) any such “employee benefit plan” to which the Borrower or any Subsidiary (or, with respect to a Pension Plan, any ERISA Affiliate) is required to contribute on behalf of any of its employees.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Pledge Agreement</w:t>
      </w:r>
      <w:r>
        <w:rPr>
          <w:rFonts w:ascii="Times New Roman" w:hAnsi="Times New Roman"/>
          <w:sz w:val="20"/>
        </w:rPr>
        <w:t xml:space="preserve">” means the Amended and Restated Pledge Agreement dated as of October 19, 2026 (as may be amended, amended and restated, supplemented or otherwise modified from time to time) by and among the Borrower, the Subsidiary Guarantors and the Administrative Agent in the form attached as </w:t>
      </w:r>
      <w:r>
        <w:rPr>
          <w:rFonts w:ascii="Times New Roman" w:hAnsi="Times New Roman"/>
          <w:sz w:val="20"/>
          <w:u w:val="single"/>
        </w:rPr>
        <w:t>Exhibit 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primary obligor</w:t>
      </w:r>
      <w:r>
        <w:rPr>
          <w:rFonts w:ascii="Times New Roman" w:hAnsi="Times New Roman"/>
          <w:sz w:val="20"/>
        </w:rPr>
        <w:t xml:space="preserve">” has the meaning specified in the definition of “Guarantee”. </w:t>
      </w:r>
    </w:p>
    <w:p>
      <w:pPr>
        <w:pStyle w:val="TextBody"/>
        <w:bidi w:val="0"/>
        <w:spacing w:before="240" w:after="0"/>
        <w:jc w:val="left"/>
        <w:rPr/>
      </w:pPr>
      <w:r>
        <w:rPr/>
        <w:t>“</w:t>
      </w:r>
      <w:r>
        <w:rPr>
          <w:rFonts w:ascii="Times New Roman" w:hAnsi="Times New Roman"/>
          <w:sz w:val="20"/>
          <w:u w:val="single"/>
        </w:rPr>
        <w:t>Pro Forma Basis</w:t>
      </w:r>
      <w:r>
        <w:rPr>
          <w:rFonts w:ascii="Times New Roman" w:hAnsi="Times New Roman"/>
          <w:sz w:val="20"/>
        </w:rPr>
        <w:t xml:space="preserve">” means for purposes of calculating any financial ratio for any Reference Period for the purpose specified in </w:t>
      </w:r>
      <w:r>
        <w:rPr>
          <w:rFonts w:ascii="Times New Roman" w:hAnsi="Times New Roman"/>
          <w:sz w:val="20"/>
          <w:u w:val="single"/>
        </w:rPr>
        <w:t>Section 1.03(c)</w:t>
      </w:r>
      <w:r>
        <w:rPr>
          <w:rFonts w:ascii="Times New Roman" w:hAnsi="Times New Roman"/>
          <w:sz w:val="20"/>
        </w:rPr>
        <w:t xml:space="preserve">, and each such transaction actually consummated (i) during such Reference Period or (ii) subsequent to such Reference Period and prior to or simultaneously with the event for which the calculation of any such financial ratio or financial amount is made, that such financial ratio or financial amount shall be calculated on a pro forma basis based on the following assumptions: (A) each such transaction shall be deemed to have occurred on the first day of such Reference Period; (B) any funds to be used by any Person in consummating any such transaction will be assumed to have been used for that purpose as of the first day of such Reference Period; (C) any Indebtedness to be incurred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repaid by any Person in connection with the consummation of any such transaction will be assumed to have been incurred or repaid on the first day of such Reference Period; (D) any Permitted Cost Savings expected to be realized as a result of or in connection with such transaction (but without duplication of amounts otherwise included in Consolidated EBITDA); (E) the gross interest expenses, determined in accordance with GAAP, with respect to such Indebtedness assumed to have been incurred on the first day of such Reference Period that bears interest at a floating rate shall be calculated at the current rate (as of the date of such calculation) under the agreement governing such Indebtedness (including this Agreement if the Indebtedness is incurred hereunder); and (F) any gross interest expense, determined in accordance with GAAP, with respect to Indebtedness outstanding during such Reference Period that was or is to be refinanced with proceeds of a transaction assumed to have been incurred as of the first day of the Reference Period will be excluded from such calculations. </w:t>
      </w:r>
    </w:p>
    <w:p>
      <w:pPr>
        <w:pStyle w:val="TextBody"/>
        <w:bidi w:val="0"/>
        <w:spacing w:before="240" w:after="0"/>
        <w:jc w:val="left"/>
        <w:rPr/>
      </w:pPr>
      <w:r>
        <w:rPr/>
        <w:t>“</w:t>
      </w:r>
      <w:r>
        <w:rPr>
          <w:rFonts w:ascii="Times New Roman" w:hAnsi="Times New Roman"/>
          <w:sz w:val="20"/>
          <w:u w:val="single"/>
        </w:rPr>
        <w:t>Property</w:t>
      </w:r>
      <w:r>
        <w:rPr>
          <w:rFonts w:ascii="Times New Roman" w:hAnsi="Times New Roman"/>
          <w:sz w:val="20"/>
        </w:rPr>
        <w:t xml:space="preserve">” means any interest in any kind of property or asset, whether real, personal or mixed, or tangible or intangible. </w:t>
      </w:r>
    </w:p>
    <w:p>
      <w:pPr>
        <w:pStyle w:val="TextBody"/>
        <w:bidi w:val="0"/>
        <w:spacing w:before="240" w:after="0"/>
        <w:jc w:val="left"/>
        <w:rPr/>
      </w:pPr>
      <w:r>
        <w:rPr/>
        <w:t>“</w:t>
      </w:r>
      <w:r>
        <w:rPr>
          <w:rFonts w:ascii="Times New Roman" w:hAnsi="Times New Roman"/>
          <w:sz w:val="20"/>
          <w:u w:val="single"/>
        </w:rPr>
        <w:t>Pro Rata Commitments</w:t>
      </w:r>
      <w:r>
        <w:rPr>
          <w:rFonts w:ascii="Times New Roman" w:hAnsi="Times New Roman"/>
          <w:sz w:val="20"/>
        </w:rPr>
        <w:t xml:space="preserve">” means a Term A Commitment or a Revolving Credit Commitment, as the context may require. </w:t>
      </w:r>
    </w:p>
    <w:p>
      <w:pPr>
        <w:pStyle w:val="TextBody"/>
        <w:bidi w:val="0"/>
        <w:spacing w:before="240" w:after="0"/>
        <w:jc w:val="left"/>
        <w:rPr/>
      </w:pPr>
      <w:r>
        <w:rPr/>
        <w:t>“</w:t>
      </w:r>
      <w:r>
        <w:rPr>
          <w:rFonts w:ascii="Times New Roman" w:hAnsi="Times New Roman"/>
          <w:sz w:val="20"/>
          <w:u w:val="single"/>
        </w:rPr>
        <w:t>Pro Rata Facilities</w:t>
      </w:r>
      <w:r>
        <w:rPr>
          <w:rFonts w:ascii="Times New Roman" w:hAnsi="Times New Roman"/>
          <w:sz w:val="20"/>
        </w:rPr>
        <w:t xml:space="preserve">” means, at any time, the Term A Facility and the Revolving Credit Facility. </w:t>
      </w:r>
    </w:p>
    <w:p>
      <w:pPr>
        <w:pStyle w:val="TextBody"/>
        <w:bidi w:val="0"/>
        <w:spacing w:before="240" w:after="0"/>
        <w:jc w:val="left"/>
        <w:rPr/>
      </w:pPr>
      <w:r>
        <w:rPr/>
        <w:t>“</w:t>
      </w:r>
      <w:r>
        <w:rPr>
          <w:rFonts w:ascii="Times New Roman" w:hAnsi="Times New Roman"/>
          <w:sz w:val="20"/>
          <w:u w:val="single"/>
        </w:rPr>
        <w:t>Pro Rata Total Outstandings</w:t>
      </w:r>
      <w:r>
        <w:rPr>
          <w:rFonts w:ascii="Times New Roman" w:hAnsi="Times New Roman"/>
          <w:sz w:val="20"/>
        </w:rPr>
        <w:t xml:space="preserve">” means the aggregate Outstanding Amount of all Loans under the Pro Rata Facilities and all L/C Obligations.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Qualified ECP Guarantor</w:t>
      </w:r>
      <w:r>
        <w:rPr>
          <w:rFonts w:ascii="Times New Roman" w:hAnsi="Times New Roman"/>
          <w:sz w:val="20"/>
        </w:rPr>
        <w:t xml:space="preserve">” shall mean, in respect of any Swap Obligation, each Loan Party with total assets exceeding $10,000,000 at the time the relevant Guaranty or grant of the relevant security interest becomes effective with respect to such Swap Obligation or such other person that constitutes an “eligible contract participant” under the Commodity Exchange Act and can cause another person to qualify as an “eligible contract participant” at such time by entering into a keepwell under §1a(18)(A)(v)(II) of the Commodity Exchange Act. </w:t>
      </w:r>
    </w:p>
    <w:p>
      <w:pPr>
        <w:pStyle w:val="TextBody"/>
        <w:bidi w:val="0"/>
        <w:spacing w:before="240" w:after="0"/>
        <w:jc w:val="left"/>
        <w:rPr/>
      </w:pPr>
      <w:r>
        <w:rPr/>
        <w:t>“</w:t>
      </w:r>
      <w:r>
        <w:rPr>
          <w:rFonts w:ascii="Times New Roman" w:hAnsi="Times New Roman"/>
          <w:sz w:val="20"/>
          <w:u w:val="single"/>
        </w:rPr>
        <w:t>Qualified Equity Interest</w:t>
      </w:r>
      <w:r>
        <w:rPr>
          <w:rFonts w:ascii="Times New Roman" w:hAnsi="Times New Roman"/>
          <w:sz w:val="20"/>
        </w:rPr>
        <w:t xml:space="preserve">” means (i) with respect to the Borrower, any Equity Interest other than Equity Interests (x) that constitute Indebtedness or are convertible or exchangeable into, or are redeemable for, Equity Interests that constitute Indebtedness; </w:t>
      </w:r>
      <w:r>
        <w:rPr>
          <w:rFonts w:ascii="Times New Roman" w:hAnsi="Times New Roman"/>
          <w:sz w:val="20"/>
          <w:u w:val="single"/>
        </w:rPr>
        <w:t>provided</w:t>
      </w:r>
      <w:r>
        <w:rPr>
          <w:rFonts w:ascii="Times New Roman" w:hAnsi="Times New Roman"/>
          <w:sz w:val="20"/>
        </w:rPr>
        <w:t xml:space="preserve">, that, the foregoing shall not exclude Equity Interests that accrue dividends that are not payable until the indefeasible payment in cash in full of all Obligations and the termination of all Commitments hereunder or (y) that otherwise, by its terms (or by the terms of any security into which it is convertible or for which it is exchangeable or exercisable), upon the happening of any event or otherwise (A) matures or is mandatorily redeemable or subject to any mandatory repurchase requirement, pursuant to a sinking fund obligation or otherwise (other than by virtue of a liquidation preference that would be entitled to payments or distributions only after Obligations have been indefeasibly repaid in full in cash and all Commitments have been terminated), (B) is convertible into or exchangeable or exercisable for Indebtedness or any other Equity Interest that is not a Qualified Equity Interest, or (C) is redeemable or subject to any mandatory repurchase requirement at the option of the holder thereof, in whole or in part, other than redemption or repurchase after the Obligations have been indefeasibly repaid in full in cash and all Commitments have been terminated and (ii) with respect to any Subsidiary of the Borrower, common stock or other common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Ratification Agreement</w:t>
      </w:r>
      <w:r>
        <w:rPr>
          <w:rFonts w:ascii="Times New Roman" w:hAnsi="Times New Roman"/>
          <w:sz w:val="20"/>
        </w:rPr>
        <w:t xml:space="preserve">” means that certain Ratification Agreement dated as of the Closing Date executed by the Loan Parties in connection with this Agreement and acknowledged by the Administrative Agent. </w:t>
      </w:r>
    </w:p>
    <w:p>
      <w:pPr>
        <w:pStyle w:val="TextBody"/>
        <w:bidi w:val="0"/>
        <w:spacing w:before="240" w:after="0"/>
        <w:jc w:val="left"/>
        <w:rPr/>
      </w:pPr>
      <w:r>
        <w:rPr/>
        <w:t>“</w:t>
      </w:r>
      <w:r>
        <w:rPr>
          <w:rFonts w:ascii="Times New Roman" w:hAnsi="Times New Roman"/>
          <w:sz w:val="20"/>
          <w:u w:val="single"/>
        </w:rPr>
        <w:t>Real Property Assets</w:t>
      </w:r>
      <w:r>
        <w:rPr>
          <w:rFonts w:ascii="Times New Roman" w:hAnsi="Times New Roman"/>
          <w:sz w:val="20"/>
        </w:rPr>
        <w:t xml:space="preserve">” means all interest (including leasehold interests) of the Borrower or any of its Subsidiaries in any real property. </w:t>
      </w:r>
    </w:p>
    <w:p>
      <w:pPr>
        <w:pStyle w:val="TextBody"/>
        <w:bidi w:val="0"/>
        <w:spacing w:before="240" w:after="0"/>
        <w:jc w:val="left"/>
        <w:rPr/>
      </w:pPr>
      <w:r>
        <w:rPr/>
        <w:t>“</w:t>
      </w:r>
      <w:r>
        <w:rPr>
          <w:rFonts w:ascii="Times New Roman" w:hAnsi="Times New Roman"/>
          <w:sz w:val="20"/>
          <w:u w:val="single"/>
        </w:rPr>
        <w:t>Receivables Assets</w:t>
      </w:r>
      <w:r>
        <w:rPr>
          <w:rFonts w:ascii="Times New Roman" w:hAnsi="Times New Roman"/>
          <w:sz w:val="20"/>
        </w:rPr>
        <w:t xml:space="preserve">” shall mean accounts receivable (including bills of exchange) and related assets and property which are of the type customarily transferred or in respect of which security interests are customarily granted in connection with securitizations of accounts receivable from time to time originated, acquired or otherwise owned by the Borrower or any Subsidiary. </w:t>
      </w:r>
    </w:p>
    <w:p>
      <w:pPr>
        <w:pStyle w:val="TextBody"/>
        <w:bidi w:val="0"/>
        <w:spacing w:before="240" w:after="0"/>
        <w:jc w:val="left"/>
        <w:rPr/>
      </w:pPr>
      <w:r>
        <w:rPr/>
        <w:t>“</w:t>
      </w:r>
      <w:r>
        <w:rPr>
          <w:rFonts w:ascii="Times New Roman" w:hAnsi="Times New Roman"/>
          <w:sz w:val="20"/>
          <w:u w:val="single"/>
        </w:rPr>
        <w:t>Receivables Net Investment</w:t>
      </w:r>
      <w:r>
        <w:rPr>
          <w:rFonts w:ascii="Times New Roman" w:hAnsi="Times New Roman"/>
          <w:sz w:val="20"/>
        </w:rPr>
        <w:t xml:space="preserve">” means the aggregate cash amount paid by the lenders or purchasers under any Permitted Receivables Financing in connection with their purchase of, or the making of loans secured by, Receivables Assets or interests therein, as the same may be reduced from time to time by collections with respect to such Receivables Assets or otherwise in accordance with the terms of the Permitted Receivables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though such distribution had not been made.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means the Administrative Agent, any Lender, any L/C Issuer or any other recipient of any payment to be made by or on account of any obligation of any Loan Party hereunder. </w:t>
      </w:r>
    </w:p>
    <w:p>
      <w:pPr>
        <w:pStyle w:val="TextBody"/>
        <w:bidi w:val="0"/>
        <w:spacing w:before="240" w:after="0"/>
        <w:jc w:val="left"/>
        <w:rPr/>
      </w:pPr>
      <w:r>
        <w:rPr/>
        <w:t>“</w:t>
      </w:r>
      <w:r>
        <w:rPr>
          <w:rFonts w:ascii="Times New Roman" w:hAnsi="Times New Roman"/>
          <w:sz w:val="20"/>
          <w:u w:val="single"/>
        </w:rPr>
        <w:t>Reference Period</w:t>
      </w:r>
      <w:r>
        <w:rPr>
          <w:rFonts w:ascii="Times New Roman" w:hAnsi="Times New Roman"/>
          <w:sz w:val="20"/>
        </w:rPr>
        <w:t xml:space="preserve">” means (a) for purposes of calculating compliance with any financial covenant or test on any date on which a Compliance Certificate is required to be delivered hereunder, the four consecutive fiscal quarters most recently ended prior to such date and (b) for purposes of determining whether the conditions precedent have been satisfied for a proposed transaction, the four consecutive fiscal quarters most recently ended prior to date of such proposed transaction for which annual or quarterly financial statements and a Compliance Certificate shall have been delivered in accordance with the provisions hereof. </w:t>
      </w:r>
    </w:p>
    <w:p>
      <w:pPr>
        <w:pStyle w:val="TextBody"/>
        <w:bidi w:val="0"/>
        <w:spacing w:before="240" w:after="0"/>
        <w:jc w:val="left"/>
        <w:rPr/>
      </w:pPr>
      <w:r>
        <w:rPr/>
        <w:t>“</w:t>
      </w:r>
      <w:r>
        <w:rPr>
          <w:rFonts w:ascii="Times New Roman" w:hAnsi="Times New Roman"/>
          <w:sz w:val="20"/>
          <w:u w:val="single"/>
        </w:rPr>
        <w:t>Refinancing Amendment</w:t>
      </w:r>
      <w:r>
        <w:rPr>
          <w:rFonts w:ascii="Times New Roman" w:hAnsi="Times New Roman"/>
          <w:sz w:val="20"/>
        </w:rPr>
        <w:t xml:space="preserve">” has the meaning specified in </w:t>
      </w:r>
      <w:r>
        <w:rPr>
          <w:rFonts w:ascii="Times New Roman" w:hAnsi="Times New Roman"/>
          <w:sz w:val="20"/>
          <w:u w:val="single"/>
        </w:rPr>
        <w:t>Section 2.17(c)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Effective Date</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Facilities</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Facility Lender</w:t>
      </w:r>
      <w:r>
        <w:rPr>
          <w:rFonts w:ascii="Times New Roman" w:hAnsi="Times New Roman"/>
          <w:sz w:val="20"/>
        </w:rPr>
        <w:t xml:space="preserve">” has the meaning specified in </w:t>
      </w:r>
      <w:r>
        <w:rPr>
          <w:rFonts w:ascii="Times New Roman" w:hAnsi="Times New Roman"/>
          <w:sz w:val="20"/>
          <w:u w:val="single"/>
        </w:rPr>
        <w:t>Section 2.17(b)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Note Holder</w:t>
      </w:r>
      <w:r>
        <w:rPr>
          <w:rFonts w:ascii="Times New Roman" w:hAnsi="Times New Roman"/>
          <w:sz w:val="20"/>
        </w:rPr>
        <w:t xml:space="preserve">” has the meaning specified in </w:t>
      </w:r>
      <w:r>
        <w:rPr>
          <w:rFonts w:ascii="Times New Roman" w:hAnsi="Times New Roman"/>
          <w:sz w:val="20"/>
          <w:u w:val="single"/>
        </w:rPr>
        <w:t>Section 2.17(b)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Notes</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Revolving Facility</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Term Facility</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specified in </w:t>
      </w:r>
      <w:r>
        <w:rPr>
          <w:rFonts w:ascii="Times New Roman" w:hAnsi="Times New Roman"/>
          <w:sz w:val="20"/>
          <w:u w:val="single"/>
        </w:rPr>
        <w:t>Section 10.06(c)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Registered Public Accounting Firm</w:t>
      </w:r>
      <w:r>
        <w:rPr>
          <w:rFonts w:ascii="Times New Roman" w:hAnsi="Times New Roman"/>
          <w:sz w:val="20"/>
        </w:rPr>
        <w:t xml:space="preserve">” has the meaning specified in the Securities Laws and shall be independent of the Borrower as prescribed by the Securities Laws.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and advisors of such Person and of such Person’s Affiliates.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shall have the meaning specified in </w:t>
      </w:r>
      <w:r>
        <w:rPr>
          <w:rFonts w:ascii="Times New Roman" w:hAnsi="Times New Roman"/>
          <w:sz w:val="20"/>
          <w:u w:val="single"/>
        </w:rPr>
        <w:t>Section 9.06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means any of the events set forth in Section 4043(c) of ERISA, other than events for which the 30 day notice period has been waived. </w:t>
      </w:r>
    </w:p>
    <w:p>
      <w:pPr>
        <w:pStyle w:val="TextBody"/>
        <w:bidi w:val="0"/>
        <w:spacing w:before="240" w:after="0"/>
        <w:jc w:val="left"/>
        <w:rPr/>
      </w:pPr>
      <w:r>
        <w:rPr/>
        <w:t>“</w:t>
      </w:r>
      <w:r>
        <w:rPr>
          <w:rFonts w:ascii="Times New Roman" w:hAnsi="Times New Roman"/>
          <w:sz w:val="20"/>
          <w:u w:val="single"/>
        </w:rPr>
        <w:t>Repricing Transaction</w:t>
      </w:r>
      <w:r>
        <w:rPr>
          <w:rFonts w:ascii="Times New Roman" w:hAnsi="Times New Roman"/>
          <w:sz w:val="20"/>
        </w:rPr>
        <w:t xml:space="preserve">” means (a) the incurrence by the Borrower of any Indebtedness in the form of broadly syndicated U.S. dollar denominated floating rate term “B” loans that are secured on a pari passu basis with the Term B Facility (i) having an Effective Yield for the respective Type of such Indebtedness that is less than the Effective Yield for the Term B Loans of the respective equivalent Type and the primary purpose of which was to reduce the Effective Yield in respect of the Term B Loans, but excluding Indebtedness incurred in connection with any transaction that would, if consummated, constitute a Change of Control, a Transformative Acquisition, a Transformative Disposition or any upsizing of the Term B Facility and (ii) the proceeds of which are used to prepay (or, in the case of a conversion or exchange, deemed to prepay or replace), in whole or in part, outstanding principal of the Term B Loans or (b) any effective reduction in the Effective Yield for the Term B Loans (e.g., by way of amendment, waiver or otherwise) and the primary purpose of which was to reduce the Effective Yield in respect of the Term B Loans, except for any such effective reduction in connection with any transaction that would, if consummated, constitute a Change of Control, a Transformative Acquisition, a Transformative Disposition or any upsizing of the Term B Facility. Any determination by the Administrative Agent with respect to whether a Repricing Transaction has occurred shall be conclusive and binding on all Lenders holding the Term B Loans. </w:t>
      </w:r>
    </w:p>
    <w:p>
      <w:pPr>
        <w:pStyle w:val="TextBody"/>
        <w:bidi w:val="0"/>
        <w:spacing w:before="240" w:after="0"/>
        <w:jc w:val="left"/>
        <w:rPr/>
      </w:pPr>
      <w:r>
        <w:rPr/>
        <w:t>“</w:t>
      </w:r>
      <w:r>
        <w:rPr>
          <w:rFonts w:ascii="Times New Roman" w:hAnsi="Times New Roman"/>
          <w:sz w:val="20"/>
          <w:u w:val="single"/>
        </w:rPr>
        <w:t>Request for Credit Extension</w:t>
      </w:r>
      <w:r>
        <w:rPr>
          <w:rFonts w:ascii="Times New Roman" w:hAnsi="Times New Roman"/>
          <w:sz w:val="20"/>
        </w:rPr>
        <w:t xml:space="preserve">” means (a) with respect to a Borrowing, conversion or continuation of Term Loans or Revolving Credit Loans, a Loan Notice, (b) with respect to an L/C Credit Extension, a Letter of Credit Application and (c) with respect to a Swing Line Loan, a Swing Line Loan Notice. </w:t>
      </w:r>
    </w:p>
    <w:p>
      <w:pPr>
        <w:pStyle w:val="TextBody"/>
        <w:bidi w:val="0"/>
        <w:spacing w:before="240" w:after="0"/>
        <w:jc w:val="left"/>
        <w:rPr/>
      </w:pPr>
      <w:r>
        <w:rPr/>
        <w:t>“</w:t>
      </w:r>
      <w:r>
        <w:rPr>
          <w:rFonts w:ascii="Times New Roman" w:hAnsi="Times New Roman"/>
          <w:sz w:val="20"/>
          <w:u w:val="single"/>
        </w:rPr>
        <w:t>Required Facility Lenders</w:t>
      </w:r>
      <w:r>
        <w:rPr>
          <w:rFonts w:ascii="Times New Roman" w:hAnsi="Times New Roman"/>
          <w:sz w:val="20"/>
        </w:rPr>
        <w:t xml:space="preserve">” means (a) for the Revolving Credit Facility, the Required Revolving Lenders, (b) for any Term A Facility, the Required Term A Lenders for such Term A Facility and (c) for any Term B Facility, the Required Term B Lenders for such Term B Facility.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as of any date of determination, Lenders having more than 50% of the sum of (a) the Total Outstandings (with the aggregate amount of each Revolving Credit Lender’s risk participation and funded participation in L/C Obligations and Swing Line Loans being deemed “held” by such Revolving Credit Lender for purposes of this definition) and (b) the aggregate unused Revolving Credit Commitments; </w:t>
      </w:r>
      <w:r>
        <w:rPr>
          <w:rFonts w:ascii="Times New Roman" w:hAnsi="Times New Roman"/>
          <w:sz w:val="20"/>
          <w:u w:val="single"/>
        </w:rPr>
        <w:t>provided</w:t>
      </w:r>
      <w:r>
        <w:rPr>
          <w:rFonts w:ascii="Times New Roman" w:hAnsi="Times New Roman"/>
          <w:sz w:val="20"/>
        </w:rPr>
        <w:t xml:space="preserve"> that the unused Revolving Credit Commitment of, and the portion of the Total Outstandings held or deemed held by, any Defaulting Lender shall be excluded for purposes of making a determination of Required Lenders. </w:t>
      </w:r>
    </w:p>
    <w:p>
      <w:pPr>
        <w:pStyle w:val="TextBody"/>
        <w:bidi w:val="0"/>
        <w:spacing w:before="240" w:after="0"/>
        <w:jc w:val="left"/>
        <w:rPr/>
      </w:pPr>
      <w:r>
        <w:rPr/>
        <w:t>“</w:t>
      </w:r>
      <w:r>
        <w:rPr>
          <w:rFonts w:ascii="Times New Roman" w:hAnsi="Times New Roman"/>
          <w:sz w:val="20"/>
          <w:u w:val="single"/>
        </w:rPr>
        <w:t>Required Pro Rata Lenders</w:t>
      </w:r>
      <w:r>
        <w:rPr>
          <w:rFonts w:ascii="Times New Roman" w:hAnsi="Times New Roman"/>
          <w:sz w:val="20"/>
        </w:rPr>
        <w:t xml:space="preserve">” means, as of any date of determination, Lenders having more than 50% of the sum of (a) the Pro Rata Total Outstandings (with the aggregate amount of each Revolving Credit Lender’s risk participation and funded participation in L/C Obligations and Swing Line Loans being deemed “held” by such Revolving Credit Lender for purposes of this definition) and (b) the aggregate unused Pro Rata Commitments; </w:t>
      </w:r>
      <w:r>
        <w:rPr>
          <w:rFonts w:ascii="Times New Roman" w:hAnsi="Times New Roman"/>
          <w:sz w:val="20"/>
          <w:u w:val="single"/>
        </w:rPr>
        <w:t>provided</w:t>
      </w:r>
      <w:r>
        <w:rPr>
          <w:rFonts w:ascii="Times New Roman" w:hAnsi="Times New Roman"/>
          <w:sz w:val="20"/>
        </w:rPr>
        <w:t xml:space="preserve"> that the unused Revolving Credit Commitment of, and the portion of the Total Revolving Credit Outstandings held or deemed held by, any Defaulting Lender shall be excluded for purposes of making a determination of Required Pro Rata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Required Revolving Lenders</w:t>
      </w:r>
      <w:r>
        <w:rPr>
          <w:rFonts w:ascii="Times New Roman" w:hAnsi="Times New Roman"/>
          <w:sz w:val="20"/>
        </w:rPr>
        <w:t xml:space="preserve">” means, as of any date of determination, Revolving Credit Lenders having more than 50% of the sum of (a) the Total Revolving Credit Outstandings (with the aggregate amount of each Revolving Credit Lender’s risk participation and funded participation in L/C Obligations and Swing Line Loans being deemed “held” by such Revolving Credit Lender for purposes of this definition) and (b) the aggregate unused Revolving Credit Commitments; </w:t>
      </w:r>
      <w:r>
        <w:rPr>
          <w:rFonts w:ascii="Times New Roman" w:hAnsi="Times New Roman"/>
          <w:sz w:val="20"/>
          <w:u w:val="single"/>
        </w:rPr>
        <w:t>provided</w:t>
      </w:r>
      <w:r>
        <w:rPr>
          <w:rFonts w:ascii="Times New Roman" w:hAnsi="Times New Roman"/>
          <w:sz w:val="20"/>
        </w:rPr>
        <w:t xml:space="preserve"> that the unused Revolving Credit Commitment of, and the portion of the Total Revolving Credit Outstandings held or deemed held by, any Defaulting Lender shall be excluded for purposes of making a determination of Required Revolving Lenders. </w:t>
      </w:r>
    </w:p>
    <w:p>
      <w:pPr>
        <w:pStyle w:val="TextBody"/>
        <w:bidi w:val="0"/>
        <w:spacing w:before="240" w:after="0"/>
        <w:jc w:val="left"/>
        <w:rPr/>
      </w:pPr>
      <w:r>
        <w:rPr/>
        <w:t>“</w:t>
      </w:r>
      <w:r>
        <w:rPr>
          <w:rFonts w:ascii="Times New Roman" w:hAnsi="Times New Roman"/>
          <w:sz w:val="20"/>
          <w:u w:val="single"/>
        </w:rPr>
        <w:t>Required Term A Lenders</w:t>
      </w:r>
      <w:r>
        <w:rPr>
          <w:rFonts w:ascii="Times New Roman" w:hAnsi="Times New Roman"/>
          <w:sz w:val="20"/>
        </w:rPr>
        <w:t xml:space="preserve">” means, as of any date of determination, with respect to any Term A Facility, Term A Lenders having more than 50% of such Term A Facility on such date; </w:t>
      </w:r>
      <w:r>
        <w:rPr>
          <w:rFonts w:ascii="Times New Roman" w:hAnsi="Times New Roman"/>
          <w:sz w:val="20"/>
          <w:u w:val="single"/>
        </w:rPr>
        <w:t>provided</w:t>
      </w:r>
      <w:r>
        <w:rPr>
          <w:rFonts w:ascii="Times New Roman" w:hAnsi="Times New Roman"/>
          <w:sz w:val="20"/>
        </w:rPr>
        <w:t xml:space="preserve"> that the portion of such Term A Facility held by any Defaulting Lender shall be excluded for purposes of making a determination of Required Term A Lenders. </w:t>
      </w:r>
    </w:p>
    <w:p>
      <w:pPr>
        <w:pStyle w:val="TextBody"/>
        <w:bidi w:val="0"/>
        <w:spacing w:before="240" w:after="0"/>
        <w:jc w:val="left"/>
        <w:rPr/>
      </w:pPr>
      <w:r>
        <w:rPr/>
        <w:t>“</w:t>
      </w:r>
      <w:r>
        <w:rPr>
          <w:rFonts w:ascii="Times New Roman" w:hAnsi="Times New Roman"/>
          <w:sz w:val="20"/>
          <w:u w:val="single"/>
        </w:rPr>
        <w:t>Required Term B Lenders</w:t>
      </w:r>
      <w:r>
        <w:rPr>
          <w:rFonts w:ascii="Times New Roman" w:hAnsi="Times New Roman"/>
          <w:sz w:val="20"/>
        </w:rPr>
        <w:t xml:space="preserve">” means, as of any date of determination, with respect to any Term B Facility, Term B Lenders having more than 50% of such Term B Facility on such date; </w:t>
      </w:r>
      <w:r>
        <w:rPr>
          <w:rFonts w:ascii="Times New Roman" w:hAnsi="Times New Roman"/>
          <w:sz w:val="20"/>
          <w:u w:val="single"/>
        </w:rPr>
        <w:t>provided</w:t>
      </w:r>
      <w:r>
        <w:rPr>
          <w:rFonts w:ascii="Times New Roman" w:hAnsi="Times New Roman"/>
          <w:sz w:val="20"/>
        </w:rPr>
        <w:t xml:space="preserve"> that the portion of such Term B Facility held by any Defaulting Lender shall be excluded for purposes of making a determination of Required Term B Lenders. </w:t>
      </w:r>
    </w:p>
    <w:p>
      <w:pPr>
        <w:pStyle w:val="TextBody"/>
        <w:bidi w:val="0"/>
        <w:spacing w:before="240" w:after="0"/>
        <w:jc w:val="left"/>
        <w:rPr/>
      </w:pPr>
      <w:r>
        <w:rPr/>
        <w:t>“</w:t>
      </w:r>
      <w:r>
        <w:rPr>
          <w:rFonts w:ascii="Times New Roman" w:hAnsi="Times New Roman"/>
          <w:sz w:val="20"/>
          <w:u w:val="single"/>
        </w:rPr>
        <w:t>Rescindable Amount</w:t>
      </w:r>
      <w:r>
        <w:rPr>
          <w:rFonts w:ascii="Times New Roman" w:hAnsi="Times New Roman"/>
          <w:sz w:val="20"/>
        </w:rPr>
        <w:t xml:space="preserve">” has the meaning specified in </w:t>
      </w:r>
      <w:r>
        <w:rPr>
          <w:rFonts w:ascii="Times New Roman" w:hAnsi="Times New Roman"/>
          <w:sz w:val="20"/>
          <w:u w:val="single"/>
        </w:rPr>
        <w:t>Section 2.12(b)(ii)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the chief executive officer, president, chief financial officer, treasurer or assistant treasurer, corporate controller, any vice president or executive vice president of any Loan Party to the extent each such officer shall have been duly authorized by all necessary corporate, partnership or other action on the part of such Person to act on behalf of such Person and solely for purposes of the delivery of incumbency certificates pursuant to </w:t>
      </w:r>
      <w:r>
        <w:rPr>
          <w:rFonts w:ascii="Times New Roman" w:hAnsi="Times New Roman"/>
          <w:sz w:val="20"/>
          <w:u w:val="single"/>
        </w:rPr>
        <w:t>Section 4.01</w:t>
      </w:r>
      <w:r>
        <w:rPr>
          <w:rFonts w:ascii="Times New Roman" w:hAnsi="Times New Roman"/>
          <w:sz w:val="20"/>
        </w:rPr>
        <w:t xml:space="preserve">, the secretary or any assistant secretary of a Loan Party and, solely for purposes of notices given under </w:t>
      </w:r>
      <w:r>
        <w:rPr>
          <w:rFonts w:ascii="Times New Roman" w:hAnsi="Times New Roman"/>
          <w:sz w:val="20"/>
          <w:u w:val="single"/>
        </w:rPr>
        <w:t>ARTICLE II</w:t>
      </w:r>
      <w:r>
        <w:rPr>
          <w:rFonts w:ascii="Times New Roman" w:hAnsi="Times New Roman"/>
          <w:sz w:val="20"/>
        </w:rPr>
        <w:t xml:space="preserve">, any other officer or employee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pPr>
      <w:r>
        <w:rPr/>
        <w:t>“</w:t>
      </w:r>
      <w:r>
        <w:rPr>
          <w:rFonts w:ascii="Times New Roman" w:hAnsi="Times New Roman"/>
          <w:sz w:val="20"/>
          <w:u w:val="single"/>
        </w:rPr>
        <w:t>Restatement Agreement</w:t>
      </w:r>
      <w:r>
        <w:rPr>
          <w:rFonts w:ascii="Times New Roman" w:hAnsi="Times New Roman"/>
          <w:sz w:val="20"/>
        </w:rPr>
        <w:t xml:space="preserve">” means the Restatement Agreement dated as of the Closing Date, by and among the Borrower, the Administrative Agent and each of the lenders under the Existing Credit Agreement party thereto. </w:t>
      </w:r>
    </w:p>
    <w:p>
      <w:pPr>
        <w:pStyle w:val="TextBody"/>
        <w:bidi w:val="0"/>
        <w:spacing w:before="240" w:after="0"/>
        <w:jc w:val="left"/>
        <w:rPr/>
      </w:pPr>
      <w:r>
        <w:rPr/>
        <w:t>“</w:t>
      </w:r>
      <w:r>
        <w:rPr>
          <w:rFonts w:ascii="Times New Roman" w:hAnsi="Times New Roman"/>
          <w:sz w:val="20"/>
          <w:u w:val="single"/>
        </w:rPr>
        <w:t>Restricted Payment</w:t>
      </w:r>
      <w:r>
        <w:rPr>
          <w:rFonts w:ascii="Times New Roman" w:hAnsi="Times New Roman"/>
          <w:sz w:val="20"/>
        </w:rPr>
        <w:t xml:space="preserve">” means any dividend or other distribution (whether in cash, securities or other property) with respect to any Equity Interest of the Borrower or any of its Subsidiaries (including, without limitation, any payment in connection with any dissolution, merger, consolidation or disposition involving Subsidiaries), or any payment (whether in cash, securities or other property), including any sinking fund or similar deposit, on account of the purchase, redemption, retirement, acquisition, cancellation or termination of any such Equity Interest or of any option, warrant or other right to acquire any such Equity Interest or on account of any return of capital to the Borrower’s or such Subsidiary’s stockholders, partners or members (or the equivalent of any thereof) (it being understood that Convertible Indebtedness shall not constitute an Equity Interest or an option, warrant or other right to acquire an Equity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Credit Borrowing</w:t>
      </w:r>
      <w:r>
        <w:rPr>
          <w:rFonts w:ascii="Times New Roman" w:hAnsi="Times New Roman"/>
          <w:sz w:val="20"/>
        </w:rPr>
        <w:t xml:space="preserve">” means a borrowing consisting of simultaneous Revolving Credit Loans of the same Type and, in the case of Term SOFR Loans, having the same Interest Period made by each of the Revolving Credit Lenders pursuant to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Credit Commitment</w:t>
      </w:r>
      <w:r>
        <w:rPr>
          <w:rFonts w:ascii="Times New Roman" w:hAnsi="Times New Roman"/>
          <w:sz w:val="20"/>
        </w:rPr>
        <w:t xml:space="preserve">” means as to each Revolving Credit Lender, its obligation to (a) make Revolving Credit Loans to the Borrower pursuant to </w:t>
      </w:r>
      <w:r>
        <w:rPr>
          <w:rFonts w:ascii="Times New Roman" w:hAnsi="Times New Roman"/>
          <w:sz w:val="20"/>
          <w:u w:val="single"/>
        </w:rPr>
        <w:t>Section 2.01(b)</w:t>
      </w:r>
      <w:r>
        <w:rPr>
          <w:rFonts w:ascii="Times New Roman" w:hAnsi="Times New Roman"/>
          <w:sz w:val="20"/>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hAnsi="Times New Roman"/>
          <w:sz w:val="20"/>
          <w:u w:val="single"/>
        </w:rPr>
        <w:t>Schedule 2.01</w:t>
      </w:r>
      <w:r>
        <w:rPr>
          <w:rFonts w:ascii="Times New Roman" w:hAnsi="Times New Roman"/>
          <w:sz w:val="20"/>
        </w:rPr>
        <w:t xml:space="preserve"> under the caption “Revolving Credit Commitment” or opposite such caption in the Assignment and Assumption pursuant to which such Lender becomes a party hereto, as applicable, as such amount may be adjusted from time to time in accordance with this Agreement. The aggregate amount of the Revolving Credit Commitments as of the Closing Date is $600,000,000. </w:t>
      </w:r>
    </w:p>
    <w:p>
      <w:pPr>
        <w:pStyle w:val="TextBody"/>
        <w:bidi w:val="0"/>
        <w:spacing w:before="240" w:after="0"/>
        <w:jc w:val="left"/>
        <w:rPr/>
      </w:pPr>
      <w:r>
        <w:rPr/>
        <w:t>“</w:t>
      </w:r>
      <w:r>
        <w:rPr>
          <w:rFonts w:ascii="Times New Roman" w:hAnsi="Times New Roman"/>
          <w:sz w:val="20"/>
          <w:u w:val="single"/>
        </w:rPr>
        <w:t>Revolving Credit Facility</w:t>
      </w:r>
      <w:r>
        <w:rPr>
          <w:rFonts w:ascii="Times New Roman" w:hAnsi="Times New Roman"/>
          <w:sz w:val="20"/>
        </w:rPr>
        <w:t xml:space="preserve">” means, at any time, the aggregate amount of the Revolving Credit Lenders’ Revolving Credit Commitments at such time. </w:t>
      </w:r>
    </w:p>
    <w:p>
      <w:pPr>
        <w:pStyle w:val="TextBody"/>
        <w:bidi w:val="0"/>
        <w:spacing w:before="240" w:after="0"/>
        <w:jc w:val="left"/>
        <w:rPr/>
      </w:pPr>
      <w:r>
        <w:rPr/>
        <w:t>“</w:t>
      </w:r>
      <w:r>
        <w:rPr>
          <w:rFonts w:ascii="Times New Roman" w:hAnsi="Times New Roman"/>
          <w:sz w:val="20"/>
          <w:u w:val="single"/>
        </w:rPr>
        <w:t>Revolving Credit Lender</w:t>
      </w:r>
      <w:r>
        <w:rPr>
          <w:rFonts w:ascii="Times New Roman" w:hAnsi="Times New Roman"/>
          <w:sz w:val="20"/>
        </w:rPr>
        <w:t xml:space="preserve">” means, at any time, (a) so long as any Revolving Credit Commitment is in effect, any Lender that has a Revolving Credit Commitment at such time or (b) if the Revolving Credit Commitments have terminated or expired, any Lender that has a Revolving Credit Loan or a participation in L/C Obligations or Swing Line Loans at such time. </w:t>
      </w:r>
    </w:p>
    <w:p>
      <w:pPr>
        <w:pStyle w:val="TextBody"/>
        <w:bidi w:val="0"/>
        <w:spacing w:before="240" w:after="0"/>
        <w:jc w:val="left"/>
        <w:rPr/>
      </w:pPr>
      <w:r>
        <w:rPr/>
        <w:t>“</w:t>
      </w:r>
      <w:r>
        <w:rPr>
          <w:rFonts w:ascii="Times New Roman" w:hAnsi="Times New Roman"/>
          <w:sz w:val="20"/>
          <w:u w:val="single"/>
        </w:rPr>
        <w:t>Revolving Credit Loan</w:t>
      </w:r>
      <w:r>
        <w:rPr>
          <w:rFonts w:ascii="Times New Roman" w:hAnsi="Times New Roman"/>
          <w:sz w:val="20"/>
        </w:rPr>
        <w:t xml:space="preserve">” has the meaning specified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Credit Note</w:t>
      </w:r>
      <w:r>
        <w:rPr>
          <w:rFonts w:ascii="Times New Roman" w:hAnsi="Times New Roman"/>
          <w:sz w:val="20"/>
        </w:rPr>
        <w:t xml:space="preserve">” means a “Revolving Credit Note” made by the Borrower in favor of a Revolving Credit Lender evidencing Revolving Credit Loans or Swing Line Loans, as the case may be, made by such Revolving Credit Lender, substantially in the form of </w:t>
      </w:r>
      <w:r>
        <w:rPr>
          <w:rFonts w:ascii="Times New Roman" w:hAnsi="Times New Roman"/>
          <w:sz w:val="20"/>
          <w:u w:val="single"/>
        </w:rPr>
        <w:t>Exhibit C-3</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S&amp;P Global Ratings, a division of S&amp;P Global Inc., and any successor in interest. </w:t>
      </w:r>
    </w:p>
    <w:p>
      <w:pPr>
        <w:pStyle w:val="TextBody"/>
        <w:bidi w:val="0"/>
        <w:spacing w:before="240" w:after="0"/>
        <w:jc w:val="left"/>
        <w:rPr/>
      </w:pPr>
      <w:r>
        <w:rPr/>
        <w:t>“</w:t>
      </w:r>
      <w:r>
        <w:rPr>
          <w:rFonts w:ascii="Times New Roman" w:hAnsi="Times New Roman"/>
          <w:sz w:val="20"/>
          <w:u w:val="single"/>
        </w:rPr>
        <w:t>Sale and Leaseback Transaction</w:t>
      </w:r>
      <w:r>
        <w:rPr>
          <w:rFonts w:ascii="Times New Roman" w:hAnsi="Times New Roman"/>
          <w:sz w:val="20"/>
        </w:rPr>
        <w:t xml:space="preserve">” means any arrangement pursuant to which the Borrower or any of its Subsidiaries, directly or indirectly, becomes liable as lessee, guarantor or other surety with respect to any lease, whether an Operating Lease or a Capitalized Lease, of any Property that the Borrower or any of its Subsidiaries (a) has sold or transferred (or is to sell or transfer) to, or arranged the purchase by, a Person other than the Borrower or any of its Subsidiaries or (b) intends to use for substantially the same purpose as any other Property that has been sold or is transferred (or is to be sold or transferred) by the Borrowers or such Subsidiary to a Person other than the Borrower or any of its Subsidiaries in connection with such lease.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means any sanction administered or enforced by the United States Government (including without limitation, OFAC), the United Nations Security Council, the European Union, His Majesty’s Treasury (“</w:t>
      </w:r>
      <w:r>
        <w:rPr>
          <w:rFonts w:ascii="Times New Roman" w:hAnsi="Times New Roman"/>
          <w:sz w:val="20"/>
          <w:u w:val="single"/>
        </w:rPr>
        <w:t>HMT</w:t>
      </w:r>
      <w:r>
        <w:rPr>
          <w:rFonts w:ascii="Times New Roman" w:hAnsi="Times New Roman"/>
          <w:sz w:val="20"/>
        </w:rPr>
        <w:t xml:space="preserve">”) or other relevant sanctions authority. </w:t>
      </w:r>
    </w:p>
    <w:p>
      <w:pPr>
        <w:pStyle w:val="TextBody"/>
        <w:bidi w:val="0"/>
        <w:spacing w:before="240" w:after="0"/>
        <w:jc w:val="left"/>
        <w:rPr/>
      </w:pPr>
      <w:r>
        <w:rPr/>
        <w:t>“</w:t>
      </w:r>
      <w:r>
        <w:rPr>
          <w:rFonts w:ascii="Times New Roman" w:hAnsi="Times New Roman"/>
          <w:sz w:val="20"/>
          <w:u w:val="single"/>
        </w:rPr>
        <w:t>Sarbanes-Oxley</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sz w:val="20"/>
          <w:u w:val="single"/>
        </w:rPr>
        <w:t>Scheduled Unavailability Date</w:t>
      </w:r>
      <w:r>
        <w:rPr>
          <w:rFonts w:ascii="Times New Roman" w:hAnsi="Times New Roman"/>
          <w:sz w:val="20"/>
        </w:rPr>
        <w:t xml:space="preserve">” has the meaning specified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Secured Cash Management Services Agreement</w:t>
      </w:r>
      <w:r>
        <w:rPr>
          <w:rFonts w:ascii="Times New Roman" w:hAnsi="Times New Roman"/>
          <w:sz w:val="20"/>
        </w:rPr>
        <w:t xml:space="preserve">” means any Cash Management Services Agreement that is entered into by and between the Borrower or any of its Subsidiaries and any Cash Management Bank. </w:t>
      </w:r>
    </w:p>
    <w:p>
      <w:pPr>
        <w:pStyle w:val="TextBody"/>
        <w:bidi w:val="0"/>
        <w:spacing w:before="240" w:after="0"/>
        <w:jc w:val="left"/>
        <w:rPr/>
      </w:pPr>
      <w:r>
        <w:rPr/>
        <w:t>“</w:t>
      </w:r>
      <w:r>
        <w:rPr>
          <w:rFonts w:ascii="Times New Roman" w:hAnsi="Times New Roman"/>
          <w:sz w:val="20"/>
          <w:u w:val="single"/>
        </w:rPr>
        <w:t>Secured Party</w:t>
      </w:r>
      <w:r>
        <w:rPr>
          <w:rFonts w:ascii="Times New Roman" w:hAnsi="Times New Roman"/>
          <w:sz w:val="20"/>
        </w:rPr>
        <w:t>” means the Administrative Agent, each Lender, each L/C Issuer, each Swing Line Lender, each Swap Bank, each Cash Management Bank</w:t>
      </w:r>
      <w:r>
        <w:rPr>
          <w:rFonts w:ascii="Times New Roman" w:hAnsi="Times New Roman"/>
          <w:b/>
          <w:sz w:val="20"/>
        </w:rPr>
        <w:t xml:space="preserve">, </w:t>
      </w:r>
      <w:r>
        <w:rPr>
          <w:rFonts w:ascii="Times New Roman" w:hAnsi="Times New Roman"/>
          <w:sz w:val="20"/>
        </w:rPr>
        <w:t xml:space="preserve">each co-agent or sub-agent appointed by the Administrative Agent from time to time pursuant to </w:t>
      </w:r>
      <w:r>
        <w:rPr>
          <w:rFonts w:ascii="Times New Roman" w:hAnsi="Times New Roman"/>
          <w:sz w:val="20"/>
          <w:u w:val="single"/>
        </w:rPr>
        <w:t>Section 9.05</w:t>
      </w:r>
      <w:r>
        <w:rPr>
          <w:rFonts w:ascii="Times New Roman" w:hAnsi="Times New Roman"/>
          <w:sz w:val="20"/>
        </w:rPr>
        <w:t xml:space="preserve">, and the other Persons the Obligations owing to which are or are purported to be secured by the Collateral under the terms of the Collateral Documents. </w:t>
      </w:r>
    </w:p>
    <w:p>
      <w:pPr>
        <w:pStyle w:val="TextBody"/>
        <w:bidi w:val="0"/>
        <w:spacing w:before="240" w:after="0"/>
        <w:jc w:val="left"/>
        <w:rPr/>
      </w:pPr>
      <w:r>
        <w:rPr/>
        <w:t>“</w:t>
      </w:r>
      <w:r>
        <w:rPr>
          <w:rFonts w:ascii="Times New Roman" w:hAnsi="Times New Roman"/>
          <w:sz w:val="20"/>
          <w:u w:val="single"/>
        </w:rPr>
        <w:t>Secured Swap Contract</w:t>
      </w:r>
      <w:r>
        <w:rPr>
          <w:rFonts w:ascii="Times New Roman" w:hAnsi="Times New Roman"/>
          <w:sz w:val="20"/>
        </w:rPr>
        <w:t xml:space="preserve">” means any interest rate or foreign exchange rate Swap Contract that is entered into by and between the Borrower or any of its Subsidiaries and any Swap Bank. </w:t>
      </w:r>
    </w:p>
    <w:p>
      <w:pPr>
        <w:pStyle w:val="TextBody"/>
        <w:bidi w:val="0"/>
        <w:spacing w:before="240" w:after="0"/>
        <w:jc w:val="left"/>
        <w:rPr/>
      </w:pPr>
      <w:r>
        <w:rPr/>
        <w:t>“</w:t>
      </w:r>
      <w:r>
        <w:rPr>
          <w:rFonts w:ascii="Times New Roman" w:hAnsi="Times New Roman"/>
          <w:sz w:val="20"/>
          <w:u w:val="single"/>
        </w:rPr>
        <w:t>Securities Laws</w:t>
      </w:r>
      <w:r>
        <w:rPr>
          <w:rFonts w:ascii="Times New Roman" w:hAnsi="Times New Roman"/>
          <w:sz w:val="20"/>
        </w:rPr>
        <w:t xml:space="preserve">” means the Securities Act of 1933, the Securities Exchange Act of 1934,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 </w:t>
      </w:r>
    </w:p>
    <w:p>
      <w:pPr>
        <w:pStyle w:val="TextBody"/>
        <w:bidi w:val="0"/>
        <w:spacing w:before="240" w:after="0"/>
        <w:jc w:val="left"/>
        <w:rPr/>
      </w:pPr>
      <w:r>
        <w:rPr/>
        <w:t>“</w:t>
      </w:r>
      <w:r>
        <w:rPr>
          <w:rFonts w:ascii="Times New Roman" w:hAnsi="Times New Roman"/>
          <w:sz w:val="20"/>
          <w:u w:val="single"/>
        </w:rPr>
        <w:t>Security Agreement</w:t>
      </w:r>
      <w:r>
        <w:rPr>
          <w:rFonts w:ascii="Times New Roman" w:hAnsi="Times New Roman"/>
          <w:sz w:val="20"/>
        </w:rPr>
        <w:t xml:space="preserve">” means the Amended and Restated Security Agreement dated as of October 19, 2026 (as may be amended, amended and restated, supplemented or otherwise modified from time to time) by and among the Borrower, the Subsidiary Guarantors and the Administrative Agent in the form attached as </w:t>
      </w:r>
      <w:r>
        <w:rPr>
          <w:rFonts w:ascii="Times New Roman" w:hAnsi="Times New Roman"/>
          <w:sz w:val="20"/>
          <w:u w:val="single"/>
        </w:rPr>
        <w:t>Exhibit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Senior Secured Notes</w:t>
      </w:r>
      <w:r>
        <w:rPr>
          <w:rFonts w:ascii="Times New Roman" w:hAnsi="Times New Roman"/>
          <w:sz w:val="20"/>
        </w:rPr>
        <w:t xml:space="preserve">” means the 9.500% senior secured notes due 2033, issued by the Borrower on October 19, 2026, in an initial aggregate principal amount of $450,000,000 pursuant to the Senior Secured Notes Indenture. </w:t>
      </w:r>
    </w:p>
    <w:p>
      <w:pPr>
        <w:pStyle w:val="TextBody"/>
        <w:bidi w:val="0"/>
        <w:spacing w:before="240" w:after="0"/>
        <w:jc w:val="left"/>
        <w:rPr/>
      </w:pPr>
      <w:r>
        <w:rPr/>
        <w:t>“</w:t>
      </w:r>
      <w:r>
        <w:rPr>
          <w:rFonts w:ascii="Times New Roman" w:hAnsi="Times New Roman"/>
          <w:sz w:val="20"/>
          <w:u w:val="single"/>
        </w:rPr>
        <w:t>Senior Secured Notes Indenture</w:t>
      </w:r>
      <w:r>
        <w:rPr>
          <w:rFonts w:ascii="Times New Roman" w:hAnsi="Times New Roman"/>
          <w:sz w:val="20"/>
        </w:rPr>
        <w:t>” means that certain Indenture, dated as of October 19, 2026, by and among the Borrower, the Guarantors (as defined therein) party thereto from time to time and Truist Bank, as trustee and as notes collateral agent (in such capacity, the “</w:t>
      </w:r>
      <w:r>
        <w:rPr>
          <w:rFonts w:ascii="Times New Roman" w:hAnsi="Times New Roman"/>
          <w:sz w:val="20"/>
          <w:u w:val="single"/>
        </w:rPr>
        <w:t>Senior Secured Notes Collateral Agent</w:t>
      </w:r>
      <w:r>
        <w:rPr>
          <w:rFonts w:ascii="Times New Roman" w:hAnsi="Times New Roman"/>
          <w:sz w:val="20"/>
        </w:rPr>
        <w:t xml:space="preserve">”), governing the Senior Secured Notes and the related note guarantees, as amended, restated, amended and restated, supplemented or otherwise modified or renewed, refunded, replaced, restructured, refinanced, repaid, increased or extended from time to time in accordance therewith. </w:t>
      </w:r>
    </w:p>
    <w:p>
      <w:pPr>
        <w:pStyle w:val="TextBody"/>
        <w:bidi w:val="0"/>
        <w:spacing w:before="240" w:after="0"/>
        <w:jc w:val="left"/>
        <w:rPr/>
      </w:pPr>
      <w:r>
        <w:rPr/>
        <w:t>“</w:t>
      </w:r>
      <w:r>
        <w:rPr>
          <w:rFonts w:ascii="Times New Roman" w:hAnsi="Times New Roman"/>
          <w:sz w:val="20"/>
          <w:u w:val="single"/>
        </w:rPr>
        <w:t>Senior Secured Notes Documents</w:t>
      </w:r>
      <w:r>
        <w:rPr>
          <w:rFonts w:ascii="Times New Roman" w:hAnsi="Times New Roman"/>
          <w:sz w:val="20"/>
        </w:rPr>
        <w:t xml:space="preserve">” means, collectively, the Senior Secured Notes, the Senior Secured Notes Indenture, the guarantees of the Senior Secured Notes issued by the guarantors party to the Senior Secured Notes Indenture, the collateral and security documents entered into in connection with the Senior Secured Notes (including any pledge agreements, security agreements, mortgages and other collateral documents in favor of the Senior Secured Notes Collateral Agent), the First Lien Intercreditor Agreement and each other agreement, instrument or document executed or delivered in connection with any of the foregoing, in each case as amended, restated, amended and restated, supplemented or otherwise modified from time to time (including in connection with any Permitted Refinancing thereof).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the Secured Overnight Financing Rate as administered by the Federal Reserve Bank of New York (or a successor administrator). </w:t>
      </w:r>
    </w:p>
    <w:p>
      <w:pPr>
        <w:pStyle w:val="TextBody"/>
        <w:bidi w:val="0"/>
        <w:spacing w:before="240" w:after="0"/>
        <w:jc w:val="left"/>
        <w:rPr/>
      </w:pPr>
      <w:r>
        <w:rPr/>
        <w:t>“</w:t>
      </w:r>
      <w:r>
        <w:rPr>
          <w:rFonts w:ascii="Times New Roman" w:hAnsi="Times New Roman"/>
          <w:sz w:val="20"/>
          <w:u w:val="single"/>
        </w:rPr>
        <w:t>SPC</w:t>
      </w:r>
      <w:r>
        <w:rPr>
          <w:rFonts w:ascii="Times New Roman" w:hAnsi="Times New Roman"/>
          <w:sz w:val="20"/>
        </w:rPr>
        <w:t xml:space="preserve">” has the meaning specified in </w:t>
      </w:r>
      <w:r>
        <w:rPr>
          <w:rFonts w:ascii="Times New Roman" w:hAnsi="Times New Roman"/>
          <w:sz w:val="20"/>
          <w:u w:val="single"/>
        </w:rPr>
        <w:t>Section 10.06(g)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Special Purpose Receivables Subsidiary</w:t>
      </w:r>
      <w:r>
        <w:rPr>
          <w:rFonts w:ascii="Times New Roman" w:hAnsi="Times New Roman"/>
          <w:sz w:val="20"/>
        </w:rPr>
        <w:t xml:space="preserve">” shall mean a subsidiary of the Borrower or a Subsidiary established in connection with a Permitted Receivables Financing for the acquisition of Receivables Assets or interests therein, and which is organized in a manner intended to reduce the likelihood that it would be substantively consolidated with the Borrower or any of the subsidiaries (other than Special Purpose Receivables Subsidiaries) in the event the Borrower or any such subsidiary becomes subject to a proceeding under any debtor relief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Subject Properties</w:t>
      </w:r>
      <w:r>
        <w:rPr>
          <w:rFonts w:ascii="Times New Roman" w:hAnsi="Times New Roman"/>
          <w:sz w:val="20"/>
        </w:rPr>
        <w:t xml:space="preserve">” has the meaning specified in </w:t>
      </w:r>
      <w:r>
        <w:rPr>
          <w:rFonts w:ascii="Times New Roman" w:hAnsi="Times New Roman"/>
          <w:sz w:val="20"/>
          <w:u w:val="single"/>
        </w:rPr>
        <w:t>Section 5.13(a)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hAnsi="Times New Roman"/>
          <w:sz w:val="20"/>
          <w:u w:val="single"/>
        </w:rPr>
        <w:t>Subsidiary</w:t>
      </w:r>
      <w:r>
        <w:rPr>
          <w:rFonts w:ascii="Times New Roman" w:hAnsi="Times New Roman"/>
          <w:sz w:val="20"/>
        </w:rPr>
        <w:t>” or to “</w:t>
      </w:r>
      <w:r>
        <w:rPr>
          <w:rFonts w:ascii="Times New Roman" w:hAnsi="Times New Roman"/>
          <w:sz w:val="20"/>
          <w:u w:val="single"/>
        </w:rPr>
        <w:t>Subsidiaries</w:t>
      </w:r>
      <w:r>
        <w:rPr>
          <w:rFonts w:ascii="Times New Roman" w:hAnsi="Times New Roman"/>
          <w:sz w:val="20"/>
        </w:rPr>
        <w:t xml:space="preserve">” shall refer to a Subsidiary or Subsidiaries of the Borrower. </w:t>
      </w:r>
    </w:p>
    <w:p>
      <w:pPr>
        <w:pStyle w:val="TextBody"/>
        <w:bidi w:val="0"/>
        <w:spacing w:before="240" w:after="0"/>
        <w:jc w:val="left"/>
        <w:rPr/>
      </w:pPr>
      <w:r>
        <w:rPr/>
        <w:t>“</w:t>
      </w:r>
      <w:r>
        <w:rPr>
          <w:rFonts w:ascii="Times New Roman" w:hAnsi="Times New Roman"/>
          <w:sz w:val="20"/>
          <w:u w:val="single"/>
        </w:rPr>
        <w:t>Subsidiary Guarantor</w:t>
      </w:r>
      <w:r>
        <w:rPr>
          <w:rFonts w:ascii="Times New Roman" w:hAnsi="Times New Roman"/>
          <w:sz w:val="20"/>
        </w:rPr>
        <w:t xml:space="preserve">” means each of the Domestic Subsidiaries listed on part B of </w:t>
      </w:r>
      <w:r>
        <w:rPr>
          <w:rFonts w:ascii="Times New Roman" w:hAnsi="Times New Roman"/>
          <w:sz w:val="20"/>
          <w:u w:val="single"/>
        </w:rPr>
        <w:t>Schedule 1.01(a)</w:t>
      </w:r>
      <w:r>
        <w:rPr>
          <w:rFonts w:ascii="Times New Roman" w:hAnsi="Times New Roman"/>
          <w:sz w:val="20"/>
        </w:rPr>
        <w:t xml:space="preserve"> and each other Subsidiary of the Borrower that joins as a Subsidiary Guarantor pursuant to </w:t>
      </w:r>
      <w:r>
        <w:rPr>
          <w:rFonts w:ascii="Times New Roman" w:hAnsi="Times New Roman"/>
          <w:sz w:val="20"/>
          <w:u w:val="single"/>
        </w:rPr>
        <w:t>Section 6.11</w:t>
      </w:r>
      <w:r>
        <w:rPr>
          <w:rFonts w:ascii="Times New Roman" w:hAnsi="Times New Roman"/>
          <w:sz w:val="20"/>
        </w:rPr>
        <w:t xml:space="preserve">, together with their successors and permitted assigns, in each case. </w:t>
      </w:r>
    </w:p>
    <w:p>
      <w:pPr>
        <w:pStyle w:val="TextBody"/>
        <w:bidi w:val="0"/>
        <w:spacing w:before="240" w:after="0"/>
        <w:jc w:val="left"/>
        <w:rPr/>
      </w:pPr>
      <w:r>
        <w:rPr/>
        <w:t>“</w:t>
      </w:r>
      <w:r>
        <w:rPr>
          <w:rFonts w:ascii="Times New Roman" w:hAnsi="Times New Roman"/>
          <w:sz w:val="20"/>
          <w:u w:val="single"/>
        </w:rPr>
        <w:t>Subsidiary Guaranty</w:t>
      </w:r>
      <w:r>
        <w:rPr>
          <w:rFonts w:ascii="Times New Roman" w:hAnsi="Times New Roman"/>
          <w:sz w:val="20"/>
        </w:rPr>
        <w:t xml:space="preserve">” means the Amended and Restated Subsidiary Guaranty Agreement dated as of August 10, 2010 (as amended on October 2, 2017 and as may be further amended, amended and restated, supplemented or otherwise modified from time to time) by and among the Borrower, the Subsidiary Guarantors and the Administrative Agent in the form attached hereto as </w:t>
      </w:r>
      <w:r>
        <w:rPr>
          <w:rFonts w:ascii="Times New Roman" w:hAnsi="Times New Roman"/>
          <w:sz w:val="20"/>
          <w:u w:val="single"/>
        </w:rPr>
        <w:t>Exhibit 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Swap Bank</w:t>
      </w:r>
      <w:r>
        <w:rPr>
          <w:rFonts w:ascii="Times New Roman" w:hAnsi="Times New Roman"/>
          <w:sz w:val="20"/>
        </w:rPr>
        <w:t xml:space="preserve">” means any Person party to a Swap Contract (whether entered into on or prior to the Closing Date) who was the Administrative Agent, a Lender or an Affiliate of the Administrative Agent or a Lender as of the Closing Date or, if later, at the time it entered into such Swap Contract, in its capacity as a party thereto, whether or not such Person subsequently ceases to be the Administrative Agent, a Lender or an Affiliate of the Administrative Agent or a Lender. </w:t>
      </w:r>
    </w:p>
    <w:p>
      <w:pPr>
        <w:pStyle w:val="TextBody"/>
        <w:bidi w:val="0"/>
        <w:spacing w:before="240" w:after="0"/>
        <w:jc w:val="left"/>
        <w:rPr/>
      </w:pPr>
      <w:r>
        <w:rPr/>
        <w:t>“</w:t>
      </w:r>
      <w:r>
        <w:rPr>
          <w:rFonts w:ascii="Times New Roman" w:hAnsi="Times New Roman"/>
          <w:sz w:val="20"/>
          <w:u w:val="single"/>
        </w:rPr>
        <w:t>Swap Contract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(excluding, for the avoidance of doubt, any option imbedded in any Convertible Indebtedness),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sz w:val="20"/>
          <w:u w:val="single"/>
        </w:rPr>
        <w:t>Swap Obligations</w:t>
      </w:r>
      <w:r>
        <w:rPr>
          <w:rFonts w:ascii="Times New Roman" w:hAnsi="Times New Roman"/>
          <w:sz w:val="20"/>
        </w:rPr>
        <w:t xml:space="preserve">” means with respect to any Subsidiary Guarantor any obligation to pay or perform under any agreement, contract or transaction that constitutes a “swap” within the meaning of Section 1a(47) of the Commodity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Swap Termination Value</w:t>
      </w:r>
      <w:r>
        <w:rPr>
          <w:rFonts w:ascii="Times New Roman" w:hAnsi="Times New Roman"/>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p>
    <w:p>
      <w:pPr>
        <w:pStyle w:val="TextBody"/>
        <w:bidi w:val="0"/>
        <w:spacing w:before="240" w:after="0"/>
        <w:jc w:val="left"/>
        <w:rPr/>
      </w:pPr>
      <w:r>
        <w:rPr/>
        <w:t>“</w:t>
      </w:r>
      <w:r>
        <w:rPr>
          <w:rFonts w:ascii="Times New Roman" w:hAnsi="Times New Roman"/>
          <w:sz w:val="20"/>
          <w:u w:val="single"/>
        </w:rPr>
        <w:t>Swing Line</w:t>
      </w:r>
      <w:r>
        <w:rPr>
          <w:rFonts w:ascii="Times New Roman" w:hAnsi="Times New Roman"/>
          <w:sz w:val="20"/>
        </w:rPr>
        <w:t xml:space="preserve">” means the revolving credit facility made available by the Swing Line Lender pursuant to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Swing Line Borrowing</w:t>
      </w:r>
      <w:r>
        <w:rPr>
          <w:rFonts w:ascii="Times New Roman" w:hAnsi="Times New Roman"/>
          <w:sz w:val="20"/>
        </w:rPr>
        <w:t xml:space="preserve">” means a borrowing of a Swing Line Loan pursuant to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Swing Line Commitment</w:t>
      </w:r>
      <w:r>
        <w:rPr>
          <w:rFonts w:ascii="Times New Roman" w:hAnsi="Times New Roman"/>
          <w:sz w:val="20"/>
        </w:rPr>
        <w:t xml:space="preserve">” shall mean, with respect to each Swing Line Lender, the commitment of such Swing Line Lender to make Swing Line Loans up to the amount set forth opposite the name of such Swing Line Lender on </w:t>
      </w:r>
      <w:r>
        <w:rPr>
          <w:rFonts w:ascii="Times New Roman" w:hAnsi="Times New Roman"/>
          <w:sz w:val="20"/>
          <w:u w:val="single"/>
        </w:rPr>
        <w:t>Schedule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Swing Line Lender</w:t>
      </w:r>
      <w:r>
        <w:rPr>
          <w:rFonts w:ascii="Times New Roman" w:hAnsi="Times New Roman"/>
          <w:sz w:val="20"/>
        </w:rPr>
        <w:t xml:space="preserve">” means, individually or collectively as the context may indicate, (a) Bank of America in its capacity as provider of Swing Line Loans or any successor of Bank of America in its capacity as a swing line lender hereunder, (b) each other Revolving Credit Lender with a Swing Line Commitment set forth on </w:t>
      </w:r>
      <w:r>
        <w:rPr>
          <w:rFonts w:ascii="Times New Roman" w:hAnsi="Times New Roman"/>
          <w:sz w:val="20"/>
          <w:u w:val="single"/>
        </w:rPr>
        <w:t>Schedule 2.01</w:t>
      </w:r>
      <w:r>
        <w:rPr>
          <w:rFonts w:ascii="Times New Roman" w:hAnsi="Times New Roman"/>
          <w:sz w:val="20"/>
        </w:rPr>
        <w:t xml:space="preserve"> and (c) any other Revolving Credit Lender, selected by the Borrower (with the consent of the Administrative Agent and such Revolving Credit Lender, which consent, in the case of the Administrative Agent shall not be unreasonably withheld or delayed) to be a Swing Line Lender hereunder, or any successor to such Lender in its capacity as a Swing Line Lender hereunder. </w:t>
      </w:r>
    </w:p>
    <w:p>
      <w:pPr>
        <w:pStyle w:val="TextBody"/>
        <w:bidi w:val="0"/>
        <w:spacing w:before="240" w:after="0"/>
        <w:jc w:val="left"/>
        <w:rPr/>
      </w:pPr>
      <w:r>
        <w:rPr/>
        <w:t>“</w:t>
      </w:r>
      <w:r>
        <w:rPr>
          <w:rFonts w:ascii="Times New Roman" w:hAnsi="Times New Roman"/>
          <w:sz w:val="20"/>
          <w:u w:val="single"/>
        </w:rPr>
        <w:t>Swing Line Loan</w:t>
      </w:r>
      <w:r>
        <w:rPr>
          <w:rFonts w:ascii="Times New Roman" w:hAnsi="Times New Roman"/>
          <w:sz w:val="20"/>
        </w:rPr>
        <w:t xml:space="preserve">” has the meaning specified in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Swing Line Loan Notice</w:t>
      </w:r>
      <w:r>
        <w:rPr>
          <w:rFonts w:ascii="Times New Roman" w:hAnsi="Times New Roman"/>
          <w:sz w:val="20"/>
        </w:rPr>
        <w:t xml:space="preserve">” means a notice of a Swing Line Borrowing pursuant to </w:t>
      </w:r>
      <w:r>
        <w:rPr>
          <w:rFonts w:ascii="Times New Roman" w:hAnsi="Times New Roman"/>
          <w:sz w:val="20"/>
          <w:u w:val="single"/>
        </w:rPr>
        <w:t>Section 2.04(b)</w:t>
      </w:r>
      <w:r>
        <w:rPr>
          <w:rFonts w:ascii="Times New Roman" w:hAnsi="Times New Roman"/>
          <w:sz w:val="20"/>
        </w:rPr>
        <w:t xml:space="preserve">, which shall be substantially in the form of </w:t>
      </w:r>
      <w:r>
        <w:rPr>
          <w:rFonts w:ascii="Times New Roman" w:hAnsi="Times New Roman"/>
          <w:sz w:val="20"/>
          <w:u w:val="single"/>
        </w:rPr>
        <w:t>Exhibit B</w:t>
      </w:r>
      <w:r>
        <w:rPr>
          <w:rFonts w:ascii="Times New Roman" w:hAnsi="Times New Roman"/>
          <w:sz w:val="20"/>
        </w:rPr>
        <w:t xml:space="preserve"> hereto or such other form as approved by the Administrative Agent (including any form on an electronic platform of electronic transmission system as shall be approved by the Administrative Agent), appropriately completed and signed by a Responsible Officer of the Borrower. </w:t>
      </w:r>
    </w:p>
    <w:p>
      <w:pPr>
        <w:pStyle w:val="TextBody"/>
        <w:bidi w:val="0"/>
        <w:spacing w:before="240" w:after="0"/>
        <w:jc w:val="left"/>
        <w:rPr/>
      </w:pPr>
      <w:r>
        <w:rPr/>
        <w:t>“</w:t>
      </w:r>
      <w:r>
        <w:rPr>
          <w:rFonts w:ascii="Times New Roman" w:hAnsi="Times New Roman"/>
          <w:sz w:val="20"/>
          <w:u w:val="single"/>
        </w:rPr>
        <w:t>Swing Line Sublimit</w:t>
      </w:r>
      <w:r>
        <w:rPr>
          <w:rFonts w:ascii="Times New Roman" w:hAnsi="Times New Roman"/>
          <w:sz w:val="20"/>
        </w:rPr>
        <w:t xml:space="preserve">” means an amount equal to the lesser of (a) $60,000,000 and (b) the Revolving Credit Facility. The Swing Line Sublimit is part of, and not in addition to, the Revolving Credit Facility.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A Borrowing</w:t>
      </w:r>
      <w:r>
        <w:rPr>
          <w:rFonts w:ascii="Times New Roman" w:hAnsi="Times New Roman"/>
          <w:sz w:val="20"/>
        </w:rPr>
        <w:t xml:space="preserve">” means a borrowing consisting of simultaneous Term A Loans of the same Class and Type and, in the case of Term SOFR Loans, having the same Interest Period, made by each applicable Term A Lender pursuant to </w:t>
      </w:r>
      <w:r>
        <w:rPr>
          <w:rFonts w:ascii="Times New Roman" w:hAnsi="Times New Roman"/>
          <w:sz w:val="20"/>
          <w:u w:val="single"/>
        </w:rPr>
        <w:t>Section 2.01(a)</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xml:space="preserve">, as the case may be. </w:t>
      </w:r>
    </w:p>
    <w:p>
      <w:pPr>
        <w:pStyle w:val="TextBody"/>
        <w:bidi w:val="0"/>
        <w:spacing w:before="240" w:after="0"/>
        <w:jc w:val="left"/>
        <w:rPr/>
      </w:pPr>
      <w:r>
        <w:rPr/>
        <w:t>“</w:t>
      </w:r>
      <w:r>
        <w:rPr>
          <w:rFonts w:ascii="Times New Roman" w:hAnsi="Times New Roman"/>
          <w:sz w:val="20"/>
          <w:u w:val="single"/>
        </w:rPr>
        <w:t>Term A Commitment</w:t>
      </w:r>
      <w:r>
        <w:rPr>
          <w:rFonts w:ascii="Times New Roman" w:hAnsi="Times New Roman"/>
          <w:sz w:val="20"/>
        </w:rPr>
        <w:t xml:space="preserve">” means, as to each Term A Lender, such Term A Lender’s obligation, if any, to make Term A Loans to the Borrower pursuant to </w:t>
      </w:r>
      <w:r>
        <w:rPr>
          <w:rFonts w:ascii="Times New Roman" w:hAnsi="Times New Roman"/>
          <w:sz w:val="20"/>
          <w:u w:val="single"/>
        </w:rPr>
        <w:t>Section 2.01(a)</w:t>
      </w:r>
      <w:r>
        <w:rPr>
          <w:rFonts w:ascii="Times New Roman" w:hAnsi="Times New Roman"/>
          <w:sz w:val="20"/>
        </w:rPr>
        <w:t xml:space="preserve"> in an aggregate principal amount at any one time outstanding not to exceed the amount set forth opposite such Term A Lender’s name on </w:t>
      </w:r>
      <w:r>
        <w:rPr>
          <w:rFonts w:ascii="Times New Roman" w:hAnsi="Times New Roman"/>
          <w:sz w:val="20"/>
          <w:u w:val="single"/>
        </w:rPr>
        <w:t>Schedule 2.01</w:t>
      </w:r>
      <w:r>
        <w:rPr>
          <w:rFonts w:ascii="Times New Roman" w:hAnsi="Times New Roman"/>
          <w:sz w:val="20"/>
        </w:rPr>
        <w:t xml:space="preserve"> under the caption “Term A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A Facility</w:t>
      </w:r>
      <w:r>
        <w:rPr>
          <w:rFonts w:ascii="Times New Roman" w:hAnsi="Times New Roman"/>
          <w:sz w:val="20"/>
        </w:rPr>
        <w:t xml:space="preserve">” means, at any time, (a) on or prior to the Closing Date, the aggregate amount of the Term A Commitments at such time and (b) at any other time after the Closing Date, the aggregate principal amount of the Term A Loans of all Term A Lenders outstanding at such time. </w:t>
      </w:r>
    </w:p>
    <w:p>
      <w:pPr>
        <w:pStyle w:val="TextBody"/>
        <w:bidi w:val="0"/>
        <w:spacing w:before="240" w:after="0"/>
        <w:jc w:val="left"/>
        <w:rPr/>
      </w:pPr>
      <w:r>
        <w:rPr/>
        <w:t>“</w:t>
      </w:r>
      <w:r>
        <w:rPr>
          <w:rFonts w:ascii="Times New Roman" w:hAnsi="Times New Roman"/>
          <w:sz w:val="20"/>
          <w:u w:val="single"/>
        </w:rPr>
        <w:t>Term A Lender</w:t>
      </w:r>
      <w:r>
        <w:rPr>
          <w:rFonts w:ascii="Times New Roman" w:hAnsi="Times New Roman"/>
          <w:sz w:val="20"/>
        </w:rPr>
        <w:t xml:space="preserve">” means (a) on or prior to the Closing Date, any Lender that holds a Term A Commitment at such time and (b) at any other time after the Closing Date, any Lender that holds Term A Loans at such time. </w:t>
      </w:r>
    </w:p>
    <w:p>
      <w:pPr>
        <w:pStyle w:val="TextBody"/>
        <w:bidi w:val="0"/>
        <w:spacing w:before="240" w:after="0"/>
        <w:jc w:val="left"/>
        <w:rPr/>
      </w:pPr>
      <w:r>
        <w:rPr/>
        <w:t>“</w:t>
      </w:r>
      <w:r>
        <w:rPr>
          <w:rFonts w:ascii="Times New Roman" w:hAnsi="Times New Roman"/>
          <w:sz w:val="20"/>
          <w:u w:val="single"/>
        </w:rPr>
        <w:t>Term A Loan</w:t>
      </w:r>
      <w:r>
        <w:rPr>
          <w:rFonts w:ascii="Times New Roman" w:hAnsi="Times New Roman"/>
          <w:sz w:val="20"/>
        </w:rPr>
        <w:t xml:space="preserve">” means an advance made by any Term A Lender under the Term A Facility. </w:t>
      </w:r>
    </w:p>
    <w:p>
      <w:pPr>
        <w:pStyle w:val="TextBody"/>
        <w:bidi w:val="0"/>
        <w:spacing w:before="240" w:after="0"/>
        <w:jc w:val="left"/>
        <w:rPr/>
      </w:pPr>
      <w:r>
        <w:rPr/>
        <w:t>“</w:t>
      </w:r>
      <w:r>
        <w:rPr>
          <w:rFonts w:ascii="Times New Roman" w:hAnsi="Times New Roman"/>
          <w:sz w:val="20"/>
          <w:u w:val="single"/>
        </w:rPr>
        <w:t>Term A Note</w:t>
      </w:r>
      <w:r>
        <w:rPr>
          <w:rFonts w:ascii="Times New Roman" w:hAnsi="Times New Roman"/>
          <w:sz w:val="20"/>
        </w:rPr>
        <w:t xml:space="preserve">” means a promissory note made by the Borrower in favor of a Term A Lender evidencing Term A Loans made by such Term A Lender, substantially in the form of </w:t>
      </w:r>
      <w:r>
        <w:rPr>
          <w:rFonts w:ascii="Times New Roman" w:hAnsi="Times New Roman"/>
          <w:sz w:val="20"/>
          <w:u w:val="single"/>
        </w:rPr>
        <w:t>Exhibit C-1</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Term B Borrowing</w:t>
      </w:r>
      <w:r>
        <w:rPr>
          <w:rFonts w:ascii="Times New Roman" w:hAnsi="Times New Roman"/>
          <w:sz w:val="20"/>
        </w:rPr>
        <w:t xml:space="preserve">” means a borrowing consisting of simultaneous Term B Loans of the same Class and Type and, in the case of Term SOFR Loans, having the same Interest Period, made by each applicable Term B Lender pursuant to </w:t>
      </w:r>
      <w:r>
        <w:rPr>
          <w:rFonts w:ascii="Times New Roman" w:hAnsi="Times New Roman"/>
          <w:sz w:val="20"/>
          <w:u w:val="single"/>
        </w:rPr>
        <w:t>Section 2.01(a)</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xml:space="preserve">, as the case may be. </w:t>
      </w:r>
    </w:p>
    <w:p>
      <w:pPr>
        <w:pStyle w:val="TextBody"/>
        <w:bidi w:val="0"/>
        <w:spacing w:before="240" w:after="0"/>
        <w:jc w:val="left"/>
        <w:rPr/>
      </w:pPr>
      <w:r>
        <w:rPr/>
        <w:t>“</w:t>
      </w:r>
      <w:r>
        <w:rPr>
          <w:rFonts w:ascii="Times New Roman" w:hAnsi="Times New Roman"/>
          <w:sz w:val="20"/>
          <w:u w:val="single"/>
        </w:rPr>
        <w:t>Term B Commitment</w:t>
      </w:r>
      <w:r>
        <w:rPr>
          <w:rFonts w:ascii="Times New Roman" w:hAnsi="Times New Roman"/>
          <w:sz w:val="20"/>
        </w:rPr>
        <w:t xml:space="preserve">” means, as to each Term B Lender, such Term B Lender’s obligation, if any, to make Term B Loans to the Borrower pursuant to </w:t>
      </w:r>
      <w:r>
        <w:rPr>
          <w:rFonts w:ascii="Times New Roman" w:hAnsi="Times New Roman"/>
          <w:sz w:val="20"/>
          <w:u w:val="single"/>
        </w:rPr>
        <w:t>Section 2.01(b)</w:t>
      </w:r>
      <w:r>
        <w:rPr>
          <w:rFonts w:ascii="Times New Roman" w:hAnsi="Times New Roman"/>
          <w:sz w:val="20"/>
        </w:rPr>
        <w:t xml:space="preserve"> in an aggregate principal amount at any one time outstanding not to exceed the amount set forth opposite such Term B Lender’s name on </w:t>
      </w:r>
      <w:r>
        <w:rPr>
          <w:rFonts w:ascii="Times New Roman" w:hAnsi="Times New Roman"/>
          <w:sz w:val="20"/>
          <w:u w:val="single"/>
        </w:rPr>
        <w:t>Schedule 2.01</w:t>
      </w:r>
      <w:r>
        <w:rPr>
          <w:rFonts w:ascii="Times New Roman" w:hAnsi="Times New Roman"/>
          <w:sz w:val="20"/>
        </w:rPr>
        <w:t xml:space="preserve"> under the caption “Term B Commitment”. </w:t>
      </w:r>
    </w:p>
    <w:p>
      <w:pPr>
        <w:pStyle w:val="TextBody"/>
        <w:bidi w:val="0"/>
        <w:spacing w:before="240" w:after="0"/>
        <w:jc w:val="left"/>
        <w:rPr/>
      </w:pPr>
      <w:r>
        <w:rPr/>
        <w:t>“</w:t>
      </w:r>
      <w:r>
        <w:rPr>
          <w:rFonts w:ascii="Times New Roman" w:hAnsi="Times New Roman"/>
          <w:sz w:val="20"/>
          <w:u w:val="single"/>
        </w:rPr>
        <w:t>Term B Facility</w:t>
      </w:r>
      <w:r>
        <w:rPr>
          <w:rFonts w:ascii="Times New Roman" w:hAnsi="Times New Roman"/>
          <w:sz w:val="20"/>
        </w:rPr>
        <w:t xml:space="preserve">” means, at any time, (a) on or prior to the Closing Date, the aggregate amount of the Term B Commitments at such time and (b) thereafter, the aggregate principal amount of the Term B Loans of all Term B Lenders outstanding at such time. </w:t>
      </w:r>
    </w:p>
    <w:p>
      <w:pPr>
        <w:pStyle w:val="TextBody"/>
        <w:bidi w:val="0"/>
        <w:spacing w:before="240" w:after="0"/>
        <w:jc w:val="left"/>
        <w:rPr/>
      </w:pPr>
      <w:r>
        <w:rPr/>
        <w:t>“</w:t>
      </w:r>
      <w:r>
        <w:rPr>
          <w:rFonts w:ascii="Times New Roman" w:hAnsi="Times New Roman"/>
          <w:sz w:val="20"/>
          <w:u w:val="single"/>
        </w:rPr>
        <w:t>Term B Lender</w:t>
      </w:r>
      <w:r>
        <w:rPr>
          <w:rFonts w:ascii="Times New Roman" w:hAnsi="Times New Roman"/>
          <w:sz w:val="20"/>
        </w:rPr>
        <w:t xml:space="preserve">” means at any time, (a) on or prior to the Closing Date, any Lender that has a Term B Commitment at such time and (b) at any time after the Closing Date, any Lender that holds Term B Loans at such time. </w:t>
      </w:r>
    </w:p>
    <w:p>
      <w:pPr>
        <w:pStyle w:val="TextBody"/>
        <w:bidi w:val="0"/>
        <w:spacing w:before="240" w:after="0"/>
        <w:jc w:val="left"/>
        <w:rPr/>
      </w:pPr>
      <w:r>
        <w:rPr/>
        <w:t>“</w:t>
      </w:r>
      <w:r>
        <w:rPr>
          <w:rFonts w:ascii="Times New Roman" w:hAnsi="Times New Roman"/>
          <w:sz w:val="20"/>
          <w:u w:val="single"/>
        </w:rPr>
        <w:t>Term B Loan</w:t>
      </w:r>
      <w:r>
        <w:rPr>
          <w:rFonts w:ascii="Times New Roman" w:hAnsi="Times New Roman"/>
          <w:sz w:val="20"/>
        </w:rPr>
        <w:t xml:space="preserve">” means an advance made by any Term B Lender under the Term B Facility. </w:t>
      </w:r>
    </w:p>
    <w:p>
      <w:pPr>
        <w:pStyle w:val="TextBody"/>
        <w:bidi w:val="0"/>
        <w:spacing w:before="240" w:after="0"/>
        <w:jc w:val="left"/>
        <w:rPr/>
      </w:pPr>
      <w:r>
        <w:rPr/>
        <w:t>“</w:t>
      </w:r>
      <w:r>
        <w:rPr>
          <w:rFonts w:ascii="Times New Roman" w:hAnsi="Times New Roman"/>
          <w:sz w:val="20"/>
          <w:u w:val="single"/>
        </w:rPr>
        <w:t>Term B Note</w:t>
      </w:r>
      <w:r>
        <w:rPr>
          <w:rFonts w:ascii="Times New Roman" w:hAnsi="Times New Roman"/>
          <w:sz w:val="20"/>
        </w:rPr>
        <w:t xml:space="preserve">” means a promissory note made by the Borrower in favor of a Term B Lender evidencing Term B Loans made by such Term B Lender, substantially in the form of </w:t>
      </w:r>
      <w:r>
        <w:rPr>
          <w:rFonts w:ascii="Times New Roman" w:hAnsi="Times New Roman"/>
          <w:sz w:val="20"/>
          <w:u w:val="single"/>
        </w:rPr>
        <w:t>Exhibit C-2</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Term Borrowing</w:t>
      </w:r>
      <w:r>
        <w:rPr>
          <w:rFonts w:ascii="Times New Roman" w:hAnsi="Times New Roman"/>
          <w:sz w:val="20"/>
        </w:rPr>
        <w:t xml:space="preserve">” means either a Term A Borrowing or a Term B Borrowing. </w:t>
      </w:r>
    </w:p>
    <w:p>
      <w:pPr>
        <w:pStyle w:val="TextBody"/>
        <w:bidi w:val="0"/>
        <w:spacing w:before="240" w:after="0"/>
        <w:jc w:val="left"/>
        <w:rPr/>
      </w:pPr>
      <w:r>
        <w:rPr/>
        <w:t>“</w:t>
      </w:r>
      <w:r>
        <w:rPr>
          <w:rFonts w:ascii="Times New Roman" w:hAnsi="Times New Roman"/>
          <w:sz w:val="20"/>
          <w:u w:val="single"/>
        </w:rPr>
        <w:t>Term Commitment</w:t>
      </w:r>
      <w:r>
        <w:rPr>
          <w:rFonts w:ascii="Times New Roman" w:hAnsi="Times New Roman"/>
          <w:sz w:val="20"/>
        </w:rPr>
        <w:t xml:space="preserve">” means either a Term A Commitment or a Term B Commitment. </w:t>
      </w:r>
    </w:p>
    <w:p>
      <w:pPr>
        <w:pStyle w:val="TextBody"/>
        <w:bidi w:val="0"/>
        <w:spacing w:before="240" w:after="0"/>
        <w:jc w:val="left"/>
        <w:rPr/>
      </w:pPr>
      <w:r>
        <w:rPr/>
        <w:t>“</w:t>
      </w:r>
      <w:r>
        <w:rPr>
          <w:rFonts w:ascii="Times New Roman" w:hAnsi="Times New Roman"/>
          <w:sz w:val="20"/>
          <w:u w:val="single"/>
        </w:rPr>
        <w:t>Term Facilities</w:t>
      </w:r>
      <w:r>
        <w:rPr>
          <w:rFonts w:ascii="Times New Roman" w:hAnsi="Times New Roman"/>
          <w:sz w:val="20"/>
        </w:rPr>
        <w:t xml:space="preserve">” means, at any time, the Term A Facility and the Term B Facility. </w:t>
      </w:r>
    </w:p>
    <w:p>
      <w:pPr>
        <w:pStyle w:val="TextBody"/>
        <w:bidi w:val="0"/>
        <w:spacing w:before="240" w:after="0"/>
        <w:jc w:val="left"/>
        <w:rPr/>
      </w:pPr>
      <w:r>
        <w:rPr/>
        <w:t>“</w:t>
      </w:r>
      <w:r>
        <w:rPr>
          <w:rFonts w:ascii="Times New Roman" w:hAnsi="Times New Roman"/>
          <w:sz w:val="20"/>
          <w:u w:val="single"/>
        </w:rPr>
        <w:t>Term Lender</w:t>
      </w:r>
      <w:r>
        <w:rPr>
          <w:rFonts w:ascii="Times New Roman" w:hAnsi="Times New Roman"/>
          <w:sz w:val="20"/>
        </w:rPr>
        <w:t xml:space="preserve">” means, at any time, a Term A Lender or a Term B Lender. </w:t>
      </w:r>
    </w:p>
    <w:p>
      <w:pPr>
        <w:pStyle w:val="TextBody"/>
        <w:bidi w:val="0"/>
        <w:spacing w:before="240" w:after="0"/>
        <w:jc w:val="left"/>
        <w:rPr/>
      </w:pPr>
      <w:r>
        <w:rPr/>
        <w:t>“</w:t>
      </w:r>
      <w:r>
        <w:rPr>
          <w:rFonts w:ascii="Times New Roman" w:hAnsi="Times New Roman"/>
          <w:sz w:val="20"/>
          <w:u w:val="single"/>
        </w:rPr>
        <w:t>Term Loan</w:t>
      </w:r>
      <w:r>
        <w:rPr>
          <w:rFonts w:ascii="Times New Roman" w:hAnsi="Times New Roman"/>
          <w:sz w:val="20"/>
        </w:rPr>
        <w:t xml:space="preserve">” means a Term A Loan, a Term B Loan, an Incremental Term Loan or a Refinancing Term Loan.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hAnsi="Times New Roman"/>
          <w:sz w:val="20"/>
          <w:u w:val="single"/>
        </w:rPr>
        <w:t>provided</w:t>
      </w:r>
      <w:r>
        <w:rPr>
          <w:rFonts w:ascii="Times New Roman" w:hAnsi="Times New Roman"/>
          <w:sz w:val="20"/>
        </w:rPr>
        <w:t xml:space="preserve"> that if the rate is not published prior to 11:00 a.m. on such determination date then Term SOFR means the Term SOFR Screen Rate on the first U.S. Government Securities Business Day immediately prior thereto, in each case</w:t>
      </w:r>
      <w:r>
        <w:rPr>
          <w:rFonts w:ascii="Times New Roman" w:hAnsi="Times New Roman"/>
          <w:b/>
          <w:sz w:val="20"/>
        </w:rPr>
        <w:t xml:space="preserve">; </w:t>
      </w:r>
      <w:r>
        <w:rPr>
          <w:rFonts w:ascii="Times New Roman" w:hAnsi="Times New Roman"/>
          <w:sz w:val="20"/>
        </w:rPr>
        <w:t xml:space="preserve">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hAnsi="Times New Roman"/>
          <w:sz w:val="20"/>
          <w:u w:val="single"/>
        </w:rPr>
        <w:t>provided</w:t>
      </w:r>
      <w:r>
        <w:rPr>
          <w:rFonts w:ascii="Times New Roman" w:hAnsi="Times New Roman"/>
          <w:sz w:val="20"/>
        </w:rPr>
        <w:t xml:space="preserve"> that if the rate is not published prior to 11:00 a.m. on such determination date then Term SOFR means the Term SOFR Screen Rate on the first U.S. Government Securities Business Day immediately prior thereto, in each case;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the Term SOFR determined in accordance with either of the foregoing provisions (a) or (b) of this definition would otherwise be less than zero, Term SOFR shall be deemed zero for purposes of this Agreement. </w:t>
      </w:r>
    </w:p>
    <w:p>
      <w:pPr>
        <w:pStyle w:val="TextBody"/>
        <w:bidi w:val="0"/>
        <w:spacing w:before="240" w:after="0"/>
        <w:jc w:val="left"/>
        <w:rPr/>
      </w:pPr>
      <w:r>
        <w:rPr/>
        <w:t>“</w:t>
      </w:r>
      <w:r>
        <w:rPr>
          <w:rFonts w:ascii="Times New Roman" w:hAnsi="Times New Roman"/>
          <w:sz w:val="20"/>
          <w:u w:val="single"/>
        </w:rPr>
        <w:t>Term SOFR Loan</w:t>
      </w:r>
      <w:r>
        <w:rPr>
          <w:rFonts w:ascii="Times New Roman" w:hAnsi="Times New Roman"/>
          <w:sz w:val="20"/>
        </w:rPr>
        <w:t xml:space="preserve">” means a Revolving Credit Loan or a Term Loan that bears interest at a rate based on clause (a) of the definition of “Term SOFR.” </w:t>
      </w:r>
    </w:p>
    <w:p>
      <w:pPr>
        <w:pStyle w:val="TextBody"/>
        <w:bidi w:val="0"/>
        <w:spacing w:before="240" w:after="0"/>
        <w:jc w:val="left"/>
        <w:rPr/>
      </w:pPr>
      <w:r>
        <w:rPr/>
        <w:t>“</w:t>
      </w:r>
      <w:r>
        <w:rPr>
          <w:rFonts w:ascii="Times New Roman" w:hAnsi="Times New Roman"/>
          <w:sz w:val="20"/>
          <w:u w:val="single"/>
        </w:rPr>
        <w:t>Term SOFR Replacement Date</w:t>
      </w:r>
      <w:r>
        <w:rPr>
          <w:rFonts w:ascii="Times New Roman" w:hAnsi="Times New Roman"/>
          <w:sz w:val="20"/>
        </w:rPr>
        <w:t xml:space="preserve">” has the meaning specified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 SOFR Screen Rate</w:t>
      </w:r>
      <w:r>
        <w:rPr>
          <w:rFonts w:ascii="Times New Roman" w:hAnsi="Times New Roman"/>
          <w:sz w:val="20"/>
        </w:rPr>
        <w:t xml:space="preserve">”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p>
    <w:p>
      <w:pPr>
        <w:pStyle w:val="TextBody"/>
        <w:bidi w:val="0"/>
        <w:spacing w:before="240" w:after="0"/>
        <w:jc w:val="left"/>
        <w:rPr/>
      </w:pPr>
      <w:r>
        <w:rPr/>
        <w:t>“</w:t>
      </w:r>
      <w:r>
        <w:rPr>
          <w:rFonts w:ascii="Times New Roman" w:hAnsi="Times New Roman"/>
          <w:sz w:val="20"/>
          <w:u w:val="single"/>
        </w:rPr>
        <w:t>Threshold Amount</w:t>
      </w:r>
      <w:r>
        <w:rPr>
          <w:rFonts w:ascii="Times New Roman" w:hAnsi="Times New Roman"/>
          <w:sz w:val="20"/>
        </w:rPr>
        <w:t xml:space="preserve">” means $75,000,000. </w:t>
      </w:r>
    </w:p>
    <w:p>
      <w:pPr>
        <w:pStyle w:val="TextBody"/>
        <w:bidi w:val="0"/>
        <w:spacing w:before="240" w:after="0"/>
        <w:jc w:val="left"/>
        <w:rPr/>
      </w:pPr>
      <w:r>
        <w:rPr/>
        <w:t>“</w:t>
      </w:r>
      <w:r>
        <w:rPr>
          <w:rFonts w:ascii="Times New Roman" w:hAnsi="Times New Roman"/>
          <w:sz w:val="20"/>
          <w:u w:val="single"/>
        </w:rPr>
        <w:t>Total Outstandings</w:t>
      </w:r>
      <w:r>
        <w:rPr>
          <w:rFonts w:ascii="Times New Roman" w:hAnsi="Times New Roman"/>
          <w:sz w:val="20"/>
        </w:rPr>
        <w:t xml:space="preserve">” means the aggregate Outstanding Amount of all Loans and all L/C Obligations. </w:t>
      </w:r>
    </w:p>
    <w:p>
      <w:pPr>
        <w:pStyle w:val="TextBody"/>
        <w:bidi w:val="0"/>
        <w:spacing w:before="240" w:after="0"/>
        <w:jc w:val="left"/>
        <w:rPr/>
      </w:pPr>
      <w:r>
        <w:rPr/>
        <w:t>“</w:t>
      </w:r>
      <w:r>
        <w:rPr>
          <w:rFonts w:ascii="Times New Roman" w:hAnsi="Times New Roman"/>
          <w:sz w:val="20"/>
          <w:u w:val="single"/>
        </w:rPr>
        <w:t>Total Revolving Credit Outstandings</w:t>
      </w:r>
      <w:r>
        <w:rPr>
          <w:rFonts w:ascii="Times New Roman" w:hAnsi="Times New Roman"/>
          <w:sz w:val="20"/>
        </w:rPr>
        <w:t xml:space="preserve">” means the aggregate Outstanding Amount of all Revolving Credit Loans, Swing Line Loans and all L/C Obligations.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has the meaning specified in the recitals hereto. </w:t>
      </w:r>
    </w:p>
    <w:p>
      <w:pPr>
        <w:pStyle w:val="TextBody"/>
        <w:bidi w:val="0"/>
        <w:spacing w:before="240" w:after="0"/>
        <w:jc w:val="left"/>
        <w:rPr/>
      </w:pPr>
      <w:r>
        <w:rPr/>
        <w:t>“</w:t>
      </w:r>
      <w:r>
        <w:rPr>
          <w:rFonts w:ascii="Times New Roman" w:hAnsi="Times New Roman"/>
          <w:sz w:val="20"/>
          <w:u w:val="single"/>
        </w:rPr>
        <w:t>Transformative Acquisition</w:t>
      </w:r>
      <w:r>
        <w:rPr>
          <w:rFonts w:ascii="Times New Roman" w:hAnsi="Times New Roman"/>
          <w:sz w:val="20"/>
        </w:rPr>
        <w:t xml:space="preserve">” means any acquisition by the Borrower or any Subsidiary that (i) is not permitted by the terms of the Loan Documents immediately prior to the consummation of such acquisition or (ii) if permitted by the terms of the Loan Documents immediately prior to the consummation of such acquisition, would not provide the Borrower and the Subsidiaries with adequate flexibility under the Loan Documents for the continuation and/or expansion of their combined operations following such consummation, as determined by the Borrower acting in good faith based on projections of the combined business (and such projections shall have been delivered to the Administrative Agent). </w:t>
      </w:r>
    </w:p>
    <w:p>
      <w:pPr>
        <w:pStyle w:val="TextBody"/>
        <w:bidi w:val="0"/>
        <w:spacing w:before="240" w:after="0"/>
        <w:jc w:val="left"/>
        <w:rPr/>
      </w:pPr>
      <w:r>
        <w:rPr/>
        <w:t>“</w:t>
      </w:r>
      <w:r>
        <w:rPr>
          <w:rFonts w:ascii="Times New Roman" w:hAnsi="Times New Roman"/>
          <w:sz w:val="20"/>
          <w:u w:val="single"/>
        </w:rPr>
        <w:t>Transformative Disposition</w:t>
      </w:r>
      <w:r>
        <w:rPr>
          <w:rFonts w:ascii="Times New Roman" w:hAnsi="Times New Roman"/>
          <w:sz w:val="20"/>
        </w:rPr>
        <w:t xml:space="preserve">” means any Disposition by the Borrower or any Subsidiary that (i) is not permitted by the terms of the Loan Documents immediately prior to the consummation of such Disposition or (ii) if permitted by the terms of the Loan Documents immediately prior to the consummation of such Disposition, would not provide the Borrower and the Subsidiaries with adequate flexibility under the Loan Documents for the continuation and/or expansion of their remaining operations following such consummation, as determined by the Borrower acting in good faith based on projections of the remaining business (and such projections shall have been delivered to the Administrative Agent).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has the meaning specified in the definition of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in the State of New York; </w:t>
      </w:r>
      <w:r>
        <w:rPr>
          <w:rFonts w:ascii="Times New Roman" w:hAnsi="Times New Roman"/>
          <w:sz w:val="20"/>
          <w:u w:val="single"/>
        </w:rPr>
        <w:t>provided</w:t>
      </w:r>
      <w:r>
        <w:rPr>
          <w:rFonts w:ascii="Times New Roman" w:hAnsi="Times New Roman"/>
          <w:sz w:val="20"/>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hAnsi="Times New Roman"/>
          <w:sz w:val="20"/>
          <w:u w:val="single"/>
        </w:rPr>
        <w:t>UCC</w:t>
      </w:r>
      <w:r>
        <w:rPr>
          <w:rFonts w:ascii="Times New Roman" w:hAnsi="Times New Roman"/>
          <w:sz w:val="20"/>
        </w:rPr>
        <w:t xml:space="preserve">” means the Uniform Commercial Code as in effect from time to time in such other jurisdiction for purposes of the provisions hereof relating to such perfection, effect of perfection or non-perfection or priority.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mean the United States of America. </w:t>
      </w:r>
    </w:p>
    <w:p>
      <w:pPr>
        <w:pStyle w:val="TextBody"/>
        <w:bidi w:val="0"/>
        <w:spacing w:before="240" w:after="0"/>
        <w:jc w:val="left"/>
        <w:rPr/>
      </w:pPr>
      <w:r>
        <w:rPr/>
        <w:t>“</w:t>
      </w:r>
      <w:r>
        <w:rPr>
          <w:rFonts w:ascii="Times New Roman" w:hAnsi="Times New Roman"/>
          <w:sz w:val="20"/>
          <w:u w:val="single"/>
        </w:rPr>
        <w:t>Unreimbursed Amount</w:t>
      </w:r>
      <w:r>
        <w:rPr>
          <w:rFonts w:ascii="Times New Roman" w:hAnsi="Times New Roman"/>
          <w:sz w:val="20"/>
        </w:rPr>
        <w:t xml:space="preserve">” has the meaning specified in </w:t>
      </w:r>
      <w:r>
        <w:rPr>
          <w:rFonts w:ascii="Times New Roman" w:hAnsi="Times New Roman"/>
          <w:sz w:val="20"/>
          <w:u w:val="single"/>
        </w:rPr>
        <w:t>Section 2.03(c)(i)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specified in </w:t>
      </w:r>
      <w:r>
        <w:rPr>
          <w:rFonts w:ascii="Times New Roman" w:hAnsi="Times New Roman"/>
          <w:sz w:val="20"/>
          <w:u w:val="single"/>
        </w:rPr>
        <w:t>Section 3.01(e)(ii)(B)(III)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 for purposes of Sections 5.32 and 7.19, any United States citizen, lawful permanent resident, entity organized under the laws of the United States or any jurisdiction within the United States, including any foreign branch of any such entity, or any person in the United States and (b) otherwise, any Person that is a “United States person” as defined in Section 7701(a)(30) of the Code.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(Title III of Public Law No. 107-56 (signed into law October 26, 2001)), as amended or modified from time to time. </w:t>
      </w:r>
    </w:p>
    <w:p>
      <w:pPr>
        <w:pStyle w:val="TextBody"/>
        <w:bidi w:val="0"/>
        <w:spacing w:before="240" w:after="0"/>
        <w:jc w:val="left"/>
        <w:rPr/>
      </w:pPr>
      <w:r>
        <w:rPr/>
        <w:t>“</w:t>
      </w:r>
      <w:r>
        <w:rPr>
          <w:rFonts w:ascii="Times New Roman" w:hAnsi="Times New Roman"/>
          <w:sz w:val="20"/>
          <w:u w:val="single"/>
        </w:rPr>
        <w:t>Voting Securities</w:t>
      </w:r>
      <w:r>
        <w:rPr>
          <w:rFonts w:ascii="Times New Roman" w:hAnsi="Times New Roman"/>
          <w:sz w:val="20"/>
        </w:rPr>
        <w:t xml:space="preserve">” means, with respect to any Person, securities or other ownership interests having by the terms thereof ordinary voting power to elect the board of directors or other persons performing similar functions of such Person (irrespective of whether or not at the time securities or other ownership interests of any other class or classes of such Person shall have or might have voting power by reason of the happening of any contingency). </w:t>
      </w:r>
    </w:p>
    <w:p>
      <w:pPr>
        <w:pStyle w:val="TextBody"/>
        <w:bidi w:val="0"/>
        <w:spacing w:before="240" w:after="0"/>
        <w:jc w:val="left"/>
        <w:rPr/>
      </w:pPr>
      <w:r>
        <w:rPr/>
        <w:t>“</w:t>
      </w:r>
      <w:r>
        <w:rPr>
          <w:rFonts w:ascii="Times New Roman" w:hAnsi="Times New Roman"/>
          <w:sz w:val="20"/>
          <w:u w:val="single"/>
        </w:rPr>
        <w:t>Weighted Average Life to Maturity</w:t>
      </w:r>
      <w:r>
        <w:rPr>
          <w:rFonts w:ascii="Times New Roman" w:hAnsi="Times New Roman"/>
          <w:sz w:val="20"/>
        </w:rPr>
        <w:t xml:space="preserve">” means, when applied to any Indebtedness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Wholly-Owned Subsidiary</w:t>
      </w:r>
      <w:r>
        <w:rPr>
          <w:rFonts w:ascii="Times New Roman" w:hAnsi="Times New Roman"/>
          <w:sz w:val="20"/>
        </w:rPr>
        <w:t xml:space="preserve">” means (a) with respect to any Domestic Subsidiary of any Person, a Domestic Subsidiary of such Person that is wholly-owned by such Person and (b) with respect to any Foreign Subsidiary of any Person, either (i) a Foreign Subsidiary of such Person that is wholly-owned by such Person or (ii) if any Law applicable to such Foreign Subsidiary requires that directors of such Foreign Subsidiary own any amount of common Equity Interests in such Foreign Subsidiary, such Foreign Subsidiary of such Person so long as (i) the amount of common Equity Interests in such Foreign Subsidiary owned by such director or directors is the minimum amount required by applicable Law, (ii) ownership of such common Equity Interests does not give such director or directors, individually or in combination, the right or ability to control, directly or indirectly through one or more intermediaries, the management of such Foreign Subsidiary, and (iii) such Person, directly or indirectly, owns all the other Equity Interests in such Foreign Subsidiary other than the Equity Interest held by such director or directors.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b/>
          <w:sz w:val="20"/>
        </w:rPr>
        <w:t>1.02</w:t>
      </w:r>
      <w:r>
        <w:rPr>
          <w:rFonts w:ascii="Times New Roman" w:hAnsi="Times New Roman"/>
          <w:sz w:val="20"/>
        </w:rPr>
        <w:t xml:space="preserve"> </w:t>
      </w:r>
      <w:r>
        <w:rPr>
          <w:rFonts w:ascii="Times New Roman" w:hAnsi="Times New Roman"/>
          <w:b/>
          <w:sz w:val="20"/>
        </w:rPr>
        <w:t>Other Interpretive Provisions.</w:t>
      </w:r>
      <w:r>
        <w:rPr>
          <w:rFonts w:ascii="Times New Roman" w:hAnsi="Times New Roman"/>
          <w:sz w:val="20"/>
        </w:rPr>
        <w:t xml:space="preserve"> With reference to this Agreement and each other Loan Document, unless otherwise specified herein or in such other Loan Document: </w:t>
      </w:r>
    </w:p>
    <w:p>
      <w:pPr>
        <w:pStyle w:val="TextBody"/>
        <w:bidi w:val="0"/>
        <w:spacing w:before="120" w:after="0"/>
        <w:jc w:val="left"/>
        <w:rPr>
          <w:rFonts w:ascii="Times New Roman" w:hAnsi="Times New Roman"/>
          <w:sz w:val="20"/>
        </w:rPr>
      </w:pPr>
      <w:r>
        <w:rPr>
          <w:rFonts w:ascii="Times New Roman" w:hAnsi="Times New Roman"/>
          <w:sz w:val="20"/>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 w:hAnsi="Times New Roman"/>
          <w:sz w:val="20"/>
          <w:u w:val="single"/>
        </w:rPr>
        <w:t>include</w:t>
      </w:r>
      <w:r>
        <w:rPr>
          <w:rFonts w:ascii="Times New Roman" w:hAnsi="Times New Roman"/>
          <w:sz w:val="20"/>
        </w:rPr>
        <w:t>,” “</w:t>
      </w:r>
      <w:r>
        <w:rPr>
          <w:rFonts w:ascii="Times New Roman" w:hAnsi="Times New Roman"/>
          <w:sz w:val="20"/>
          <w:u w:val="single"/>
        </w:rPr>
        <w:t>includes</w:t>
      </w:r>
      <w:r>
        <w:rPr>
          <w:rFonts w:ascii="Times New Roman" w:hAnsi="Times New Roman"/>
          <w:sz w:val="20"/>
        </w:rPr>
        <w:t>” and “</w:t>
      </w:r>
      <w:r>
        <w:rPr>
          <w:rFonts w:ascii="Times New Roman" w:hAnsi="Times New Roman"/>
          <w:sz w:val="20"/>
          <w:u w:val="single"/>
        </w:rPr>
        <w:t>including</w:t>
      </w:r>
      <w:r>
        <w:rPr>
          <w:rFonts w:ascii="Times New Roman" w:hAnsi="Times New Roman"/>
          <w:sz w:val="20"/>
        </w:rPr>
        <w:t>” shall be deemed to be followed by the phrase “</w:t>
      </w:r>
      <w:r>
        <w:rPr>
          <w:rFonts w:ascii="Times New Roman" w:hAnsi="Times New Roman"/>
          <w:sz w:val="20"/>
          <w:u w:val="single"/>
        </w:rPr>
        <w:t>without limitation</w:t>
      </w:r>
      <w:r>
        <w:rPr>
          <w:rFonts w:ascii="Times New Roman" w:hAnsi="Times New Roman"/>
          <w:sz w:val="20"/>
        </w:rPr>
        <w:t>.” The word “</w:t>
      </w:r>
      <w:r>
        <w:rPr>
          <w:rFonts w:ascii="Times New Roman" w:hAnsi="Times New Roman"/>
          <w:sz w:val="20"/>
          <w:u w:val="single"/>
        </w:rPr>
        <w:t>will</w:t>
      </w:r>
      <w:r>
        <w:rPr>
          <w:rFonts w:ascii="Times New Roman" w:hAnsi="Times New Roman"/>
          <w:sz w:val="20"/>
        </w:rPr>
        <w:t>” shall be construed to have the same meaning and effect as the word “</w:t>
      </w:r>
      <w:r>
        <w:rPr>
          <w:rFonts w:ascii="Times New Roman" w:hAnsi="Times New Roman"/>
          <w:sz w:val="20"/>
          <w:u w:val="single"/>
        </w:rPr>
        <w:t>shall</w:t>
      </w:r>
      <w:r>
        <w:rPr>
          <w:rFonts w:ascii="Times New Roman" w:hAnsi="Times New Roman"/>
          <w:sz w:val="20"/>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hAnsi="Times New Roman"/>
          <w:sz w:val="20"/>
          <w:u w:val="single"/>
        </w:rPr>
        <w:t>hereto</w:t>
      </w:r>
      <w:r>
        <w:rPr>
          <w:rFonts w:ascii="Times New Roman" w:hAnsi="Times New Roman"/>
          <w:sz w:val="20"/>
        </w:rPr>
        <w:t>,” “</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hAnsi="Times New Roman"/>
          <w:sz w:val="20"/>
          <w:u w:val="single"/>
        </w:rPr>
        <w:t>asset</w:t>
      </w:r>
      <w:r>
        <w:rPr>
          <w:rFonts w:ascii="Times New Roman" w:hAnsi="Times New Roman"/>
          <w:sz w:val="20"/>
        </w:rPr>
        <w:t>” and “</w:t>
      </w:r>
      <w:r>
        <w:rPr>
          <w:rFonts w:ascii="Times New Roman" w:hAnsi="Times New Roman"/>
          <w:sz w:val="20"/>
          <w:u w:val="single"/>
        </w:rPr>
        <w:t>property</w:t>
      </w:r>
      <w:r>
        <w:rPr>
          <w:rFonts w:ascii="Times New Roman" w:hAnsi="Times New Roman"/>
          <w:sz w:val="20"/>
        </w:rPr>
        <w:t xml:space="preserve">” shall be construed to have the same meaning and effect and to refer to any and all tangible and intangible assets and properties, including cash, securities, accounts and contract rights. </w:t>
      </w:r>
    </w:p>
    <w:p>
      <w:pPr>
        <w:pStyle w:val="TextBody"/>
        <w:bidi w:val="0"/>
        <w:spacing w:before="120" w:after="0"/>
        <w:jc w:val="left"/>
        <w:rPr>
          <w:rFonts w:ascii="Times New Roman" w:hAnsi="Times New Roman"/>
          <w:sz w:val="20"/>
        </w:rPr>
      </w:pPr>
      <w:r>
        <w:rPr>
          <w:rFonts w:ascii="Times New Roman" w:hAnsi="Times New Roman"/>
          <w:sz w:val="20"/>
        </w:rPr>
        <w:t>(b) In the computation of periods of time from a specified date to a later specified date, the word “</w:t>
      </w:r>
      <w:r>
        <w:rPr>
          <w:rFonts w:ascii="Times New Roman" w:hAnsi="Times New Roman"/>
          <w:sz w:val="20"/>
          <w:u w:val="single"/>
        </w:rPr>
        <w:t>from</w:t>
      </w:r>
      <w:r>
        <w:rPr>
          <w:rFonts w:ascii="Times New Roman" w:hAnsi="Times New Roman"/>
          <w:sz w:val="20"/>
        </w:rPr>
        <w:t>” means “</w:t>
      </w:r>
      <w:r>
        <w:rPr>
          <w:rFonts w:ascii="Times New Roman" w:hAnsi="Times New Roman"/>
          <w:sz w:val="20"/>
          <w:u w:val="single"/>
        </w:rPr>
        <w:t>from and including</w:t>
      </w:r>
      <w:r>
        <w:rPr>
          <w:rFonts w:ascii="Times New Roman" w:hAnsi="Times New Roman"/>
          <w:sz w:val="20"/>
        </w:rPr>
        <w:t>;” the words “</w:t>
      </w:r>
      <w:r>
        <w:rPr>
          <w:rFonts w:ascii="Times New Roman" w:hAnsi="Times New Roman"/>
          <w:sz w:val="20"/>
          <w:u w:val="single"/>
        </w:rPr>
        <w:t>to</w:t>
      </w:r>
      <w:r>
        <w:rPr>
          <w:rFonts w:ascii="Times New Roman" w:hAnsi="Times New Roman"/>
          <w:sz w:val="20"/>
        </w:rPr>
        <w:t>” and “</w:t>
      </w:r>
      <w:r>
        <w:rPr>
          <w:rFonts w:ascii="Times New Roman" w:hAnsi="Times New Roman"/>
          <w:sz w:val="20"/>
          <w:u w:val="single"/>
        </w:rPr>
        <w:t>until</w:t>
      </w:r>
      <w:r>
        <w:rPr>
          <w:rFonts w:ascii="Times New Roman" w:hAnsi="Times New Roman"/>
          <w:sz w:val="20"/>
        </w:rPr>
        <w:t>” each mean “</w:t>
      </w:r>
      <w:r>
        <w:rPr>
          <w:rFonts w:ascii="Times New Roman" w:hAnsi="Times New Roman"/>
          <w:sz w:val="20"/>
          <w:u w:val="single"/>
        </w:rPr>
        <w:t>to but excluding</w:t>
      </w:r>
      <w:r>
        <w:rPr>
          <w:rFonts w:ascii="Times New Roman" w:hAnsi="Times New Roman"/>
          <w:sz w:val="20"/>
        </w:rPr>
        <w:t>;” and the word “</w:t>
      </w:r>
      <w:r>
        <w:rPr>
          <w:rFonts w:ascii="Times New Roman" w:hAnsi="Times New Roman"/>
          <w:sz w:val="20"/>
          <w:u w:val="single"/>
        </w:rPr>
        <w:t>through</w:t>
      </w:r>
      <w:r>
        <w:rPr>
          <w:rFonts w:ascii="Times New Roman" w:hAnsi="Times New Roman"/>
          <w:sz w:val="20"/>
        </w:rPr>
        <w:t>” means “</w:t>
      </w:r>
      <w:r>
        <w:rPr>
          <w:rFonts w:ascii="Times New Roman" w:hAnsi="Times New Roman"/>
          <w:sz w:val="20"/>
          <w:u w:val="single"/>
        </w:rPr>
        <w:t>to and including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Section headings herein and in the other Loan Documents are included for convenience of reference only and shall not affect the interpretation of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(d)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rPr>
        <w:t>Accounting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hAnsi="Times New Roman"/>
          <w:sz w:val="20"/>
          <w:u w:val="single"/>
        </w:rPr>
        <w:t>except</w:t>
      </w:r>
      <w:r>
        <w:rPr>
          <w:rFonts w:ascii="Times New Roman" w:hAnsi="Times New Roman"/>
          <w:sz w:val="20"/>
        </w:rPr>
        <w:t xml:space="preserve"> as otherwise specifically prescribed herein. Notwithstanding the foregoing, for purposes of determining compliance with any covenant or provision (including the computation of any financial covenant) contained herein, Indebtedness of the Borrower and its Subsidiaries shall be deemed to be carried at 100% of the outstanding principal amount thereof, and the effects of (i) FASB ASC 825 and FASB ASC 470-20 on financial liabilities and (ii) the effects of FASB ASC 842 (or any other Accounting Standards Codification or Financial Accounting Standard having a similar result or effect) on capital lease and debt obligations shall, in each case,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GAAP</w:t>
      </w:r>
      <w:r>
        <w:rPr>
          <w:rFonts w:ascii="Times New Roman" w:hAnsi="Times New Roman"/>
          <w:sz w:val="20"/>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sz w:val="20"/>
          <w:u w:val="single"/>
        </w:rPr>
        <w:t>provided</w:t>
      </w:r>
      <w:r>
        <w:rPr>
          <w:rFonts w:ascii="Times New Roman" w:hAnsi="Times New Roman"/>
          <w:sz w:val="20"/>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Forma Calculations</w:t>
      </w:r>
      <w:r>
        <w:rPr>
          <w:rFonts w:ascii="Times New Roman" w:hAnsi="Times New Roman"/>
          <w:sz w:val="20"/>
        </w:rPr>
        <w:t xml:space="preserve">. Notwithstanding anything herein to the contrary, any calculation of the Consolidated Total Leverage Ratio, Consolidated Interest Coverage Ratio, Consolidated Senior Secured Net Leverage Ratio or Consolidated EBITDA for any Reference Period (x) during which an event for which such calculation is made shall have occurred or (y) subsequent to such Reference Period and prior to or simultaneously with the event for which such calculation is made shall in each case be made on a Pro Forma Basis for purposes of making the following determinations: </w:t>
      </w:r>
    </w:p>
    <w:p>
      <w:pPr>
        <w:pStyle w:val="TextBody"/>
        <w:bidi w:val="0"/>
        <w:spacing w:before="120" w:after="0"/>
        <w:jc w:val="left"/>
        <w:rPr>
          <w:rFonts w:ascii="Times New Roman" w:hAnsi="Times New Roman"/>
          <w:sz w:val="20"/>
        </w:rPr>
      </w:pPr>
      <w:r>
        <w:rPr>
          <w:rFonts w:ascii="Times New Roman" w:hAnsi="Times New Roman"/>
          <w:sz w:val="20"/>
        </w:rPr>
        <w:t xml:space="preserve">(i) determining the applicable pricing level under the definition of “Applicable Rate;” </w:t>
      </w:r>
      <w:r>
        <w:rPr>
          <w:rFonts w:ascii="Times New Roman" w:hAnsi="Times New Roman"/>
          <w:sz w:val="20"/>
          <w:u w:val="single"/>
        </w:rPr>
        <w:t>provided</w:t>
      </w:r>
      <w:r>
        <w:rPr>
          <w:rFonts w:ascii="Times New Roman" w:hAnsi="Times New Roman"/>
          <w:sz w:val="20"/>
        </w:rPr>
        <w:t xml:space="preserve"> that events that occurred subsequent to the end of the applicable Reference Period shall not be given </w:t>
      </w:r>
      <w:r>
        <w:rPr>
          <w:rFonts w:ascii="Times New Roman" w:hAnsi="Times New Roman"/>
          <w:i/>
          <w:sz w:val="20"/>
        </w:rPr>
        <w:t xml:space="preserve">pro forma </w:t>
      </w:r>
      <w:r>
        <w:rPr>
          <w:rFonts w:ascii="Times New Roman" w:hAnsi="Times New Roman"/>
          <w:sz w:val="20"/>
        </w:rPr>
        <w:t xml:space="preserve">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determining compliance with the Consolidated Total Leverage Ratio and the Consolidated Interest Coverage Ratio (other than whether the conditions precedent for a proposed transaction have been satisfied as contemplated by subsection (iv) of this </w:t>
      </w:r>
      <w:r>
        <w:rPr>
          <w:rFonts w:ascii="Times New Roman" w:hAnsi="Times New Roman"/>
          <w:sz w:val="20"/>
          <w:u w:val="single"/>
        </w:rPr>
        <w:t>Section 1.03(c)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solely with respect to </w:t>
      </w:r>
      <w:r>
        <w:rPr>
          <w:rFonts w:ascii="Times New Roman" w:hAnsi="Times New Roman"/>
          <w:sz w:val="20"/>
          <w:u w:val="single"/>
        </w:rPr>
        <w:t>Section 7.17</w:t>
      </w:r>
      <w:r>
        <w:rPr>
          <w:rFonts w:ascii="Times New Roman" w:hAnsi="Times New Roman"/>
          <w:sz w:val="20"/>
        </w:rPr>
        <w:t xml:space="preserve">, events that occurred subsequent to the end of the applicable Reference Period shall not be given </w:t>
      </w:r>
      <w:r>
        <w:rPr>
          <w:rFonts w:ascii="Times New Roman" w:hAnsi="Times New Roman"/>
          <w:i/>
          <w:sz w:val="20"/>
        </w:rPr>
        <w:t xml:space="preserve">pro forma </w:t>
      </w:r>
      <w:r>
        <w:rPr>
          <w:rFonts w:ascii="Times New Roman" w:hAnsi="Times New Roman"/>
          <w:sz w:val="20"/>
        </w:rPr>
        <w:t xml:space="preserve">effect; </w:t>
      </w:r>
    </w:p>
    <w:p>
      <w:pPr>
        <w:pStyle w:val="TextBody"/>
        <w:bidi w:val="0"/>
        <w:spacing w:before="120" w:after="0"/>
        <w:jc w:val="left"/>
        <w:rPr>
          <w:rFonts w:ascii="Times New Roman" w:hAnsi="Times New Roman"/>
          <w:sz w:val="20"/>
        </w:rPr>
      </w:pPr>
      <w:r>
        <w:rPr>
          <w:rFonts w:ascii="Times New Roman" w:hAnsi="Times New Roman"/>
          <w:sz w:val="20"/>
        </w:rPr>
        <w:t xml:space="preserve">(iii) calculating availability under the basket set forth in </w:t>
      </w:r>
      <w:r>
        <w:rPr>
          <w:rFonts w:ascii="Times New Roman" w:hAnsi="Times New Roman"/>
          <w:sz w:val="20"/>
          <w:u w:val="single"/>
        </w:rPr>
        <w:t>Section 2.16(a)</w:t>
      </w:r>
      <w:r>
        <w:rPr>
          <w:rFonts w:ascii="Times New Roman" w:hAnsi="Times New Roman"/>
          <w:sz w:val="20"/>
        </w:rPr>
        <w:t xml:space="preserve"> based on the Consolidated EBITDA of the Borrower and its consolidated Subsidiaries for the applicable Reference Period; and </w:t>
      </w:r>
    </w:p>
    <w:p>
      <w:pPr>
        <w:pStyle w:val="TextBody"/>
        <w:bidi w:val="0"/>
        <w:spacing w:before="120" w:after="0"/>
        <w:jc w:val="left"/>
        <w:rPr>
          <w:rFonts w:ascii="Times New Roman" w:hAnsi="Times New Roman"/>
          <w:sz w:val="20"/>
        </w:rPr>
      </w:pPr>
      <w:r>
        <w:rPr>
          <w:rFonts w:ascii="Times New Roman" w:hAnsi="Times New Roman"/>
          <w:sz w:val="20"/>
        </w:rPr>
        <w:t xml:space="preserve">(iv) determining whether the conditions precedent have been satisfied for a proposed transaction, including any calculation of the Consolidated Senior Secured Net Leverage Ratio or the Consolidated Total Leverage Ratio for purposes of </w:t>
      </w:r>
      <w:r>
        <w:rPr>
          <w:rFonts w:ascii="Times New Roman" w:hAnsi="Times New Roman"/>
          <w:sz w:val="20"/>
          <w:u w:val="single"/>
        </w:rPr>
        <w:t>Sections 2.16(a)</w:t>
      </w:r>
      <w:r>
        <w:rPr>
          <w:rFonts w:ascii="Times New Roman" w:hAnsi="Times New Roman"/>
          <w:sz w:val="20"/>
        </w:rPr>
        <w:t xml:space="preserve"> and/or </w:t>
      </w:r>
      <w:r>
        <w:rPr>
          <w:rFonts w:ascii="Times New Roman" w:hAnsi="Times New Roman"/>
          <w:sz w:val="20"/>
          <w:u w:val="single"/>
        </w:rPr>
        <w:t>7.03(f)</w:t>
      </w:r>
      <w:r>
        <w:rPr>
          <w:rFonts w:ascii="Times New Roman" w:hAnsi="Times New Roman"/>
          <w:sz w:val="20"/>
        </w:rPr>
        <w:t xml:space="preserve">, and any determination of whether an Event of Default will result from the consummation thereof, including, without limitation, any Disposition or any Investment which results in an Acquisition.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Consolidation of Variable Interest Entities</w:t>
      </w:r>
      <w:r>
        <w:rPr>
          <w:rFonts w:ascii="Times New Roman" w:hAnsi="Times New Roman"/>
          <w:sz w:val="20"/>
        </w:rPr>
        <w:t xml:space="preserve">.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 </w:t>
      </w:r>
    </w:p>
    <w:p>
      <w:pPr>
        <w:pStyle w:val="TextBody"/>
        <w:bidi w:val="0"/>
        <w:spacing w:before="240" w:after="0"/>
        <w:jc w:val="left"/>
        <w:rPr>
          <w:rFonts w:ascii="Times New Roman" w:hAnsi="Times New Roman"/>
          <w:sz w:val="20"/>
        </w:rPr>
      </w:pPr>
      <w:r>
        <w:rPr>
          <w:rFonts w:ascii="Times New Roman" w:hAnsi="Times New Roman"/>
          <w:b/>
          <w:sz w:val="20"/>
        </w:rPr>
        <w:t>1.04</w:t>
      </w:r>
      <w:r>
        <w:rPr>
          <w:rFonts w:ascii="Times New Roman" w:hAnsi="Times New Roman"/>
          <w:sz w:val="20"/>
        </w:rPr>
        <w:t xml:space="preserve"> </w:t>
      </w:r>
      <w:r>
        <w:rPr>
          <w:rFonts w:ascii="Times New Roman" w:hAnsi="Times New Roman"/>
          <w:b/>
          <w:sz w:val="20"/>
        </w:rPr>
        <w:t>Rounding.</w:t>
      </w:r>
      <w:r>
        <w:rPr>
          <w:rFonts w:ascii="Times New Roman" w:hAnsi="Times New Roman"/>
          <w:sz w:val="20"/>
        </w:rPr>
        <w:t xml:space="preserve">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bidi w:val="0"/>
        <w:spacing w:before="240" w:after="0"/>
        <w:jc w:val="left"/>
        <w:rPr>
          <w:rFonts w:ascii="Times New Roman" w:hAnsi="Times New Roman"/>
          <w:sz w:val="20"/>
        </w:rPr>
      </w:pPr>
      <w:r>
        <w:rPr>
          <w:rFonts w:ascii="Times New Roman" w:hAnsi="Times New Roman"/>
          <w:b/>
          <w:sz w:val="20"/>
        </w:rPr>
        <w:t>1.05</w:t>
      </w:r>
      <w:r>
        <w:rPr>
          <w:rFonts w:ascii="Times New Roman" w:hAnsi="Times New Roman"/>
          <w:sz w:val="20"/>
        </w:rPr>
        <w:t xml:space="preserve"> </w:t>
      </w:r>
      <w:r>
        <w:rPr>
          <w:rFonts w:ascii="Times New Roman" w:hAnsi="Times New Roman"/>
          <w:b/>
          <w:sz w:val="20"/>
        </w:rPr>
        <w:t xml:space="preserve">Times of Day. </w:t>
      </w:r>
      <w:r>
        <w:rPr>
          <w:rFonts w:ascii="Times New Roman" w:hAnsi="Times New Roman"/>
          <w:sz w:val="20"/>
        </w:rPr>
        <w:t xml:space="preserve">Unless otherwise specified, all references herein to times of day shall be references to Eastern time (daylight or standard, as applicable). </w:t>
      </w:r>
    </w:p>
    <w:p>
      <w:pPr>
        <w:pStyle w:val="TextBody"/>
        <w:bidi w:val="0"/>
        <w:spacing w:before="240" w:after="0"/>
        <w:jc w:val="left"/>
        <w:rPr>
          <w:rFonts w:ascii="Times New Roman" w:hAnsi="Times New Roman"/>
          <w:sz w:val="20"/>
        </w:rPr>
      </w:pPr>
      <w:r>
        <w:rPr>
          <w:rFonts w:ascii="Times New Roman" w:hAnsi="Times New Roman"/>
          <w:b/>
          <w:sz w:val="20"/>
        </w:rPr>
        <w:t>1.06</w:t>
      </w:r>
      <w:r>
        <w:rPr>
          <w:rFonts w:ascii="Times New Roman" w:hAnsi="Times New Roman"/>
          <w:sz w:val="20"/>
        </w:rPr>
        <w:t xml:space="preserve"> </w:t>
      </w:r>
      <w:r>
        <w:rPr>
          <w:rFonts w:ascii="Times New Roman" w:hAnsi="Times New Roman"/>
          <w:b/>
          <w:sz w:val="20"/>
        </w:rPr>
        <w:t>Letter of Credit Amounts.</w:t>
      </w:r>
      <w:r>
        <w:rPr>
          <w:rFonts w:ascii="Times New Roman" w:hAnsi="Times New Roman"/>
          <w:sz w:val="20"/>
        </w:rPr>
        <w:t xml:space="preserve"> Unless otherwise specified herein, the amount of a Letter of Credit at any time shall be deemed to be the stated amount of such Letter of Credit in effect at such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240" w:after="0"/>
        <w:jc w:val="left"/>
        <w:rPr>
          <w:rFonts w:ascii="Times New Roman" w:hAnsi="Times New Roman"/>
          <w:sz w:val="20"/>
        </w:rPr>
      </w:pPr>
      <w:r>
        <w:rPr>
          <w:rFonts w:ascii="Times New Roman" w:hAnsi="Times New Roman"/>
          <w:b/>
          <w:sz w:val="20"/>
        </w:rPr>
        <w:t>1.07</w:t>
      </w:r>
      <w:r>
        <w:rPr>
          <w:rFonts w:ascii="Times New Roman" w:hAnsi="Times New Roman"/>
          <w:sz w:val="20"/>
        </w:rPr>
        <w:t xml:space="preserve"> </w:t>
      </w:r>
      <w:r>
        <w:rPr>
          <w:rFonts w:ascii="Times New Roman" w:hAnsi="Times New Roman"/>
          <w:b/>
          <w:sz w:val="20"/>
        </w:rPr>
        <w:t>Amendment and Restatement.</w:t>
      </w:r>
      <w:r>
        <w:rPr>
          <w:rFonts w:ascii="Times New Roman" w:hAnsi="Times New Roman"/>
          <w:sz w:val="20"/>
        </w:rPr>
        <w:t xml:space="preserve"> In order to facilitate the Amendment and Restatement: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Existing Credit Agreement Superseded</w:t>
      </w:r>
      <w:r>
        <w:rPr>
          <w:rFonts w:ascii="Times New Roman" w:hAnsi="Times New Roman"/>
          <w:sz w:val="20"/>
        </w:rPr>
        <w:t xml:space="preserve">. Each of the Borrower and each other Loan Party, the Administrative Agent, the L/C Issuers and the Lenders hereby agree that upon the effectiveness of this Agreement, (i) the terms and provisions of the Existing Credit Agreement shall be and hereby are amended and restated in their entirety by the terms, conditions and provisions of this Agreement, and the terms and provisions of the Existing Credit Agreement shall be superseded by this Agreement and (ii) all references in the other Loan Documents to the Existing Credit Agreement shall be deemed to refer without further amendment to this Agreement, as the same may from time to time be amended, restated, supplemented or otherwise modified.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Continuing Obligations</w:t>
      </w:r>
      <w:r>
        <w:rPr>
          <w:rFonts w:ascii="Times New Roman" w:hAnsi="Times New Roman"/>
          <w:sz w:val="20"/>
        </w:rPr>
        <w:t>. All of the “Obligations” (as defined in the Existing Credit Agreement, the “</w:t>
      </w:r>
      <w:r>
        <w:rPr>
          <w:rFonts w:ascii="Times New Roman" w:hAnsi="Times New Roman"/>
          <w:sz w:val="20"/>
          <w:u w:val="single"/>
        </w:rPr>
        <w:t>Existing Obligations</w:t>
      </w:r>
      <w:r>
        <w:rPr>
          <w:rFonts w:ascii="Times New Roman" w:hAnsi="Times New Roman"/>
          <w:sz w:val="20"/>
        </w:rPr>
        <w:t>”) outstanding under the Existing Credit Agreement and other “Loan Documents” (as defined in the Existing Credit Agreement, the “</w:t>
      </w:r>
      <w:r>
        <w:rPr>
          <w:rFonts w:ascii="Times New Roman" w:hAnsi="Times New Roman"/>
          <w:sz w:val="20"/>
          <w:u w:val="single"/>
        </w:rPr>
        <w:t>Existing Loan Documents</w:t>
      </w:r>
      <w:r>
        <w:rPr>
          <w:rFonts w:ascii="Times New Roman" w:hAnsi="Times New Roman"/>
          <w:sz w:val="20"/>
        </w:rPr>
        <w:t xml:space="preserve">”) shall continue as Obligations hereunder to the extent not repaid on the Closing Date, and each of this Agreement and any other Loan Document (as defined herein) that is amended and restated in connection with this Agreement is given as a substitution of and modification of, and not as a payment of or novation of, the indebtedness, liabilities and Existing Obligations of the Borrower under the Existing Credit Agreement or any Existing Loan Document, and neither the execution and delivery of such documents nor the consummation of any other transaction contemplated hereunder is intended to constitute a novation of or reborrowing or termination of, the Existing Credit Agreement or of any of the other Existing Loan Documents or any obligations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Reallocation of Commitments</w:t>
      </w:r>
      <w:r>
        <w:rPr>
          <w:rFonts w:ascii="Times New Roman" w:hAnsi="Times New Roman"/>
          <w:sz w:val="20"/>
        </w:rPr>
        <w:t xml:space="preserve">. Upon the effectiveness of this Agreement, all outstanding “Revolving Credit Loans” given by the Lenders under and as defined in the Existing Credit Agreement owing by the Borrower under the Existing Credit Agreement shall be deemed to be Revolving Credit Loans hereunder. The parties hereto acknowledge and agree that, notwithstanding the provisions regarding assignments set forth in </w:t>
      </w:r>
      <w:r>
        <w:rPr>
          <w:rFonts w:ascii="Times New Roman" w:hAnsi="Times New Roman"/>
          <w:sz w:val="20"/>
          <w:u w:val="single"/>
        </w:rPr>
        <w:t>Section 10.06</w:t>
      </w:r>
      <w:r>
        <w:rPr>
          <w:rFonts w:ascii="Times New Roman" w:hAnsi="Times New Roman"/>
          <w:sz w:val="20"/>
        </w:rPr>
        <w:t xml:space="preserve"> hereof, as of the Closing Date, (i) the Commitments and Applicable Percentages for each of the Lenders are as set forth on </w:t>
      </w:r>
      <w:r>
        <w:rPr>
          <w:rFonts w:ascii="Times New Roman" w:hAnsi="Times New Roman"/>
          <w:sz w:val="20"/>
          <w:u w:val="single"/>
        </w:rPr>
        <w:t>Schedule 2.01</w:t>
      </w:r>
      <w:r>
        <w:rPr>
          <w:rFonts w:ascii="Times New Roman" w:hAnsi="Times New Roman"/>
          <w:sz w:val="20"/>
        </w:rPr>
        <w:t xml:space="preserve"> and (ii) each Lender that is party to the Existing Credit Agreement whose loan commitments under the Existing Credit Agreement is greater than its Commitments hereunder shall be deemed to have assigned, without recourse, to one or more Lenders such portion of such decreasing Lender’s existing loans and commitments under the Existing Credit Agreement as shall be necessary to effectuate the reallocation of commitments and existing loans contemplated hereby. Notwithstanding anything to the contrary in the Existing Credit Agreement or this Agreement, no other documents or instruments, including any Assignment and Assumption, shall be executed in connection with such assignments (all of which requirements are hereby waived), and such assignments shall be deemed to be made with all applicable representations, warranties and covenants as if evidenced by an Assignment and Assumption. On the Closing Date, the Lenders shall make full cash settlement with each other through the Administrative Agent with respect to all assignments, reallocations and other changes in commitments contemplated hereby such that after giving effect to such settlements each Lender’s Applicable Percentage with respect to the applicable Facility shall be as set forth on </w:t>
      </w:r>
      <w:r>
        <w:rPr>
          <w:rFonts w:ascii="Times New Roman" w:hAnsi="Times New Roman"/>
          <w:sz w:val="20"/>
          <w:u w:val="single"/>
        </w:rPr>
        <w:t>Schedule 2.01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foregoing re-allocations and deemed assignments shall not give rise to, and each Lender hereby waives, payment of any additional amounts under </w:t>
      </w:r>
      <w:r>
        <w:rPr>
          <w:rFonts w:ascii="Times New Roman" w:hAnsi="Times New Roman"/>
          <w:sz w:val="20"/>
          <w:u w:val="single"/>
        </w:rPr>
        <w:t>Section 3.05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Existing Notes</w:t>
      </w:r>
      <w:r>
        <w:rPr>
          <w:rFonts w:ascii="Times New Roman" w:hAnsi="Times New Roman"/>
          <w:sz w:val="20"/>
        </w:rPr>
        <w:t xml:space="preserve">. Upon the effectiveness of this Agreement, (i) all “Notes” as defined in and issued under the Existing Credit Agreement shall be superseded and replaced by the Notes hereunder and such “Notes” shall be deemed cancelled and of no further force and effect, regardless of whether such notes were returned to the Borrower; </w:t>
      </w:r>
      <w:r>
        <w:rPr>
          <w:rFonts w:ascii="Times New Roman" w:hAnsi="Times New Roman"/>
          <w:sz w:val="20"/>
          <w:u w:val="single"/>
        </w:rPr>
        <w:t>provided</w:t>
      </w:r>
      <w:r>
        <w:rPr>
          <w:rFonts w:ascii="Times New Roman" w:hAnsi="Times New Roman"/>
          <w:sz w:val="20"/>
        </w:rPr>
        <w:t xml:space="preserve">, that Lenders that were “Lenders” under the Existing Credit Agreement will use commercially reasonable efforts to locate and return to Borrower for cancellation all original “Notes” issued under the Existing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Reset of Baskets</w:t>
      </w:r>
      <w:r>
        <w:rPr>
          <w:rFonts w:ascii="Times New Roman" w:hAnsi="Times New Roman"/>
          <w:sz w:val="20"/>
        </w:rPr>
        <w:t xml:space="preserve">. For the avoidance of doubt, upon effectiveness of this Agreement, any basket which permits a certain amount of a given type of transaction over the life of this Agreement (however denominated) shall be reset such that any use of such baskets on or subsequent to the Original Closing Date but prior to the Closing Date shall be disregarded for purposes of testing such basket;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1.07(e)</w:t>
      </w:r>
      <w:r>
        <w:rPr>
          <w:rFonts w:ascii="Times New Roman" w:hAnsi="Times New Roman"/>
          <w:sz w:val="20"/>
        </w:rPr>
        <w:t xml:space="preserve"> shall be construed to (i) prohibit any transaction occurring prior to the Closing Date utilizing the corresponding baskets under the Existing Credit Agreement or (ii) apply to the calculation of any adjustment to Consolidated EBITDA (or any related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1.08</w:t>
      </w:r>
      <w:r>
        <w:rPr>
          <w:rFonts w:ascii="Times New Roman" w:hAnsi="Times New Roman"/>
          <w:sz w:val="20"/>
        </w:rPr>
        <w:t xml:space="preserve"> </w:t>
      </w:r>
      <w:r>
        <w:rPr>
          <w:rFonts w:ascii="Times New Roman" w:hAnsi="Times New Roman"/>
          <w:b/>
          <w:sz w:val="20"/>
        </w:rPr>
        <w:t>Limited Condition Acquisitions</w:t>
      </w:r>
      <w:r>
        <w:rPr>
          <w:rFonts w:ascii="Times New Roman" w:hAnsi="Times New Roman"/>
          <w:sz w:val="20"/>
        </w:rPr>
        <w:t xml:space="preserve">. In the case of the incurrence of any Indebtedness (excluding, for the avoidance of doubt, Indebtedness under the Revolving Credit Facility and the Term Facilities but including any Incremental Term Loans) or Liens or the making of any Permitted Acquisitions or other Investments, Restricted Payments, prepayments of certain specified Indebtedness or Dispositions in connection with a Limited Condition Acquisition, at the Borrower’s option, the relevant ratios, baskets (including the applicable Reference Period used to determine the basket under </w:t>
      </w:r>
      <w:r>
        <w:rPr>
          <w:rFonts w:ascii="Times New Roman" w:hAnsi="Times New Roman"/>
          <w:sz w:val="20"/>
          <w:u w:val="single"/>
        </w:rPr>
        <w:t>Section 2.16(a)</w:t>
      </w:r>
      <w:r>
        <w:rPr>
          <w:rFonts w:ascii="Times New Roman" w:hAnsi="Times New Roman"/>
          <w:sz w:val="20"/>
        </w:rPr>
        <w:t xml:space="preserve">), representations and warranties shall be determined, and any Default or Event of Default blocker shall be tested, as of the date the definitive acquisition agreements for such Limited Condition Acquisition are entered into and calculated as if the Limited Condition Acquisition and other pro forma events in connection therewith were consummated on such date; </w:t>
      </w:r>
      <w:r>
        <w:rPr>
          <w:rFonts w:ascii="Times New Roman" w:hAnsi="Times New Roman"/>
          <w:sz w:val="20"/>
          <w:u w:val="single"/>
        </w:rPr>
        <w:t>provided</w:t>
      </w:r>
      <w:r>
        <w:rPr>
          <w:rFonts w:ascii="Times New Roman" w:hAnsi="Times New Roman"/>
          <w:sz w:val="20"/>
        </w:rPr>
        <w:t xml:space="preserve"> that if the Borrower has made such an election, in connection with the calculation of any ratio or basket with respect to the incurrence of Indebtedness (including any Incremental Facilities) or Liens, or the making of any Permitted Acquisition or other Investments, Restricted Payments, prepayments of certain specified Indebtedness or Dispositions on or following such date and prior to the earlier of the date on which such Limited Condition Acquisition is consummated or the definitive agreement for such Limited Condition Acquisition is terminated, any such ratio shall be calculated (x) on a pro forma basis assuming such Limited Condition Acquisition and other pro forma events in connection therewith (including any incurrence of Indebtedness) have been consummated and (y) for Restricted Payments only, without giving effect to such Limited Condition Acquisition (</w:t>
      </w:r>
      <w:r>
        <w:rPr>
          <w:rFonts w:ascii="Times New Roman" w:hAnsi="Times New Roman"/>
          <w:sz w:val="20"/>
          <w:u w:val="single"/>
        </w:rPr>
        <w:t>provided</w:t>
      </w:r>
      <w:r>
        <w:rPr>
          <w:rFonts w:ascii="Times New Roman" w:hAnsi="Times New Roman"/>
          <w:sz w:val="20"/>
        </w:rPr>
        <w:t xml:space="preserve"> that this clause (y) shall not apply to any calculation of any ratio or basket during such period in connection with a Permitted Acquisition). </w:t>
      </w:r>
    </w:p>
    <w:p>
      <w:pPr>
        <w:pStyle w:val="TextBody"/>
        <w:bidi w:val="0"/>
        <w:spacing w:before="240" w:after="0"/>
        <w:jc w:val="left"/>
        <w:rPr>
          <w:rFonts w:ascii="Times New Roman" w:hAnsi="Times New Roman"/>
          <w:sz w:val="20"/>
        </w:rPr>
      </w:pPr>
      <w:r>
        <w:rPr>
          <w:rFonts w:ascii="Times New Roman" w:hAnsi="Times New Roman"/>
          <w:b/>
          <w:sz w:val="20"/>
        </w:rPr>
        <w:t>1.09</w:t>
      </w:r>
      <w:r>
        <w:rPr>
          <w:rFonts w:ascii="Times New Roman" w:hAnsi="Times New Roman"/>
          <w:sz w:val="20"/>
        </w:rPr>
        <w:t xml:space="preserve"> </w:t>
      </w:r>
      <w:r>
        <w:rPr>
          <w:rFonts w:ascii="Times New Roman" w:hAnsi="Times New Roman"/>
          <w:b/>
          <w:sz w:val="20"/>
        </w:rPr>
        <w:t>Delaware LLC Divisions and Delaware LP Divisions</w:t>
      </w:r>
      <w:r>
        <w:rPr>
          <w:rFonts w:ascii="Times New Roman" w:hAnsi="Times New Roman"/>
          <w:sz w:val="20"/>
        </w:rPr>
        <w:t xml:space="preserve"> For all purposes under the Loan Documents, in connection with any Delaware LLC Division or Delaware LP Division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b/>
          <w:sz w:val="20"/>
        </w:rPr>
        <w:t>1.10</w:t>
      </w:r>
      <w:r>
        <w:rPr>
          <w:rFonts w:ascii="Times New Roman" w:hAnsi="Times New Roman"/>
          <w:sz w:val="20"/>
        </w:rPr>
        <w:t xml:space="preserve"> </w:t>
      </w:r>
      <w:r>
        <w:rPr>
          <w:rFonts w:ascii="Times New Roman" w:hAnsi="Times New Roman"/>
          <w:b/>
          <w:sz w:val="20"/>
        </w:rPr>
        <w:t>Interest Rates</w:t>
      </w:r>
      <w:r>
        <w:rPr>
          <w:rFonts w:ascii="Times New Roman" w:hAnsi="Times New Roman"/>
          <w:sz w:val="20"/>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hAnsi="Times New Roman"/>
          <w:b/>
          <w:sz w:val="20"/>
        </w:rPr>
        <w:t>(</w:t>
      </w:r>
      <w:r>
        <w:rPr>
          <w:rFonts w:ascii="Times New Roman" w:hAnsi="Times New Roman"/>
          <w:sz w:val="20"/>
        </w:rPr>
        <w:t xml:space="preserve">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COMMITMENTS AND CREDIT EXTENSIONS </w:t>
      </w:r>
    </w:p>
    <w:p>
      <w:pPr>
        <w:pStyle w:val="TextBody"/>
        <w:bidi w:val="0"/>
        <w:spacing w:before="240" w:after="0"/>
        <w:jc w:val="left"/>
        <w:rPr>
          <w:rFonts w:ascii="Times New Roman" w:hAnsi="Times New Roman"/>
          <w:sz w:val="20"/>
        </w:rPr>
      </w:pPr>
      <w:r>
        <w:rPr>
          <w:rFonts w:ascii="Times New Roman" w:hAnsi="Times New Roman"/>
          <w:b/>
          <w:sz w:val="20"/>
        </w:rPr>
        <w:t>2.01</w:t>
      </w:r>
      <w:r>
        <w:rPr>
          <w:rFonts w:ascii="Times New Roman" w:hAnsi="Times New Roman"/>
          <w:sz w:val="20"/>
        </w:rPr>
        <w:t xml:space="preserve"> </w:t>
      </w:r>
      <w:r>
        <w:rPr>
          <w:rFonts w:ascii="Times New Roman" w:hAnsi="Times New Roman"/>
          <w:b/>
          <w:sz w:val="20"/>
        </w:rPr>
        <w:t>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 A Borrowing</w:t>
      </w:r>
      <w:r>
        <w:rPr>
          <w:rFonts w:ascii="Times New Roman" w:hAnsi="Times New Roman"/>
          <w:sz w:val="20"/>
        </w:rPr>
        <w:t xml:space="preserve">. Subject to the terms and conditions set forth herein, each Term A Lender severally agrees to make a single loan in Dollars to the Borrower on the Closing Date in an amount equal to such Term A Lender’s Term A Commitment. The Term A Borrowing shall consist of Term A Loans made simultaneously by the Term A Lenders in accordance with their respective Applicable Percentage of the Term A Facility. Amounts borrowed under this </w:t>
      </w:r>
      <w:r>
        <w:rPr>
          <w:rFonts w:ascii="Times New Roman" w:hAnsi="Times New Roman"/>
          <w:sz w:val="20"/>
          <w:u w:val="single"/>
        </w:rPr>
        <w:t>Section 2.01(a)</w:t>
      </w:r>
      <w:r>
        <w:rPr>
          <w:rFonts w:ascii="Times New Roman" w:hAnsi="Times New Roman"/>
          <w:sz w:val="20"/>
        </w:rPr>
        <w:t xml:space="preserve"> and repaid or prepaid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 B Borrowing</w:t>
      </w:r>
      <w:r>
        <w:rPr>
          <w:rFonts w:ascii="Times New Roman" w:hAnsi="Times New Roman"/>
          <w:sz w:val="20"/>
        </w:rPr>
        <w:t xml:space="preserve">. Subject to the terms and conditions set forth herein, each Term B Lender severally agrees to make a single loan in Dollars to the Borrower on the Closing Date in an amount equal to such Term B Lender’s Term B Commitment. The Term B Borrowing shall consist of Term B Loans made simultaneously by the Term B Lenders in accordance with their respective Term B Commitments. Amounts borrowed under this </w:t>
      </w:r>
      <w:r>
        <w:rPr>
          <w:rFonts w:ascii="Times New Roman" w:hAnsi="Times New Roman"/>
          <w:sz w:val="20"/>
          <w:u w:val="single"/>
        </w:rPr>
        <w:t>Section 2.01(a)</w:t>
      </w:r>
      <w:r>
        <w:rPr>
          <w:rFonts w:ascii="Times New Roman" w:hAnsi="Times New Roman"/>
          <w:sz w:val="20"/>
        </w:rPr>
        <w:t xml:space="preserve"> and repaid or prepaid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Revolving Credit Borrowings</w:t>
      </w:r>
      <w:r>
        <w:rPr>
          <w:rFonts w:ascii="Times New Roman" w:hAnsi="Times New Roman"/>
          <w:sz w:val="20"/>
        </w:rPr>
        <w:t>. Subject to the terms and conditions set forth herein, each Revolving Credit Lender severally agrees to make loans in Dollars (each such loan, a “</w:t>
      </w:r>
      <w:r>
        <w:rPr>
          <w:rFonts w:ascii="Times New Roman" w:hAnsi="Times New Roman"/>
          <w:sz w:val="20"/>
          <w:u w:val="single"/>
        </w:rPr>
        <w:t>Revolving Credit Loan</w:t>
      </w:r>
      <w:r>
        <w:rPr>
          <w:rFonts w:ascii="Times New Roman" w:hAnsi="Times New Roman"/>
          <w:sz w:val="20"/>
        </w:rPr>
        <w:t xml:space="preserve">”) to the Borrower from time to time, on any Business Day during the Availability Period, in an aggregate amount not to exceed at any time outstanding the amount of such Lender’s Revolving Credit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any Revolving Credit Borrowing, (i) the Total Revolving Credit Outstandings shall not exceed the Revolving Credit Facility, and (ii) subject to </w:t>
      </w:r>
      <w:r>
        <w:rPr>
          <w:rFonts w:ascii="Times New Roman" w:hAnsi="Times New Roman"/>
          <w:sz w:val="20"/>
          <w:u w:val="single"/>
        </w:rPr>
        <w:t>Section 2.04(a)</w:t>
      </w:r>
      <w:r>
        <w:rPr>
          <w:rFonts w:ascii="Times New Roman" w:hAnsi="Times New Roman"/>
          <w:sz w:val="20"/>
        </w:rPr>
        <w:t xml:space="preserve"> with respect to the Swing Line Lender, the aggregate Outstanding Amount of the Revolving Credit Loans of any Lender, </w:t>
      </w:r>
      <w:r>
        <w:rPr>
          <w:rFonts w:ascii="Times New Roman" w:hAnsi="Times New Roman"/>
          <w:sz w:val="20"/>
          <w:u w:val="single"/>
        </w:rPr>
        <w:t>plus</w:t>
      </w:r>
      <w:r>
        <w:rPr>
          <w:rFonts w:ascii="Times New Roman" w:hAnsi="Times New Roman"/>
          <w:sz w:val="20"/>
        </w:rPr>
        <w:t xml:space="preserve"> such Revolving Credit Lender’s Applicable Revolving Credit Percentage of the Outstanding Amount of all L/C Obligations, </w:t>
      </w:r>
      <w:r>
        <w:rPr>
          <w:rFonts w:ascii="Times New Roman" w:hAnsi="Times New Roman"/>
          <w:sz w:val="20"/>
          <w:u w:val="single"/>
        </w:rPr>
        <w:t>plus</w:t>
      </w:r>
      <w:r>
        <w:rPr>
          <w:rFonts w:ascii="Times New Roman" w:hAnsi="Times New Roman"/>
          <w:sz w:val="20"/>
        </w:rPr>
        <w:t xml:space="preserve"> such Revolving Credit Lender’s Applicable Revolving Credit Percentage of the Outstanding Amount of all Swing Line Loans shall not exceed such Revolving Credit Lender’s Revolving Credit Commitment. Within the limits of each Revolving Credit Lender’s Revolving Credit Commitment, and subject to the other terms and conditions hereof, the Borrower may borrow under this </w:t>
      </w:r>
      <w:r>
        <w:rPr>
          <w:rFonts w:ascii="Times New Roman" w:hAnsi="Times New Roman"/>
          <w:sz w:val="20"/>
          <w:u w:val="single"/>
        </w:rPr>
        <w:t>Section 2.01(b)</w:t>
      </w:r>
      <w:r>
        <w:rPr>
          <w:rFonts w:ascii="Times New Roman" w:hAnsi="Times New Roman"/>
          <w:sz w:val="20"/>
        </w:rPr>
        <w:t xml:space="preserve">, prepay under </w:t>
      </w:r>
      <w:r>
        <w:rPr>
          <w:rFonts w:ascii="Times New Roman" w:hAnsi="Times New Roman"/>
          <w:sz w:val="20"/>
          <w:u w:val="single"/>
        </w:rPr>
        <w:t>Section 2.05</w:t>
      </w:r>
      <w:r>
        <w:rPr>
          <w:rFonts w:ascii="Times New Roman" w:hAnsi="Times New Roman"/>
          <w:sz w:val="20"/>
        </w:rPr>
        <w:t xml:space="preserve">, and reborrow under this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Loans may be Base Rate Loans or Term SOFR Loans, as further provided herein. </w:t>
      </w:r>
    </w:p>
    <w:p>
      <w:pPr>
        <w:pStyle w:val="TextBody"/>
        <w:bidi w:val="0"/>
        <w:spacing w:before="240" w:after="0"/>
        <w:jc w:val="left"/>
        <w:rPr>
          <w:rFonts w:ascii="Times New Roman" w:hAnsi="Times New Roman"/>
          <w:sz w:val="20"/>
        </w:rPr>
      </w:pPr>
      <w:r>
        <w:rPr>
          <w:rFonts w:ascii="Times New Roman" w:hAnsi="Times New Roman"/>
          <w:b/>
          <w:sz w:val="20"/>
        </w:rPr>
        <w:t>2.02</w:t>
      </w:r>
      <w:r>
        <w:rPr>
          <w:rFonts w:ascii="Times New Roman" w:hAnsi="Times New Roman"/>
          <w:sz w:val="20"/>
        </w:rPr>
        <w:t xml:space="preserve"> </w:t>
      </w:r>
      <w:r>
        <w:rPr>
          <w:rFonts w:ascii="Times New Roman" w:hAnsi="Times New Roman"/>
          <w:b/>
          <w:sz w:val="20"/>
        </w:rPr>
        <w:t>Borrowings, Conversions and Continuations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Term A Borrowing, each Term B Borrowing, each Revolving Credit Borrowing, each conversion of Loans from one Type to the other, and each continuation of Term SOFR Loans shall be made upon the Borrower’s irrevocable notice to the Administrative Agent, which may be given by (a) telephone, or (b) a Loan Notice; provided that any telephone notice must be confirmed promptly by delivery to the Administrative Agent of a Loan Notice. Each such notice must be received by the Administrative Agent not later than 11:00 a.m. (i) two Business Days prior to the requested date of any Borrowing of, conversion to, or continuation of, Term SOFR Loans or of any conversion of Term SOFR Loans to Base Rate Loans, and (ii) on the requested date of any Borrowing of Base Rate Loans. Except for Borrowings to be made on the Closing Date, each Borrowing of, conversion to, or continuation of, Term SOFR Loans shall be in a principal amount of $5,000,000 or a whole multiple of $1,000,000 in excess thereof. Except as provided in </w:t>
      </w:r>
      <w:r>
        <w:rPr>
          <w:rFonts w:ascii="Times New Roman" w:hAnsi="Times New Roman"/>
          <w:sz w:val="20"/>
          <w:u w:val="single"/>
        </w:rPr>
        <w:t>Section 2.03(c)</w:t>
      </w:r>
      <w:r>
        <w:rPr>
          <w:rFonts w:ascii="Times New Roman" w:hAnsi="Times New Roman"/>
          <w:sz w:val="20"/>
        </w:rPr>
        <w:t xml:space="preserve"> and </w:t>
      </w:r>
      <w:r>
        <w:rPr>
          <w:rFonts w:ascii="Times New Roman" w:hAnsi="Times New Roman"/>
          <w:sz w:val="20"/>
          <w:u w:val="single"/>
        </w:rPr>
        <w:t>2.04(c)</w:t>
      </w:r>
      <w:r>
        <w:rPr>
          <w:rFonts w:ascii="Times New Roman" w:hAnsi="Times New Roman"/>
          <w:sz w:val="20"/>
        </w:rPr>
        <w:t xml:space="preserve">, each Borrowing of or conversion to Base Rate Loans shall be in a principal amount of $1,000,000 or a whole multiple of $500,000 in excess thereof. Each Loan Notice shall specify (i) the applicable Facility and whether the Borrower is requesting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Term A Borrowing, a Term B Borrowing, a Revolving Credit Borrowing, a conversion of Loans from one Type to the other, or a continuation of Term SOFR Loans, as the case may be, under such Facility, (ii) the requested date of the Borrowing, conversion or continuation, as the case may be (which shall be a Business Day), (iii) the principal amount of Loans to be borrowed, converted or continued, as applicable (iv) the Type of Loans to be borrowed or to which existing Loans are to be converted or continued,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the Borrower will be deemed to have specified an Interest Period of one month. Notwithstanding anything to the contrary herein, a Swing Line Loan may not be made as or converted to a Term SOFR Loan. </w:t>
      </w:r>
    </w:p>
    <w:p>
      <w:pPr>
        <w:pStyle w:val="TextBody"/>
        <w:bidi w:val="0"/>
        <w:spacing w:before="240" w:after="0"/>
        <w:jc w:val="left"/>
        <w:rPr>
          <w:rFonts w:ascii="Times New Roman" w:hAnsi="Times New Roman"/>
          <w:sz w:val="20"/>
        </w:rPr>
      </w:pPr>
      <w:r>
        <w:rPr>
          <w:rFonts w:ascii="Times New Roman" w:hAnsi="Times New Roman"/>
          <w:sz w:val="20"/>
        </w:rPr>
        <w:t xml:space="preserve">(b)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described in </w:t>
      </w:r>
      <w:r>
        <w:rPr>
          <w:rFonts w:ascii="Times New Roman" w:hAnsi="Times New Roman"/>
          <w:sz w:val="20"/>
          <w:u w:val="single"/>
        </w:rPr>
        <w:t>Section 2.02(a)</w:t>
      </w:r>
      <w:r>
        <w:rPr>
          <w:rFonts w:ascii="Times New Roman" w:hAnsi="Times New Roman"/>
          <w:sz w:val="20"/>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(or waiver) of the applicable conditions set forth in </w:t>
      </w:r>
      <w:r>
        <w:rPr>
          <w:rFonts w:ascii="Times New Roman" w:hAnsi="Times New Roman"/>
          <w:sz w:val="20"/>
          <w:u w:val="single"/>
        </w:rPr>
        <w:t>Section 4.02</w:t>
      </w:r>
      <w:r>
        <w:rPr>
          <w:rFonts w:ascii="Times New Roman" w:hAnsi="Times New Roman"/>
          <w:sz w:val="20"/>
        </w:rPr>
        <w:t xml:space="preserve"> (and, if such Borrowing is the initial Credit Extension, </w:t>
      </w:r>
      <w:r>
        <w:rPr>
          <w:rFonts w:ascii="Times New Roman" w:hAnsi="Times New Roman"/>
          <w:sz w:val="20"/>
          <w:u w:val="single"/>
        </w:rPr>
        <w:t>Section 4.01</w:t>
      </w:r>
      <w:r>
        <w:rPr>
          <w:rFonts w:ascii="Times New Roman" w:hAnsi="Times New Roman"/>
          <w:sz w:val="20"/>
        </w:rPr>
        <w:t xml:space="preserve">),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on the date a Loan Notice with respect to a Revolving Credit Borrowing is given by the Borrower, there are L/C Borrowings outstanding, then the proceeds of such Revolving Credit Borrowing shall be applied, </w:t>
      </w:r>
      <w:r>
        <w:rPr>
          <w:rFonts w:ascii="Times New Roman" w:hAnsi="Times New Roman"/>
          <w:sz w:val="20"/>
          <w:u w:val="single"/>
        </w:rPr>
        <w:t>first</w:t>
      </w:r>
      <w:r>
        <w:rPr>
          <w:rFonts w:ascii="Times New Roman" w:hAnsi="Times New Roman"/>
          <w:sz w:val="20"/>
        </w:rPr>
        <w:t xml:space="preserve">, to the payment in full of any such L/C Borrowings, and </w:t>
      </w:r>
      <w:r>
        <w:rPr>
          <w:rFonts w:ascii="Times New Roman" w:hAnsi="Times New Roman"/>
          <w:sz w:val="20"/>
          <w:u w:val="single"/>
        </w:rPr>
        <w:t>second</w:t>
      </w:r>
      <w:r>
        <w:rPr>
          <w:rFonts w:ascii="Times New Roman" w:hAnsi="Times New Roman"/>
          <w:sz w:val="20"/>
        </w:rPr>
        <w:t xml:space="preserve"> shall be made available to the Borrower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herein, a Term SOFR Loan may be continued or converted only on the last day of an Interest Period for such Term SOFR Loan. During the existence of an Event of Default, no Loans may be requested as, converted to, or continued as, Term SOFR Loans without the consent of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promptly notify the Borrower and the applicable Lenders of the interest rate applicable to any Interest Period for Term SOFR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(e) (i) After giving effect to all Term Borrowings, all conversions of Term Loans from one Type to the other, and all continuations of Term Loans as the same Type, there shall not be more than four (4) Interest Periods in effect with respect to any Term Facility at any time. (ii) After giving effect to all Revolving Credit Borrowings, all conversions of Revolving Credit Loans from one Type to the other, and all continuations of Revolving Credit Loans as the same Type, there shall not be more than ten (10) Interest Periods in effect with respect to the Revolving Credit Facility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With respect to SOFR or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 </w:t>
      </w:r>
    </w:p>
    <w:p>
      <w:pPr>
        <w:pStyle w:val="TextBody"/>
        <w:bidi w:val="0"/>
        <w:spacing w:before="240" w:after="0"/>
        <w:jc w:val="left"/>
        <w:rPr>
          <w:rFonts w:ascii="Times New Roman" w:hAnsi="Times New Roman"/>
          <w:sz w:val="20"/>
        </w:rPr>
      </w:pPr>
      <w:r>
        <w:rPr>
          <w:rFonts w:ascii="Times New Roman" w:hAnsi="Times New Roman"/>
          <w:b/>
          <w:sz w:val="20"/>
        </w:rPr>
        <w:t>2.03</w:t>
      </w:r>
      <w:r>
        <w:rPr>
          <w:rFonts w:ascii="Times New Roman" w:hAnsi="Times New Roman"/>
          <w:sz w:val="20"/>
        </w:rPr>
        <w:t xml:space="preserve"> </w:t>
      </w:r>
      <w:r>
        <w:rPr>
          <w:rFonts w:ascii="Times New Roman" w:hAnsi="Times New Roman"/>
          <w:b/>
          <w:sz w:val="20"/>
        </w:rPr>
        <w:t>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Letter of Credit Commitment</w:t>
      </w:r>
      <w:r>
        <w:rPr>
          <w:rFonts w:ascii="Times New Roman" w:hAnsi="Times New Roman"/>
          <w:sz w:val="20"/>
        </w:rPr>
        <w:t xml:space="preserve">. (i) Subject to the terms and conditions set forth herein, (A) each L/C Issuer agrees, in reliance upon the agreements of the Revolving Credit Lenders set forth in this </w:t>
      </w:r>
      <w:r>
        <w:rPr>
          <w:rFonts w:ascii="Times New Roman" w:hAnsi="Times New Roman"/>
          <w:sz w:val="20"/>
          <w:u w:val="single"/>
        </w:rPr>
        <w:t>Section 2.03</w:t>
      </w:r>
      <w:r>
        <w:rPr>
          <w:rFonts w:ascii="Times New Roman" w:hAnsi="Times New Roman"/>
          <w:sz w:val="20"/>
        </w:rPr>
        <w:t xml:space="preserve">, (1) from time to time on any Business Day during the period from the Closing Date until the Letter of Credit Expiration Date, to issue standby Letters of Credit for the account of the Borrower or its Subsidiaries, and to amend or extend Letters of Credit previously issued by it, in accordance with </w:t>
      </w:r>
      <w:r>
        <w:rPr>
          <w:rFonts w:ascii="Times New Roman" w:hAnsi="Times New Roman"/>
          <w:sz w:val="20"/>
          <w:u w:val="single"/>
        </w:rPr>
        <w:t>Section 2.03(b)</w:t>
      </w:r>
      <w:r>
        <w:rPr>
          <w:rFonts w:ascii="Times New Roman" w:hAnsi="Times New Roman"/>
          <w:sz w:val="20"/>
        </w:rPr>
        <w:t xml:space="preserve">, and (2) to honor drawings under the Letters of Credit; and (B) the Revolving Credit Lenders severally agree to participate in Letters of Credit issued for the account of the Borrower or its Subsidiaries and any drawings thereunder; provided that after giving effect to any L/C Credit Extension with respect to any Letter of Credit, (w) the Total Revolving Credit Outstandings shall not exceed the Revolving Credit Facility, (x) the aggregate Outstanding Amount of the Revolving Credit Loans of any Revolving Credit Lender, </w:t>
      </w:r>
      <w:r>
        <w:rPr>
          <w:rFonts w:ascii="Times New Roman" w:hAnsi="Times New Roman"/>
          <w:sz w:val="20"/>
          <w:u w:val="single"/>
        </w:rPr>
        <w:t>plus</w:t>
      </w:r>
      <w:r>
        <w:rPr>
          <w:rFonts w:ascii="Times New Roman" w:hAnsi="Times New Roman"/>
          <w:sz w:val="20"/>
        </w:rPr>
        <w:t xml:space="preserve"> such Lender’s Applicable Revolving Credit Percentage of the Outstanding Amount of all L/C Obligations, </w:t>
      </w:r>
      <w:r>
        <w:rPr>
          <w:rFonts w:ascii="Times New Roman" w:hAnsi="Times New Roman"/>
          <w:sz w:val="20"/>
          <w:u w:val="single"/>
        </w:rPr>
        <w:t>plus</w:t>
      </w:r>
      <w:r>
        <w:rPr>
          <w:rFonts w:ascii="Times New Roman" w:hAnsi="Times New Roman"/>
          <w:sz w:val="20"/>
        </w:rPr>
        <w:t xml:space="preserve"> such Lender’s Applicable Revolving Credit Percentage of the Outstanding Amount of all Swing Line Loans shall not exceed such Lender’s Revolving Credit Commitment, (y) the Outstanding Amount of the L/C Obligations shall not exceed the Letter of Credit Sublimit and (z) the Outstanding Amount of the L/C Obligations of any L/C Issuer shall not exceed such L/C Issuer’s Letter of Credit Commitment.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Notwithstanding anything to the contrary herein, the Existing Letters of Credit shall be deemed issued under this Agreement in accordance with the provisions of this </w:t>
      </w:r>
      <w:r>
        <w:rPr>
          <w:rFonts w:ascii="Times New Roman" w:hAnsi="Times New Roman"/>
          <w:sz w:val="20"/>
          <w:u w:val="single"/>
        </w:rPr>
        <w:t>Section 2.03</w:t>
      </w:r>
      <w:r>
        <w:rPr>
          <w:rFonts w:ascii="Times New Roman" w:hAnsi="Times New Roman"/>
          <w:sz w:val="20"/>
        </w:rPr>
        <w:t xml:space="preserv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(ii) No L/C Issuer shall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2.03(b)(iii)</w:t>
      </w:r>
      <w:r>
        <w:rPr>
          <w:rFonts w:ascii="Times New Roman" w:hAnsi="Times New Roman"/>
          <w:sz w:val="20"/>
        </w:rPr>
        <w:t xml:space="preserve">, the expiry date of the requested Letter of Credit would occur more than twelve months after the date of issuance or last extension, unless the Required Revolving Lenders have approved such expiry date; or </w:t>
      </w:r>
    </w:p>
    <w:p>
      <w:pPr>
        <w:pStyle w:val="TextBody"/>
        <w:bidi w:val="0"/>
        <w:spacing w:before="120" w:after="0"/>
        <w:jc w:val="left"/>
        <w:rPr>
          <w:rFonts w:ascii="Times New Roman" w:hAnsi="Times New Roman"/>
          <w:sz w:val="20"/>
        </w:rPr>
      </w:pPr>
      <w:r>
        <w:rPr>
          <w:rFonts w:ascii="Times New Roman" w:hAnsi="Times New Roman"/>
          <w:sz w:val="20"/>
        </w:rPr>
        <w:t xml:space="preserve">(B) the expiry date of the requested Letter of Credit would occur after the Letter of Credit Expiration Date, unless all the Revolving Credit Lenders have approved such expiry date. </w:t>
      </w:r>
    </w:p>
    <w:p>
      <w:pPr>
        <w:pStyle w:val="TextBody"/>
        <w:bidi w:val="0"/>
        <w:spacing w:before="240" w:after="0"/>
        <w:jc w:val="left"/>
        <w:rPr>
          <w:rFonts w:ascii="Times New Roman" w:hAnsi="Times New Roman"/>
          <w:sz w:val="20"/>
        </w:rPr>
      </w:pPr>
      <w:r>
        <w:rPr>
          <w:rFonts w:ascii="Times New Roman" w:hAnsi="Times New Roman"/>
          <w:sz w:val="20"/>
        </w:rPr>
        <w:t xml:space="preserve">(iii) No L/C Issuer shall be under any obligation to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 </w:t>
      </w:r>
    </w:p>
    <w:p>
      <w:pPr>
        <w:pStyle w:val="TextBody"/>
        <w:bidi w:val="0"/>
        <w:spacing w:before="120" w:after="0"/>
        <w:jc w:val="left"/>
        <w:rPr>
          <w:rFonts w:ascii="Times New Roman" w:hAnsi="Times New Roman"/>
          <w:sz w:val="20"/>
        </w:rPr>
      </w:pPr>
      <w:r>
        <w:rPr>
          <w:rFonts w:ascii="Times New Roman" w:hAnsi="Times New Roman"/>
          <w:sz w:val="20"/>
        </w:rPr>
        <w:t xml:space="preserve">(B) the issuance of the Letter of Credit would violate one or more policies of such L/C Issuer applicable to letters of credit generally;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agreed by the Administrative Agent and such L/C Issuer, the Letter of Credit is in an initial stated amount less than $500,000; </w:t>
      </w:r>
    </w:p>
    <w:p>
      <w:pPr>
        <w:pStyle w:val="TextBody"/>
        <w:bidi w:val="0"/>
        <w:spacing w:before="120" w:after="0"/>
        <w:jc w:val="left"/>
        <w:rPr>
          <w:rFonts w:ascii="Times New Roman" w:hAnsi="Times New Roman"/>
          <w:sz w:val="20"/>
        </w:rPr>
      </w:pPr>
      <w:r>
        <w:rPr>
          <w:rFonts w:ascii="Times New Roman" w:hAnsi="Times New Roman"/>
          <w:sz w:val="20"/>
        </w:rPr>
        <w:t xml:space="preserve">(D) the Letter of Credit is to be denominated in a currency other than Dollars; </w:t>
      </w:r>
    </w:p>
    <w:p>
      <w:pPr>
        <w:pStyle w:val="TextBody"/>
        <w:bidi w:val="0"/>
        <w:spacing w:before="120" w:after="0"/>
        <w:jc w:val="left"/>
        <w:rPr>
          <w:rFonts w:ascii="Times New Roman" w:hAnsi="Times New Roman"/>
          <w:sz w:val="20"/>
        </w:rPr>
      </w:pPr>
      <w:r>
        <w:rPr>
          <w:rFonts w:ascii="Times New Roman" w:hAnsi="Times New Roman"/>
          <w:sz w:val="20"/>
        </w:rPr>
        <w:t xml:space="preserve">(E) the Letter of Credit contains any provisions for automatic reinstatement of the stated amount after any drawing thereunder; or </w:t>
      </w:r>
    </w:p>
    <w:p>
      <w:pPr>
        <w:pStyle w:val="TextBody"/>
        <w:bidi w:val="0"/>
        <w:spacing w:before="120" w:after="0"/>
        <w:jc w:val="left"/>
        <w:rPr>
          <w:rFonts w:ascii="Times New Roman" w:hAnsi="Times New Roman"/>
          <w:sz w:val="20"/>
        </w:rPr>
      </w:pPr>
      <w:r>
        <w:rPr>
          <w:rFonts w:ascii="Times New Roman" w:hAnsi="Times New Roman"/>
          <w:sz w:val="20"/>
        </w:rPr>
        <w:t xml:space="preserve">(F) any Revolving Credit Lender is at that time a Defaulting Lender, unless such L/C Issuer has entered into arrangements, including the delivery of Cash Collateral, reasonably satisfactory to such L/C Issuer (in its sole discretion) with the Borrower or such Revolving Credit Lender to eliminate such L/C Issuer’s actual or potential Fronting Exposure (after giving effect to </w:t>
      </w:r>
      <w:r>
        <w:rPr>
          <w:rFonts w:ascii="Times New Roman" w:hAnsi="Times New Roman"/>
          <w:sz w:val="20"/>
          <w:u w:val="single"/>
        </w:rPr>
        <w:t>Section 2.15(a)(iv)</w:t>
      </w:r>
      <w:r>
        <w:rPr>
          <w:rFonts w:ascii="Times New Roman" w:hAnsi="Times New Roman"/>
          <w:sz w:val="20"/>
        </w:rPr>
        <w:t xml:space="preserve">) with respect to the Defaulting Lender arising from either the Letter of Credit then proposed to be issued or that Letter of Credit and all other L/C Obligations as to which such L/C Issuer has actual or potential Fronting Exposure, as it may elect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(iv) No L/C Issuer shall amend any Letter of Credit if such L/C Issuer would not be permitted at such time to issue the Letter of Credit in its amended form under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(v) 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(vi) Each L/C Issuer shall act on behalf of the Revolving Credit Lenders with respect to any Letters of Credit issued by it and the documents associated therewith, and such L/C Issuer shall have all of the benefits and immunities (A) provided to the Administrative Agent in </w:t>
      </w:r>
      <w:r>
        <w:rPr>
          <w:rFonts w:ascii="Times New Roman" w:hAnsi="Times New Roman"/>
          <w:sz w:val="20"/>
          <w:u w:val="single"/>
        </w:rPr>
        <w:t>ARTICLE IX</w:t>
      </w:r>
      <w:r>
        <w:rPr>
          <w:rFonts w:ascii="Times New Roman" w:hAnsi="Times New Roman"/>
          <w:sz w:val="20"/>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hAnsi="Times New Roman"/>
          <w:sz w:val="20"/>
          <w:u w:val="single"/>
        </w:rPr>
        <w:t>ARTICLE IX</w:t>
      </w:r>
      <w:r>
        <w:rPr>
          <w:rFonts w:ascii="Times New Roman" w:hAnsi="Times New Roman"/>
          <w:sz w:val="20"/>
        </w:rPr>
        <w:t xml:space="preserve"> included such L/C Issuer with respect to such acts or omissions, and (B) as additionally provided herein with respect to such L/C Issuer.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Issuance and Amendment of Letters of Credit; Auto-Extension 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Letter of Credit shall be issued or amended, as the case may be, upon the request of the Borrower delivered to the relevant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such L/C Issuer and the Administrative Agent not later than 11:00 a.m. at least three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the following: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w:t>
      </w:r>
      <w:r>
        <w:rPr>
          <w:rFonts w:ascii="Times New Roman" w:hAnsi="Times New Roman"/>
          <w:b/>
          <w:sz w:val="20"/>
        </w:rPr>
        <w:t>;</w:t>
      </w:r>
      <w:r>
        <w:rPr>
          <w:rFonts w:ascii="Times New Roman" w:hAnsi="Times New Roman"/>
          <w:sz w:val="20"/>
        </w:rPr>
        <w:t xml:space="preserve"> and (H) such other matters as such L/C Issuer may require. In the case of a request for an amendment of any outstanding Letter of Credit, such Letter of Credit Application shall specify in form and detail satisfactory to such L/C Issuer the following: (A) the Letter of Credit to be amended; (B) the proposed date of amendment thereof (which shall be a Business Day); (C) the nature of the proposed amendment; and (D) such other matters as such L/C Issuer may require. Additionally, the Borrower shall furnish to such L/C Issuer and the Administrative Agent such other documents and information pertaining to such requested Letter of Credit issuance or amendment, including any Issuer Documents, as such L/C Issuer or the Administrative Agent may require. </w:t>
      </w:r>
    </w:p>
    <w:p>
      <w:pPr>
        <w:pStyle w:val="TextBody"/>
        <w:bidi w:val="0"/>
        <w:spacing w:before="240" w:after="0"/>
        <w:jc w:val="left"/>
        <w:rPr>
          <w:rFonts w:ascii="Times New Roman" w:hAnsi="Times New Roman"/>
          <w:sz w:val="20"/>
        </w:rPr>
      </w:pPr>
      <w:r>
        <w:rPr>
          <w:rFonts w:ascii="Times New Roman" w:hAnsi="Times New Roman"/>
          <w:sz w:val="20"/>
        </w:rPr>
        <w:t xml:space="preserve">(ii) Unless the applicable L/C Issuer has received written notice from any Revolving Credit Lender, the Administrative Agent or any Loan Party, at least one Business Day prior to the requested date of issuance or amendment of the applicable Letter of Credit, that one or more of the applicable conditions contained in </w:t>
      </w:r>
      <w:r>
        <w:rPr>
          <w:rFonts w:ascii="Times New Roman" w:hAnsi="Times New Roman"/>
          <w:sz w:val="20"/>
          <w:u w:val="single"/>
        </w:rPr>
        <w:t>ARTICLE IV</w:t>
      </w:r>
      <w:r>
        <w:rPr>
          <w:rFonts w:ascii="Times New Roman" w:hAnsi="Times New Roman"/>
          <w:sz w:val="20"/>
        </w:rPr>
        <w:t xml:space="preserve"> shall not have been satisfied (other than matters previously waived), then, subject to the terms and conditions hereof, such L/C Issuer shall, on the requested date, issue a Letter of Credit for the account of the Borrower (or the applicable Loan Party)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such L/C Issuer a risk participation in such Letter of Credit in an amount equal to the product of such Revolving Credit Lender’s Applicable Revolving Credit Percentage times the amount of such Letter of Credit. </w:t>
      </w:r>
    </w:p>
    <w:p>
      <w:pPr>
        <w:pStyle w:val="TextBody"/>
        <w:bidi w:val="0"/>
        <w:spacing w:before="240" w:after="0"/>
        <w:jc w:val="left"/>
        <w:rPr>
          <w:rFonts w:ascii="Times New Roman" w:hAnsi="Times New Roman"/>
          <w:sz w:val="20"/>
        </w:rPr>
      </w:pPr>
      <w:r>
        <w:rPr>
          <w:rFonts w:ascii="Times New Roman" w:hAnsi="Times New Roman"/>
          <w:sz w:val="20"/>
        </w:rPr>
        <w:t>(iii) If the Borrower so requests in any applicable Letter of Credit Application, any L/C Issuer may, in its sole discretion, agree to issue a Letter of Credit that has automatic extension provisions (each, an “</w:t>
      </w:r>
      <w:r>
        <w:rPr>
          <w:rFonts w:ascii="Times New Roman" w:hAnsi="Times New Roman"/>
          <w:sz w:val="20"/>
          <w:u w:val="single"/>
        </w:rPr>
        <w:t>Auto-Extension Letter of Credit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and the Borrower not later than a day (the “</w:t>
      </w:r>
      <w:r>
        <w:rPr>
          <w:rFonts w:ascii="Times New Roman" w:hAnsi="Times New Roman"/>
          <w:sz w:val="20"/>
          <w:u w:val="single"/>
        </w:rPr>
        <w:t>Non-Extension Notice Date</w:t>
      </w:r>
      <w:r>
        <w:rPr>
          <w:rFonts w:ascii="Times New Roman" w:hAnsi="Times New Roman"/>
          <w:sz w:val="20"/>
        </w:rPr>
        <w:t xml:space="preserve">”) in each such twelve-month period to be agreed upon at the time such Letter of Credit is issued. Unless otherwise directed by such L/C Issuer, the Borrower shall not be required to make a specific request to such L/C Issuer for any such extension. Once an Auto-Extension Letter of Credit has been issued, the Revolving Credit Lenders shall be deemed to have authorized (but may not require) such L/C Issuer to permit the extension of such Letter of Credit at any time to an expiry date not later than the Letter of Credit Expiration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hAnsi="Times New Roman"/>
          <w:sz w:val="20"/>
          <w:u w:val="single"/>
        </w:rPr>
        <w:t>Section 2.03(a)</w:t>
      </w:r>
      <w:r>
        <w:rPr>
          <w:rFonts w:ascii="Times New Roman" w:hAnsi="Times New Roman"/>
          <w:sz w:val="20"/>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Revolving Credit Lender or the Borrower that one or more of the applicable conditions specified in </w:t>
      </w:r>
      <w:r>
        <w:rPr>
          <w:rFonts w:ascii="Times New Roman" w:hAnsi="Times New Roman"/>
          <w:sz w:val="20"/>
          <w:u w:val="single"/>
        </w:rPr>
        <w:t>Section 4.02</w:t>
      </w:r>
      <w:r>
        <w:rPr>
          <w:rFonts w:ascii="Times New Roman" w:hAnsi="Times New Roman"/>
          <w:sz w:val="20"/>
        </w:rPr>
        <w:t xml:space="preserve"> is not then satisfied, and in each such case directing such L/C Issuer not to permit such extension.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Drawings and Reimbursements; Funding of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Upon receipt from the beneficiary of any Letter of Credit of any notice of a drawing under such Letter of Credit, the applicable L/C Issuer shall notify the Borrower and the Administrative Agent thereof and shall state the date payment shall be made by such L/C Issuer under a Letter of Credit (each such date, an “</w:t>
      </w:r>
      <w:r>
        <w:rPr>
          <w:rFonts w:ascii="Times New Roman" w:hAnsi="Times New Roman"/>
          <w:sz w:val="20"/>
          <w:u w:val="single"/>
        </w:rPr>
        <w:t>Honor Date</w:t>
      </w:r>
      <w:r>
        <w:rPr>
          <w:rFonts w:ascii="Times New Roman" w:hAnsi="Times New Roman"/>
          <w:sz w:val="20"/>
        </w:rPr>
        <w:t>”). Not later than 11:00 a.m. on the Honor Date, the Borrower shall reimburse such L/C Issuer through the Administrative Agent in an amount equal to the amount of such drawing. If the Borrower fails to so reimburse such L/C Issuer by such time, the Administrative Agent shall promptly notify each Revolving Credit Lender of the Honor Date, the amount of the unreimbursed drawing (the “</w:t>
      </w:r>
      <w:r>
        <w:rPr>
          <w:rFonts w:ascii="Times New Roman" w:hAnsi="Times New Roman"/>
          <w:sz w:val="20"/>
          <w:u w:val="single"/>
        </w:rPr>
        <w:t>Unreimbursed Amount</w:t>
      </w:r>
      <w:r>
        <w:rPr>
          <w:rFonts w:ascii="Times New Roman" w:hAnsi="Times New Roman"/>
          <w:sz w:val="20"/>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Times New Roman" w:hAnsi="Times New Roman"/>
          <w:sz w:val="20"/>
          <w:u w:val="single"/>
        </w:rPr>
        <w:t>Section 2.02</w:t>
      </w:r>
      <w:r>
        <w:rPr>
          <w:rFonts w:ascii="Times New Roman" w:hAnsi="Times New Roman"/>
          <w:sz w:val="20"/>
        </w:rPr>
        <w:t xml:space="preserve"> for the principal amount of Base Rate Loans, but subject to the amount of the unutilized portion of the Revolving Credit Commitments and the conditions set forth in </w:t>
      </w:r>
      <w:r>
        <w:rPr>
          <w:rFonts w:ascii="Times New Roman" w:hAnsi="Times New Roman"/>
          <w:sz w:val="20"/>
          <w:u w:val="single"/>
        </w:rPr>
        <w:t>Section 4.02</w:t>
      </w:r>
      <w:r>
        <w:rPr>
          <w:rFonts w:ascii="Times New Roman" w:hAnsi="Times New Roman"/>
          <w:sz w:val="20"/>
        </w:rPr>
        <w:t xml:space="preserve"> (other than the delivery of a Loan Notice). Any notice given by a L/C Issuer or the Administrative Agent pursuant to this </w:t>
      </w:r>
      <w:r>
        <w:rPr>
          <w:rFonts w:ascii="Times New Roman" w:hAnsi="Times New Roman"/>
          <w:sz w:val="20"/>
          <w:u w:val="single"/>
        </w:rPr>
        <w:t>Section 2.03(c)(i)</w:t>
      </w:r>
      <w:r>
        <w:rPr>
          <w:rFonts w:ascii="Times New Roman" w:hAnsi="Times New Roman"/>
          <w:sz w:val="20"/>
        </w:rPr>
        <w:t xml:space="preserve"> may be given by telephone if immediately confirmed in writing; </w:t>
      </w:r>
      <w:r>
        <w:rPr>
          <w:rFonts w:ascii="Times New Roman" w:hAnsi="Times New Roman"/>
          <w:sz w:val="20"/>
          <w:u w:val="single"/>
        </w:rPr>
        <w:t>provided</w:t>
      </w:r>
      <w:r>
        <w:rPr>
          <w:rFonts w:ascii="Times New Roman" w:hAnsi="Times New Roman"/>
          <w:sz w:val="20"/>
        </w:rPr>
        <w:t xml:space="preserve"> that the lack of such an immediate confirmation shall not affect the conclusiveness or binding effect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(ii) Each Revolving Credit Lender shall upon any notice pursuant to </w:t>
      </w:r>
      <w:r>
        <w:rPr>
          <w:rFonts w:ascii="Times New Roman" w:hAnsi="Times New Roman"/>
          <w:sz w:val="20"/>
          <w:u w:val="single"/>
        </w:rPr>
        <w:t>Section 2.03(c)(i)</w:t>
      </w:r>
      <w:r>
        <w:rPr>
          <w:rFonts w:ascii="Times New Roman" w:hAnsi="Times New Roman"/>
          <w:sz w:val="20"/>
        </w:rPr>
        <w:t xml:space="preserve"> make funds available (and the Administrative Agent may apply Cash Collateral provided for this purpose) for the account of the relevant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Times New Roman" w:hAnsi="Times New Roman"/>
          <w:sz w:val="20"/>
          <w:u w:val="single"/>
        </w:rPr>
        <w:t>Section 2.03(c)(iii)</w:t>
      </w:r>
      <w:r>
        <w:rPr>
          <w:rFonts w:ascii="Times New Roman" w:hAnsi="Times New Roman"/>
          <w:sz w:val="20"/>
        </w:rPr>
        <w:t xml:space="preserve">, each Revolving Credit Lender that so makes funds available shall be deemed to have made a Base Rate Loan to the Borrower in such amount. The Administrative Agent shall remit the funds so received to the relevant L/C Issuer. </w:t>
      </w:r>
    </w:p>
    <w:p>
      <w:pPr>
        <w:pStyle w:val="TextBody"/>
        <w:bidi w:val="0"/>
        <w:spacing w:before="240" w:after="0"/>
        <w:jc w:val="left"/>
        <w:rPr>
          <w:rFonts w:ascii="Times New Roman" w:hAnsi="Times New Roman"/>
          <w:sz w:val="20"/>
        </w:rPr>
      </w:pPr>
      <w:r>
        <w:rPr>
          <w:rFonts w:ascii="Times New Roman" w:hAnsi="Times New Roman"/>
          <w:sz w:val="20"/>
        </w:rPr>
        <w:t xml:space="preserve">(iii) With respect to any Unreimbursed Amount that is not fully refinanced by a Revolving Credit Borrowing of Base Rate Loans because the conditions set forth in </w:t>
      </w:r>
      <w:r>
        <w:rPr>
          <w:rFonts w:ascii="Times New Roman" w:hAnsi="Times New Roman"/>
          <w:sz w:val="20"/>
          <w:u w:val="single"/>
        </w:rPr>
        <w:t>Section 4.02</w:t>
      </w:r>
      <w:r>
        <w:rPr>
          <w:rFonts w:ascii="Times New Roman" w:hAnsi="Times New Roman"/>
          <w:sz w:val="20"/>
        </w:rPr>
        <w:t xml:space="preserve"> 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such L/C Issuer pursuant to </w:t>
      </w:r>
      <w:r>
        <w:rPr>
          <w:rFonts w:ascii="Times New Roman" w:hAnsi="Times New Roman"/>
          <w:sz w:val="20"/>
          <w:u w:val="single"/>
        </w:rPr>
        <w:t>Section 2.03(c)(ii)</w:t>
      </w:r>
      <w:r>
        <w:rPr>
          <w:rFonts w:ascii="Times New Roman" w:hAnsi="Times New Roman"/>
          <w:sz w:val="20"/>
        </w:rPr>
        <w:t xml:space="preserve"> shall be deemed payment in respect of its participation in such L/C Borrowing and shall constitute an L/C Advance from such Lender in satisfaction of its participation obligation under this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Until each Revolving Credit Lender funds its Revolving Credit Loan or L/C Advance pursuant to this </w:t>
      </w:r>
      <w:r>
        <w:rPr>
          <w:rFonts w:ascii="Times New Roman" w:hAnsi="Times New Roman"/>
          <w:sz w:val="20"/>
          <w:u w:val="single"/>
        </w:rPr>
        <w:t>Section 2.03(c)</w:t>
      </w:r>
      <w:r>
        <w:rPr>
          <w:rFonts w:ascii="Times New Roman" w:hAnsi="Times New Roman"/>
          <w:sz w:val="20"/>
        </w:rPr>
        <w:t xml:space="preserve"> to reimburse the relevant L/C Issuer for any amount drawn under any Letter of Credit, interest in respect of such Lender’s Applicable Revolving Credit Percentage of such amount shall be solely for the account of such L/C Issuer.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Each Revolving Credit Lender’s obligation to make Revolving Credit Loans or L/C Advances to reimburse a L/C Issuer for amounts drawn under Letters of Credit, as contemplated by this </w:t>
      </w:r>
      <w:r>
        <w:rPr>
          <w:rFonts w:ascii="Times New Roman" w:hAnsi="Times New Roman"/>
          <w:sz w:val="20"/>
          <w:u w:val="single"/>
        </w:rPr>
        <w:t>Section 2.03(c)</w:t>
      </w:r>
      <w:r>
        <w:rPr>
          <w:rFonts w:ascii="Times New Roman" w:hAnsi="Times New Roman"/>
          <w:sz w:val="20"/>
        </w:rPr>
        <w:t xml:space="preserve">, shall be absolute and unconditional and shall not be affected by any circumstance, including (A) any setoff, counterclaim, recoupment, defense or other right which such Lender may have against such L/C Issuer, the Administrative Agent, the Borrower or any other Person for any reason whatsoever, (B) the occurrence or continuance of a Default, or (C) any other occurrence, event or condition, whether or not similar to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Revolving Credit Lender’s obligation to make Revolving Credit Loans pursuant to this </w:t>
      </w:r>
      <w:r>
        <w:rPr>
          <w:rFonts w:ascii="Times New Roman" w:hAnsi="Times New Roman"/>
          <w:sz w:val="20"/>
          <w:u w:val="single"/>
        </w:rPr>
        <w:t>Section 2.03(c)</w:t>
      </w:r>
      <w:r>
        <w:rPr>
          <w:rFonts w:ascii="Times New Roman" w:hAnsi="Times New Roman"/>
          <w:sz w:val="20"/>
        </w:rPr>
        <w:t xml:space="preserve"> is subject to the amount of the unutilized portion of the Revolving Credit Facility and the conditions set forth in </w:t>
      </w:r>
      <w:r>
        <w:rPr>
          <w:rFonts w:ascii="Times New Roman" w:hAnsi="Times New Roman"/>
          <w:sz w:val="20"/>
          <w:u w:val="single"/>
        </w:rPr>
        <w:t>Section 4.02</w:t>
      </w:r>
      <w:r>
        <w:rPr>
          <w:rFonts w:ascii="Times New Roman" w:hAnsi="Times New Roman"/>
          <w:sz w:val="20"/>
        </w:rPr>
        <w:t xml:space="preserve"> (other than delivery by the Borrower of a Loan Notice). No such making of an L/C Advance shall relieve or otherwise impair the obligation of the Borrower to reimburse applicable L/C Issuer for the amount of any payment made by such L/C Issuer under any Letter of Credit, together with interest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(vi) If any Revolving Credit Lender fails to make available to the Administrative Agent for the account of the applicable L/C Issuer any amount required to be paid by such Lender pursuant to the foregoing provisions of this </w:t>
      </w:r>
      <w:r>
        <w:rPr>
          <w:rFonts w:ascii="Times New Roman" w:hAnsi="Times New Roman"/>
          <w:sz w:val="20"/>
          <w:u w:val="single"/>
        </w:rPr>
        <w:t>Section 2.03(c)</w:t>
      </w:r>
      <w:r>
        <w:rPr>
          <w:rFonts w:ascii="Times New Roman" w:hAnsi="Times New Roman"/>
          <w:sz w:val="20"/>
        </w:rPr>
        <w:t xml:space="preserve"> by the time specified in </w:t>
      </w:r>
      <w:r>
        <w:rPr>
          <w:rFonts w:ascii="Times New Roman" w:hAnsi="Times New Roman"/>
          <w:sz w:val="20"/>
          <w:u w:val="single"/>
        </w:rPr>
        <w:t>Section 2.03(c)(ii)</w:t>
      </w:r>
      <w:r>
        <w:rPr>
          <w:rFonts w:ascii="Times New Roman" w:hAnsi="Times New Roman"/>
          <w:sz w:val="20"/>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such L/C Issuer in accordance with banking industry rules on interbank compensation,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any L/C Issuer submitted to any Revolving Credit Lender (through the Administrative Agent) with respect to any amounts owing under this </w:t>
      </w:r>
      <w:r>
        <w:rPr>
          <w:rFonts w:ascii="Times New Roman" w:hAnsi="Times New Roman"/>
          <w:sz w:val="20"/>
          <w:u w:val="single"/>
        </w:rPr>
        <w:t>Section 2.03(c)(vi)</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any time after a L/C Issuer has made a payment under any Letter of Credit and has received from any Revolving Credit Lender such Lender’s L/C Advance in respect of such payment in accordance with </w:t>
      </w:r>
      <w:r>
        <w:rPr>
          <w:rFonts w:ascii="Times New Roman" w:hAnsi="Times New Roman"/>
          <w:sz w:val="20"/>
          <w:u w:val="single"/>
        </w:rPr>
        <w:t>Section 2.03(c)</w:t>
      </w:r>
      <w:r>
        <w:rPr>
          <w:rFonts w:ascii="Times New Roman" w:hAnsi="Times New Roman"/>
          <w:sz w:val="20"/>
        </w:rPr>
        <w:t xml:space="preserve">,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(appropriately adjusted, in the case of interest payments, to reflect the period of time during which such Lender’s L/C Advance was outstanding) in the same funds as those received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(ii) If any payment received by the Administrative Agent for the account of a L/C Issuer pursuant to </w:t>
      </w:r>
      <w:r>
        <w:rPr>
          <w:rFonts w:ascii="Times New Roman" w:hAnsi="Times New Roman"/>
          <w:sz w:val="20"/>
          <w:u w:val="single"/>
        </w:rPr>
        <w:t>Section 2.03(c)(i)</w:t>
      </w:r>
      <w:r>
        <w:rPr>
          <w:rFonts w:ascii="Times New Roman" w:hAnsi="Times New Roman"/>
          <w:sz w:val="20"/>
        </w:rPr>
        <w:t xml:space="preserve"> is required to be returned under any of the circumstances described in </w:t>
      </w:r>
      <w:r>
        <w:rPr>
          <w:rFonts w:ascii="Times New Roman" w:hAnsi="Times New Roman"/>
          <w:sz w:val="20"/>
          <w:u w:val="single"/>
        </w:rPr>
        <w:t>Section 10.05</w:t>
      </w:r>
      <w:r>
        <w:rPr>
          <w:rFonts w:ascii="Times New Roman" w:hAnsi="Times New Roman"/>
          <w:sz w:val="20"/>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Obligations Absolute</w:t>
      </w:r>
      <w:r>
        <w:rPr>
          <w:rFonts w:ascii="Times New Roman" w:hAnsi="Times New Roman"/>
          <w:sz w:val="20"/>
        </w:rPr>
        <w:t xml:space="preserve">. The obligation of the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such Letter of Credit, this Agreement, or any other Loan Document or any other agreement or instrument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(ii) 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(iv) waiver by any L/C Issuer of any requirement that exists for such L/C Issuer’s protection and not the protection of the Borrower or any waiver by such L/C Issuer which does not in fact materially prejudice the Borrower; </w:t>
      </w:r>
    </w:p>
    <w:p>
      <w:pPr>
        <w:pStyle w:val="TextBody"/>
        <w:bidi w:val="0"/>
        <w:spacing w:before="120" w:after="0"/>
        <w:jc w:val="left"/>
        <w:rPr>
          <w:rFonts w:ascii="Times New Roman" w:hAnsi="Times New Roman"/>
          <w:sz w:val="20"/>
        </w:rPr>
      </w:pPr>
      <w:r>
        <w:rPr>
          <w:rFonts w:ascii="Times New Roman" w:hAnsi="Times New Roman"/>
          <w:sz w:val="20"/>
        </w:rPr>
        <w:t xml:space="preserve">(v) honor of a demand for payment presented electronically even if such Letter of Credit requires that demand be in the form of a draft; </w:t>
      </w:r>
    </w:p>
    <w:p>
      <w:pPr>
        <w:pStyle w:val="TextBody"/>
        <w:bidi w:val="0"/>
        <w:spacing w:before="120" w:after="0"/>
        <w:jc w:val="left"/>
        <w:rPr>
          <w:rFonts w:ascii="Times New Roman" w:hAnsi="Times New Roman"/>
          <w:sz w:val="20"/>
        </w:rPr>
      </w:pPr>
      <w:r>
        <w:rPr>
          <w:rFonts w:ascii="Times New Roman" w:hAnsi="Times New Roman"/>
          <w:sz w:val="20"/>
        </w:rPr>
        <w:t xml:space="preserve">(vi) any payment made by any L/C Issuer in respect of an otherwise complying item presented after the date specified as the expiration date of, or the date by which documents must be received under, such Letter of Credit if presentation after such date is authorized by the UCC or the ISP,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any payment made in good faith by the applicable L/C Issuer under such Letter of Credit against presentation of a draft or certificate that does not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w:t>
      </w:r>
    </w:p>
    <w:p>
      <w:pPr>
        <w:pStyle w:val="TextBody"/>
        <w:bidi w:val="0"/>
        <w:spacing w:before="120" w:after="0"/>
        <w:jc w:val="left"/>
        <w:rPr>
          <w:rFonts w:ascii="Times New Roman" w:hAnsi="Times New Roman"/>
          <w:sz w:val="20"/>
        </w:rPr>
      </w:pPr>
      <w:r>
        <w:rPr>
          <w:rFonts w:ascii="Times New Roman" w:hAnsi="Times New Roman"/>
          <w:sz w:val="20"/>
        </w:rPr>
        <w:t xml:space="preserve">(viii) any exchange, release or non-perfection of any collateral, or any release or amendment or waiver of or consent to the departure from any Guarantee, for all or any of the Obligations of the Borrower in respect of any Letter of Credit; or </w:t>
      </w:r>
    </w:p>
    <w:p>
      <w:pPr>
        <w:pStyle w:val="TextBody"/>
        <w:bidi w:val="0"/>
        <w:spacing w:before="120" w:after="0"/>
        <w:jc w:val="left"/>
        <w:rPr>
          <w:rFonts w:ascii="Times New Roman" w:hAnsi="Times New Roman"/>
          <w:sz w:val="20"/>
        </w:rPr>
      </w:pPr>
      <w:r>
        <w:rPr>
          <w:rFonts w:ascii="Times New Roman" w:hAnsi="Times New Roman"/>
          <w:sz w:val="20"/>
        </w:rPr>
        <w:t xml:space="preserve">(ix) any other circumstance or happening whatsoever, whether or not similar to any of the foregoing, including any other circumstance that might otherwise constitute a defense available to, or a discharge of, the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each L/C Issuer and its correspondents unless such notice is given as aforesaid.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Role of L/C Issuer</w:t>
      </w:r>
      <w:r>
        <w:rPr>
          <w:rFonts w:ascii="Times New Roman" w:hAnsi="Times New Roman"/>
          <w:sz w:val="20"/>
        </w:rPr>
        <w:t xml:space="preserve">. Each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as finally determined by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assumption is not intended to, and shall not, preclude the Borrower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 (i) through (vi) of </w:t>
      </w:r>
      <w:r>
        <w:rPr>
          <w:rFonts w:ascii="Times New Roman" w:hAnsi="Times New Roman"/>
          <w:sz w:val="20"/>
          <w:u w:val="single"/>
        </w:rPr>
        <w:t>Section 2.03(e)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anything in such clauses to the contrary notwithstanding, the Borrower may have a claim against a L/C Issuer, and such L/C Issuer may be liable to the Borrower, to the extent, but only to the extent, of any direct, as opposed to special, indirect, punitive, consequential or exemplary, damages suffered by the Borrower which the Borrower proves were caused by such L/C Issuer’s willful misconduct or gross negligence as finally determined by a court of competent jurisdiction. In furtherance and not in limitation of the foregoing, a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Applicability of ISP</w:t>
      </w:r>
      <w:r>
        <w:rPr>
          <w:rFonts w:ascii="Times New Roman" w:hAnsi="Times New Roman"/>
          <w:sz w:val="20"/>
        </w:rPr>
        <w:t xml:space="preserve">. Unless otherwise expressly agreed by the applicable L/C Issuer and the Borrower when a Letter of Credit is issued, the rules of the ISP shall apply to each standby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Letter of Credit Fees</w:t>
      </w:r>
      <w:r>
        <w:rPr>
          <w:rFonts w:ascii="Times New Roman" w:hAnsi="Times New Roman"/>
          <w:sz w:val="20"/>
        </w:rPr>
        <w:t>. The Borrower shall pay to the Administrative Agent for the account of each Revolving Credit Lender in accordance with its Applicable Revolving Credit Percentage a Letter of Credit fee (the “</w:t>
      </w:r>
      <w:r>
        <w:rPr>
          <w:rFonts w:ascii="Times New Roman" w:hAnsi="Times New Roman"/>
          <w:sz w:val="20"/>
          <w:u w:val="single"/>
        </w:rPr>
        <w:t>Letter of Credit Fee</w:t>
      </w:r>
      <w:r>
        <w:rPr>
          <w:rFonts w:ascii="Times New Roman" w:hAnsi="Times New Roman"/>
          <w:sz w:val="20"/>
        </w:rPr>
        <w:t xml:space="preserve">”) for each Letter of Credit equal to the Applicable Rate times either (i) so long as no Event of Default has occurred and is continuing, the excess of the daily amount available to be drawn under such Letter of Credit over the amount of any Cash Collateral provided by such Borrower with respect to such Letter of Credit as a result of a Revolving Credit Lender becoming a Defaulting Lender or (ii) otherwise, the daily amount available to be drawn under such Letter of Credit (irrespective of any Cash Collateral provided with respect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any Letter of Credit Fees otherwise payable for the account of a Defaulting Lender with respect to any Letter of Credit as to which such Defaulting Lender has not provided Cash Collateral satisfactory to the applicable L/C Issuer pursuant to this </w:t>
      </w:r>
      <w:r>
        <w:rPr>
          <w:rFonts w:ascii="Times New Roman" w:hAnsi="Times New Roman"/>
          <w:sz w:val="20"/>
          <w:u w:val="single"/>
        </w:rPr>
        <w:t>Section 2.03</w:t>
      </w:r>
      <w:r>
        <w:rPr>
          <w:rFonts w:ascii="Times New Roman" w:hAnsi="Times New Roman"/>
          <w:sz w:val="20"/>
        </w:rPr>
        <w:t xml:space="preserve"> shall be payable, to the maximum extent permitted by applicable Law, to the other Revolving Credit Lenders in accordance with the upward adjustments in their respective Applicable Revolving Credit Percentages allocable to such Letter of Credit pursuant to </w:t>
      </w:r>
      <w:r>
        <w:rPr>
          <w:rFonts w:ascii="Times New Roman" w:hAnsi="Times New Roman"/>
          <w:sz w:val="20"/>
          <w:u w:val="single"/>
        </w:rPr>
        <w:t>Section 2.15(a)(iv)</w:t>
      </w:r>
      <w:r>
        <w:rPr>
          <w:rFonts w:ascii="Times New Roman" w:hAnsi="Times New Roman"/>
          <w:sz w:val="20"/>
        </w:rPr>
        <w:t xml:space="preserve">, with the balance of such fee, if any, payable to the applicable L/C Issuer for its own account. For purposes of computing the daily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Such Letter of Credit Fees shall be (i) computed on a quarterly basis in arrears and (ii) due and payable on the last Business Day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Fronting Fee and Documentary and Processing Charges Payable to L/C Issuers</w:t>
      </w:r>
      <w:r>
        <w:rPr>
          <w:rFonts w:ascii="Times New Roman" w:hAnsi="Times New Roman"/>
          <w:sz w:val="20"/>
        </w:rPr>
        <w:t xml:space="preserve">. The Borrower shall pay directly to the applicable L/C Issuer for its own account a fronting fee with respect to each Letter of Credit, at the rate per annum of 0.125%, computed on either (i) so long as no Event of Default has occurred and is continuing, the excess of the daily amount available to be drawn under such Letter of Credit over the amount of any Cash Collateral provided by such Borrower with respect to such Letter of Credit as a result of a Revolving Credit Lender becoming a Defaulting Lender or (ii) otherwise, the daily amount available to be drawn under such Letter of Credit (irrespective of any Cash Collateral provided with respect thereto), in each case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Conflict with Issuer Documents</w:t>
      </w:r>
      <w:r>
        <w:rPr>
          <w:rFonts w:ascii="Times New Roman" w:hAnsi="Times New Roman"/>
          <w:sz w:val="20"/>
        </w:rPr>
        <w:t xml:space="preserve">. In the event of any conflict between the terms hereof and the terms of any Issuer Document, the terms hereof shall control.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Letters of Credit Issued for Subsidiaries</w:t>
      </w:r>
      <w:r>
        <w:rPr>
          <w:rFonts w:ascii="Times New Roman" w:hAnsi="Times New Roman"/>
          <w:sz w:val="20"/>
        </w:rPr>
        <w:t xml:space="preserve">. Notwithstanding that a Letter of Credit issued or outstanding hereunder is in support of any obligations of, or is for the account of, or otherwise will benefit, a Subsidiary, the Borrower shall be obligated to reimburse the L/C Issuers hereunder for any and all drawings under such Letter of Credit. The Borrower hereby acknowledges that the issuance of Letters of Credit for the benefit of Subsidiaries inures to the account of the Borrower, and that the Borrower’s business derives substantial benefits from the businesses of such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Reporting</w:t>
      </w:r>
      <w:r>
        <w:rPr>
          <w:rFonts w:ascii="Times New Roman" w:hAnsi="Times New Roman"/>
          <w:sz w:val="20"/>
        </w:rPr>
        <w:t xml:space="preserve">. Unless otherwise requested by the Administrative Agent, each L/C Issuer shall (i) provide to the Administrative Agent copies of any notice received from the Borrower pursuant to </w:t>
      </w:r>
      <w:r>
        <w:rPr>
          <w:rFonts w:ascii="Times New Roman" w:hAnsi="Times New Roman"/>
          <w:sz w:val="20"/>
          <w:u w:val="single"/>
        </w:rPr>
        <w:t>Section 2.03(b)</w:t>
      </w:r>
      <w:r>
        <w:rPr>
          <w:rFonts w:ascii="Times New Roman" w:hAnsi="Times New Roman"/>
          <w:sz w:val="20"/>
        </w:rPr>
        <w:t xml:space="preserve"> no later than the next Business Day after receipt thereof and (ii) report in writing to the Administrative Agent (A) on or prior to each Business Day on which such L/C Issuer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and such L/C Issuer shall be permitted to issue, amend or extend such Letter of Credit if the Administrative Agent shall not have advised such L/C Issuer that such issuance, amendment or extension would not be in conformity with the requirements of this Agreement, (B) on each Business Day on which such L/C Issuer makes any L/C Advance, the date of such L/C Advance and the amount of such L/C Advance and (C) on any other Business Day, such other information with respect to the outstanding Letters of Credit issued by such L/C Issuer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Resignation or Addition of an L/C Issuer</w:t>
      </w:r>
      <w:r>
        <w:rPr>
          <w:rFonts w:ascii="Times New Roman" w:hAnsi="Times New Roman"/>
          <w:sz w:val="20"/>
        </w:rPr>
        <w:t xml:space="preserve">. An L/C Issuer that is no longer a Revolving Credit Lender hereunder may resign as L/C Issuer at any time upon at least 30 days’ prior written notice to the Administrative Agent and the Borrower. One or more Revolving Credit Lenders may be appointed as additional L/C Issuers in accordance with paragraph (n) below. The Administrative Agent shall notify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Revolving Credit Lenders of any such resignation of an L/C Issuer or any such appointment of an additional L/C Issuer. At the time any such resignation shall become effective, the Borrower shall pay all unpaid fees accrued for the account of the resigning L/C Issuer. From and after the effective date of any such resignation or addition, as applicable, (i) any successor or additional L/C Issuer shall have all the rights and obligations of an L/C Issuer under this Agreement with respect to Letters of Credit to be issued thereafter and (ii) references herein to the term “L/C Issuer” shall be deemed to refer to such successor or such addition or to any previous L/C Issuer, or to such successor or such additional L/C Issuer and all previous L/C Issuers, as the context shall require. After the resignation of an L/C Issuer hereunder, such L/C Issuer shall remain a party hereto and shall continue to have all the rights and obligations of an L/C Issuer under this Agreement with respect to Letters of Credit issued by it prior to such resignation or replacement, but shall not be required to issue additional Letters of Credit. If at any time there is more than one L/C Issuer hereunder, the Borrower may, in its discretion, select which L/C Issuer is to issue any particular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Additional L/C Issuers</w:t>
      </w:r>
      <w:r>
        <w:rPr>
          <w:rFonts w:ascii="Times New Roman" w:hAnsi="Times New Roman"/>
          <w:sz w:val="20"/>
        </w:rPr>
        <w:t xml:space="preserve">. Any Revolving Credit Lender designated as an issuing bank pursuant to this paragraph (n) shall be deemed (in addition to being a Revolving Credit Lender) to be an L/C Issuer with respect to Letters of Credit issued or to be issued by such Lender, and all references herein and in the other Loan Documents to the term “L/C Issuer” shall, with respect to such Letters of Credit, be deemed to refer to such Lender in its capacity as L/C Issuer, as the context shall require. </w:t>
      </w:r>
    </w:p>
    <w:p>
      <w:pPr>
        <w:pStyle w:val="TextBody"/>
        <w:bidi w:val="0"/>
        <w:spacing w:before="240" w:after="0"/>
        <w:jc w:val="left"/>
        <w:rPr>
          <w:rFonts w:ascii="Times New Roman" w:hAnsi="Times New Roman"/>
          <w:sz w:val="20"/>
        </w:rPr>
      </w:pPr>
      <w:r>
        <w:rPr>
          <w:rFonts w:ascii="Times New Roman" w:hAnsi="Times New Roman"/>
          <w:b/>
          <w:sz w:val="20"/>
        </w:rPr>
        <w:t>2.04</w:t>
      </w:r>
      <w:r>
        <w:rPr>
          <w:rFonts w:ascii="Times New Roman" w:hAnsi="Times New Roman"/>
          <w:sz w:val="20"/>
        </w:rPr>
        <w:t xml:space="preserve"> </w:t>
      </w:r>
      <w:r>
        <w:rPr>
          <w:rFonts w:ascii="Times New Roman" w:hAnsi="Times New Roman"/>
          <w:b/>
          <w:sz w:val="20"/>
        </w:rPr>
        <w:t>Swing Line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Swing Line</w:t>
      </w:r>
      <w:r>
        <w:rPr>
          <w:rFonts w:ascii="Times New Roman" w:hAnsi="Times New Roman"/>
          <w:sz w:val="20"/>
        </w:rPr>
        <w:t xml:space="preserve">. Subject to the terms and conditions set forth herein, each Swing Line Lender agrees, in reliance upon the agreements of the other Lenders set forth in this </w:t>
      </w:r>
      <w:r>
        <w:rPr>
          <w:rFonts w:ascii="Times New Roman" w:hAnsi="Times New Roman"/>
          <w:sz w:val="20"/>
          <w:u w:val="single"/>
        </w:rPr>
        <w:t>Section 2.04</w:t>
      </w:r>
      <w:r>
        <w:rPr>
          <w:rFonts w:ascii="Times New Roman" w:hAnsi="Times New Roman"/>
          <w:sz w:val="20"/>
        </w:rPr>
        <w:t>, to make loans (each such loan, a “</w:t>
      </w:r>
      <w:r>
        <w:rPr>
          <w:rFonts w:ascii="Times New Roman" w:hAnsi="Times New Roman"/>
          <w:sz w:val="20"/>
          <w:u w:val="single"/>
        </w:rPr>
        <w:t>Swing Line Loan</w:t>
      </w:r>
      <w:r>
        <w:rPr>
          <w:rFonts w:ascii="Times New Roman" w:hAnsi="Times New Roman"/>
          <w:sz w:val="20"/>
        </w:rPr>
        <w:t xml:space="preserve">”) to the Borrower from time to time on any Business Day during the Availability Period in an aggregate amount not to exceed at any time outstanding the amount of its Swing Line Commitment, notwithstanding the fact that such Swing Line Loans, when aggregated with the Applicable Revolving Credit Percentage of the Outstanding Amount of Revolving Credit Loans and L/C Obligations of any Lender acting as Swing Line Lender, may exceed the amount of such Lender’s Revolving Credit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any Swing Line Loan, (i) the aggregate principal amount of all Swing Line Loans outstanding shall not exceed the Swing Line Sublimit, (ii) the Total Revolving Credit Outstandings shall not exceed the Revolving Credit Facility at such time, and (iii) except as provided above with respect to any Swing Line Lender, the aggregate Outstanding Amount of the Revolving Credit Loans of any Revolving Credit Lender at such time, plus such Revolving Credit Lender’s Applicable Revolving Credit Percentage of the Outstanding Amount of all L/C Obligations at such time, </w:t>
      </w:r>
      <w:r>
        <w:rPr>
          <w:rFonts w:ascii="Times New Roman" w:hAnsi="Times New Roman"/>
          <w:sz w:val="20"/>
          <w:u w:val="single"/>
        </w:rPr>
        <w:t>plus</w:t>
      </w:r>
      <w:r>
        <w:rPr>
          <w:rFonts w:ascii="Times New Roman" w:hAnsi="Times New Roman"/>
          <w:sz w:val="20"/>
        </w:rPr>
        <w:t xml:space="preserve"> such Revolving Credit Lender’s Applicable Revolving Credit Percentage of the Outstanding Amount of all Swing Line Loans at such time shall not exceed such Lender’s Revolving Credit Commitment,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Times New Roman" w:hAnsi="Times New Roman"/>
          <w:sz w:val="20"/>
          <w:u w:val="single"/>
        </w:rPr>
        <w:t>Section 2.04</w:t>
      </w:r>
      <w:r>
        <w:rPr>
          <w:rFonts w:ascii="Times New Roman" w:hAnsi="Times New Roman"/>
          <w:sz w:val="20"/>
        </w:rPr>
        <w:t xml:space="preserve">, prepay under </w:t>
      </w:r>
      <w:r>
        <w:rPr>
          <w:rFonts w:ascii="Times New Roman" w:hAnsi="Times New Roman"/>
          <w:sz w:val="20"/>
          <w:u w:val="single"/>
        </w:rPr>
        <w:t>Section 2.05</w:t>
      </w:r>
      <w:r>
        <w:rPr>
          <w:rFonts w:ascii="Times New Roman" w:hAnsi="Times New Roman"/>
          <w:sz w:val="20"/>
        </w:rPr>
        <w:t xml:space="preserve">, and reborrow under this </w:t>
      </w:r>
      <w:r>
        <w:rPr>
          <w:rFonts w:ascii="Times New Roman" w:hAnsi="Times New Roman"/>
          <w:sz w:val="20"/>
          <w:u w:val="single"/>
        </w:rPr>
        <w:t>Section 2.04</w:t>
      </w:r>
      <w:r>
        <w:rPr>
          <w:rFonts w:ascii="Times New Roman" w:hAnsi="Times New Roman"/>
          <w:sz w:val="20"/>
        </w:rPr>
        <w:t xml:space="preserve">.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Times New Roman" w:hAnsi="Times New Roman"/>
          <w:sz w:val="20"/>
          <w:u w:val="single"/>
        </w:rPr>
        <w:t>times</w:t>
      </w:r>
      <w:r>
        <w:rPr>
          <w:rFonts w:ascii="Times New Roman" w:hAnsi="Times New Roman"/>
          <w:sz w:val="20"/>
        </w:rPr>
        <w:t xml:space="preserve"> the amount of such Swing Line Loan.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Borrowing Procedures</w:t>
      </w:r>
      <w:r>
        <w:rPr>
          <w:rFonts w:ascii="Times New Roman" w:hAnsi="Times New Roman"/>
          <w:sz w:val="20"/>
        </w:rPr>
        <w:t xml:space="preserve">. Each Swing Line Borrowing shall be made upon the Borrower’s irrevocable notice to the Swing Line Lender and the Administrative Agent, which may be given by (a) telephone or (b) by a Swing Line Loan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telephonic notice must be confirmed promptly by delivery to the Swing Line Lender and the Administrative Agent of a Swing Line Loan Notice. Each such notice must be received by the Swing Line Lender and the Administrative Agent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later than 1:00 p.m. on the requested borrowing date, and shall specify (i) the amount to be borrowed, which shall be a minimum of $500,000 or a whole multiple of $100,000 in excess thereof,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Times New Roman" w:hAnsi="Times New Roman"/>
          <w:sz w:val="20"/>
          <w:u w:val="single"/>
        </w:rPr>
        <w:t>Section 2.04(a)</w:t>
      </w:r>
      <w:r>
        <w:rPr>
          <w:rFonts w:ascii="Times New Roman" w:hAnsi="Times New Roman"/>
          <w:sz w:val="20"/>
        </w:rPr>
        <w:t xml:space="preserve">, or (B) that one or more of the applicable conditions specified in </w:t>
      </w:r>
      <w:r>
        <w:rPr>
          <w:rFonts w:ascii="Times New Roman" w:hAnsi="Times New Roman"/>
          <w:sz w:val="20"/>
          <w:u w:val="single"/>
        </w:rPr>
        <w:t>ARTICLE IV</w:t>
      </w:r>
      <w:r>
        <w:rPr>
          <w:rFonts w:ascii="Times New Roman" w:hAnsi="Times New Roman"/>
          <w:sz w:val="20"/>
        </w:rPr>
        <w:t xml:space="preserve"> (other than matters previously waived) 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 of the Borrower designated on the books of the Swing Line Lender or by wire transfer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Refinancing of Swing Line Loans</w:t>
      </w:r>
      <w:r>
        <w:rPr>
          <w:rFonts w:ascii="Times New Roman" w:hAnsi="Times New Roman"/>
          <w:sz w:val="20"/>
        </w:rPr>
        <w:t xml:space="preserve">. (i) The Swing Line Lender at any time in its sole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Times New Roman" w:hAnsi="Times New Roman"/>
          <w:sz w:val="20"/>
          <w:u w:val="single"/>
        </w:rPr>
        <w:t>Section 2.02</w:t>
      </w:r>
      <w:r>
        <w:rPr>
          <w:rFonts w:ascii="Times New Roman" w:hAnsi="Times New Roman"/>
          <w:sz w:val="20"/>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hAnsi="Times New Roman"/>
          <w:sz w:val="20"/>
          <w:u w:val="single"/>
        </w:rPr>
        <w:t>Section 4.02</w:t>
      </w:r>
      <w:r>
        <w:rPr>
          <w:rFonts w:ascii="Times New Roman" w:hAnsi="Times New Roman"/>
          <w:sz w:val="20"/>
        </w:rPr>
        <w:t xml:space="preserve">. The Swing Line Lender shall furnish the Borrower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Loan Notice, whereupon, subject to </w:t>
      </w:r>
      <w:r>
        <w:rPr>
          <w:rFonts w:ascii="Times New Roman" w:hAnsi="Times New Roman"/>
          <w:sz w:val="20"/>
          <w:u w:val="single"/>
        </w:rPr>
        <w:t>Section 2.04(c)(ii)</w:t>
      </w:r>
      <w:r>
        <w:rPr>
          <w:rFonts w:ascii="Times New Roman" w:hAnsi="Times New Roman"/>
          <w:sz w:val="20"/>
        </w:rPr>
        <w:t xml:space="preserve">, each Revolving Credit Lender that so makes funds available shall be deemed to have made a Base Rate Loan to the Borrower in such amount. The Administrative Agent shall remit the funds so received to the Swing Line Lender. </w:t>
      </w:r>
    </w:p>
    <w:p>
      <w:pPr>
        <w:pStyle w:val="TextBody"/>
        <w:bidi w:val="0"/>
        <w:spacing w:before="240" w:after="0"/>
        <w:jc w:val="left"/>
        <w:rPr>
          <w:rFonts w:ascii="Times New Roman" w:hAnsi="Times New Roman"/>
          <w:sz w:val="20"/>
        </w:rPr>
      </w:pPr>
      <w:r>
        <w:rPr>
          <w:rFonts w:ascii="Times New Roman" w:hAnsi="Times New Roman"/>
          <w:sz w:val="20"/>
        </w:rPr>
        <w:t xml:space="preserve">(ii) If for any reason any Swing Line Loan cannot be refinanced by such a Revolving Credit Borrowing in accordance with </w:t>
      </w:r>
      <w:r>
        <w:rPr>
          <w:rFonts w:ascii="Times New Roman" w:hAnsi="Times New Roman"/>
          <w:sz w:val="20"/>
          <w:u w:val="single"/>
        </w:rPr>
        <w:t>Section 2.04(c)(i)</w:t>
      </w:r>
      <w:r>
        <w:rPr>
          <w:rFonts w:ascii="Times New Roman" w:hAnsi="Times New Roman"/>
          <w:sz w:val="20"/>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hAnsi="Times New Roman"/>
          <w:sz w:val="20"/>
          <w:u w:val="single"/>
        </w:rPr>
        <w:t>Section 2.04(c)(i)</w:t>
      </w:r>
      <w:r>
        <w:rPr>
          <w:rFonts w:ascii="Times New Roman" w:hAnsi="Times New Roman"/>
          <w:sz w:val="20"/>
        </w:rPr>
        <w:t xml:space="preserve"> shall be deemed payment in respect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(iii) If any Revolving Credit Lender fails to make available to the Administrative Agent for the account of the Swing Line Lender any amount required to be paid by such Lender pursuant to the foregoing provisions of this </w:t>
      </w:r>
      <w:r>
        <w:rPr>
          <w:rFonts w:ascii="Times New Roman" w:hAnsi="Times New Roman"/>
          <w:sz w:val="20"/>
          <w:u w:val="single"/>
        </w:rPr>
        <w:t>Section 2.04(c)</w:t>
      </w:r>
      <w:r>
        <w:rPr>
          <w:rFonts w:ascii="Times New Roman" w:hAnsi="Times New Roman"/>
          <w:sz w:val="20"/>
        </w:rPr>
        <w:t xml:space="preserve"> by the time specified in </w:t>
      </w:r>
      <w:r>
        <w:rPr>
          <w:rFonts w:ascii="Times New Roman" w:hAnsi="Times New Roman"/>
          <w:sz w:val="20"/>
          <w:u w:val="single"/>
        </w:rPr>
        <w:t>Section 2.04(c)(i)</w:t>
      </w:r>
      <w:r>
        <w:rPr>
          <w:rFonts w:ascii="Times New Roman" w:hAnsi="Times New Roman"/>
          <w:sz w:val="20"/>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hAnsi="Times New Roman"/>
          <w:sz w:val="20"/>
          <w:u w:val="single"/>
        </w:rPr>
        <w:t>Section 2.04(c)(iii)</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(iv) Each Revolving Credit Lender’s obligation to make Revolving Credit Loans or to purchase and fund risk participations in Swing Line Loans pursuant to this </w:t>
      </w:r>
      <w:r>
        <w:rPr>
          <w:rFonts w:ascii="Times New Roman" w:hAnsi="Times New Roman"/>
          <w:sz w:val="20"/>
          <w:u w:val="single"/>
        </w:rPr>
        <w:t>Section 2.04(c)</w:t>
      </w:r>
      <w:r>
        <w:rPr>
          <w:rFonts w:ascii="Times New Roman" w:hAnsi="Times New Roman"/>
          <w:sz w:val="20"/>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provided, however, that each Revolving Credit Lender’s obligation to make Revolving Credit Loans pursuant to this </w:t>
      </w:r>
      <w:r>
        <w:rPr>
          <w:rFonts w:ascii="Times New Roman" w:hAnsi="Times New Roman"/>
          <w:sz w:val="20"/>
          <w:u w:val="single"/>
        </w:rPr>
        <w:t>Section 2.04(c)</w:t>
      </w:r>
      <w:r>
        <w:rPr>
          <w:rFonts w:ascii="Times New Roman" w:hAnsi="Times New Roman"/>
          <w:sz w:val="20"/>
        </w:rPr>
        <w:t xml:space="preserve"> is subject to the amount of the unutilized portion of the Revolving Credit Facility and the conditions set forth in </w:t>
      </w:r>
      <w:r>
        <w:rPr>
          <w:rFonts w:ascii="Times New Roman" w:hAnsi="Times New Roman"/>
          <w:sz w:val="20"/>
          <w:u w:val="single"/>
        </w:rPr>
        <w:t>Section 4.02</w:t>
      </w:r>
      <w:r>
        <w:rPr>
          <w:rFonts w:ascii="Times New Roman" w:hAnsi="Times New Roman"/>
          <w:sz w:val="20"/>
        </w:rPr>
        <w:t xml:space="preserve">. No such funding of risk participations shall relieve or otherwise impair the obligation of the Borrower to repay Swing Line Loans, together with interest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of such payment (appropriately adjusted, in the case of interest payments, to reflect the period of time during which such Lender’s risk participation was funded) in the same funds as those received by the Swing Line Lender. </w:t>
      </w:r>
    </w:p>
    <w:p>
      <w:pPr>
        <w:pStyle w:val="TextBody"/>
        <w:bidi w:val="0"/>
        <w:spacing w:before="240" w:after="0"/>
        <w:jc w:val="left"/>
        <w:rPr>
          <w:rFonts w:ascii="Times New Roman" w:hAnsi="Times New Roman"/>
          <w:sz w:val="20"/>
        </w:rPr>
      </w:pPr>
      <w:r>
        <w:rPr>
          <w:rFonts w:ascii="Times New Roman" w:hAnsi="Times New Roman"/>
          <w:sz w:val="20"/>
        </w:rPr>
        <w:t xml:space="preserve">(ii) If any payment received by the Swing Line Lender in respect of principal or interest on any Swing Line Loan is required to be returned by the Swing Line Lender under any of the circumstances described in </w:t>
      </w:r>
      <w:r>
        <w:rPr>
          <w:rFonts w:ascii="Times New Roman" w:hAnsi="Times New Roman"/>
          <w:sz w:val="20"/>
          <w:u w:val="single"/>
        </w:rPr>
        <w:t>Section 10.05</w:t>
      </w:r>
      <w:r>
        <w:rPr>
          <w:rFonts w:ascii="Times New Roman" w:hAnsi="Times New Roman"/>
          <w:sz w:val="20"/>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Interest for Account of Swing Line Lender</w:t>
      </w:r>
      <w:r>
        <w:rPr>
          <w:rFonts w:ascii="Times New Roman" w:hAnsi="Times New Roman"/>
          <w:sz w:val="20"/>
        </w:rPr>
        <w:t xml:space="preserve">. The Swing Line Lender shall be responsible for invoicing the Borrower for interest on the Swing Line Loans. Until each Revolving Credit Lender funds its Base Rate Loan or risk participation pursuant to this </w:t>
      </w:r>
      <w:r>
        <w:rPr>
          <w:rFonts w:ascii="Times New Roman" w:hAnsi="Times New Roman"/>
          <w:sz w:val="20"/>
          <w:u w:val="single"/>
        </w:rPr>
        <w:t>Section 2.04</w:t>
      </w:r>
      <w:r>
        <w:rPr>
          <w:rFonts w:ascii="Times New Roman" w:hAnsi="Times New Roman"/>
          <w:sz w:val="20"/>
        </w:rPr>
        <w:t xml:space="preserve"> to refinance such Revolving Credit Lender’s Applicable Revolving Credit Percentage of any Swing Line Loan, interest in respect of such Applicable Revolving Credit Percentage shall be solely for the account of the Swing Line Lender.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Payments Directly to Swing Line Lender</w:t>
      </w:r>
      <w:r>
        <w:rPr>
          <w:rFonts w:ascii="Times New Roman" w:hAnsi="Times New Roman"/>
          <w:sz w:val="20"/>
        </w:rPr>
        <w:t xml:space="preserve">. The Borrower shall make all payments of principal and interest in respect of the Swing Line Loans directly to the Swing Line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2.05</w:t>
      </w:r>
      <w:r>
        <w:rPr>
          <w:rFonts w:ascii="Times New Roman" w:hAnsi="Times New Roman"/>
          <w:sz w:val="20"/>
        </w:rPr>
        <w:t xml:space="preserve"> </w:t>
      </w:r>
      <w:r>
        <w:rPr>
          <w:rFonts w:ascii="Times New Roman" w:hAnsi="Times New Roman"/>
          <w:b/>
          <w:sz w:val="20"/>
        </w:rPr>
        <w:t>Prepayments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(i) Subject to the last sentence of this </w:t>
      </w:r>
      <w:r>
        <w:rPr>
          <w:rFonts w:ascii="Times New Roman" w:hAnsi="Times New Roman"/>
          <w:sz w:val="20"/>
          <w:u w:val="single"/>
        </w:rPr>
        <w:t>Section 2.05(a)(i)</w:t>
      </w:r>
      <w:r>
        <w:rPr>
          <w:rFonts w:ascii="Times New Roman" w:hAnsi="Times New Roman"/>
          <w:sz w:val="20"/>
        </w:rPr>
        <w:t xml:space="preserve">, the Borrower may upon notice to the Administrative Agent, at any time or from time to time, voluntarily prepay Term Loans and Revolving Credit Loans in whole or in part without premium or penalty except as provided in </w:t>
      </w:r>
      <w:r>
        <w:rPr>
          <w:rFonts w:ascii="Times New Roman" w:hAnsi="Times New Roman"/>
          <w:sz w:val="20"/>
          <w:u w:val="single"/>
        </w:rPr>
        <w:t>Section 2.05(a)(iii)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such notice must be received by the Administrative Agent not later than 11:00 a.m. (x) two Business Days prior to any date of prepayment of Term SOFR Loans and (y) on the date of prepayment of Base Rate Loans, (B) any prepayment of Term SOFR Loans shall be in a principal amount of $5,000,000 or a whole multiple of $1,000,000 in excess thereof, and (C) any prepayment of Base Rate Loans shall be in a principal amount of $1,000,000 or a whole multiple of $500,000 in excess thereof or, in each case, if less, the entire principal amount thereof then outstanding. Each such notice shall specify the Facility to be prepaid, the date and amount of such prepayment and the Type(s) of Loans to be prepaid and, if Term SOFR Loans are to be prepaid, the Interest Period(s) of such Loans. The Administrative Agent will promptly notify each Lender of its receipt of each such notice, and of such Lender’s Applicable Percentage of such prepayment. If such notice is given by the Borrower, the Borrower shall irrevocably make such prepayment and the payment amount specified in such notice shall be due and payable on the date specified therein. Notwithstanding anything to the contrary contained herein, any notice of prepayment may state that it is conditioned upon the occurrence or non-occurrence of any event specified therein (including the effectiveness of other credit facilities), in which case such notice may be revoked by the Borrower (by written notice on or prior to the specified effective date) if such condition is not satisfied. Any prepayment of a Term SOFR Loan shall be accompanied by all accrued interest on the amount prepaid, together with any additional amounts required pursuant to </w:t>
      </w:r>
      <w:r>
        <w:rPr>
          <w:rFonts w:ascii="Times New Roman" w:hAnsi="Times New Roman"/>
          <w:sz w:val="20"/>
          <w:u w:val="single"/>
        </w:rPr>
        <w:t>Section 3.05</w:t>
      </w:r>
      <w:r>
        <w:rPr>
          <w:rFonts w:ascii="Times New Roman" w:hAnsi="Times New Roman"/>
          <w:sz w:val="20"/>
        </w:rPr>
        <w:t xml:space="preserve">. Each prepayment of the outstanding Term Loans pursuant to this </w:t>
      </w:r>
      <w:r>
        <w:rPr>
          <w:rFonts w:ascii="Times New Roman" w:hAnsi="Times New Roman"/>
          <w:sz w:val="20"/>
          <w:u w:val="single"/>
        </w:rPr>
        <w:t>Section 2.05(a)</w:t>
      </w:r>
      <w:r>
        <w:rPr>
          <w:rFonts w:ascii="Times New Roman" w:hAnsi="Times New Roman"/>
          <w:sz w:val="20"/>
        </w:rPr>
        <w:t xml:space="preserve"> shall be (x) applied to each Class of Term Loans on a pro rata basis and (y) within each Class of Term Loans, applied to the remaining principal repayment installments thereof (a) in direct order of maturity, (b) in inverse order of maturity, (c) on a pro rata basis, or (d) pro rata to the next eight (8) scheduled principal payment installments thereof following such date of prepayment for which any scheduled payment amount in excess of zero remains unpaid as of such date and thereafter on a pro rata basis, in each case as the Borrower may elect. If the Borrower fails to timely specify its election then the prepayment shall be applied to each Class of Term Loans on a pro rata basis and within each Class shall be applied in accordance with </w:t>
      </w:r>
      <w:r>
        <w:rPr>
          <w:rFonts w:ascii="Times New Roman" w:hAnsi="Times New Roman"/>
          <w:sz w:val="20"/>
          <w:u w:val="single"/>
        </w:rPr>
        <w:t>clause (y)(a)</w:t>
      </w:r>
      <w:r>
        <w:rPr>
          <w:rFonts w:ascii="Times New Roman" w:hAnsi="Times New Roman"/>
          <w:sz w:val="20"/>
        </w:rPr>
        <w:t xml:space="preserve"> above. Subject to </w:t>
      </w:r>
      <w:r>
        <w:rPr>
          <w:rFonts w:ascii="Times New Roman" w:hAnsi="Times New Roman"/>
          <w:sz w:val="20"/>
          <w:u w:val="single"/>
        </w:rPr>
        <w:t>Section 2.15</w:t>
      </w:r>
      <w:r>
        <w:rPr>
          <w:rFonts w:ascii="Times New Roman" w:hAnsi="Times New Roman"/>
          <w:sz w:val="20"/>
        </w:rPr>
        <w:t xml:space="preserve">, prepayments shall be applied to the Loans of the Lenders in accordance with their respective Applicable Percentages in respect of each of the relevant Facilities; </w:t>
      </w:r>
      <w:r>
        <w:rPr>
          <w:rFonts w:ascii="Times New Roman" w:hAnsi="Times New Roman"/>
          <w:sz w:val="20"/>
          <w:u w:val="single"/>
        </w:rPr>
        <w:t>provided</w:t>
      </w:r>
      <w:r>
        <w:rPr>
          <w:rFonts w:ascii="Times New Roman" w:hAnsi="Times New Roman"/>
          <w:sz w:val="20"/>
        </w:rPr>
        <w:t xml:space="preserve"> that, in each case, first to Base Rate Loans and then to Term SOFR Loans specified in such notice in direct order of Interest Period maturities. </w:t>
      </w:r>
    </w:p>
    <w:p>
      <w:pPr>
        <w:pStyle w:val="TextBody"/>
        <w:bidi w:val="0"/>
        <w:spacing w:before="240" w:after="0"/>
        <w:jc w:val="left"/>
        <w:rPr>
          <w:rFonts w:ascii="Times New Roman" w:hAnsi="Times New Roman"/>
          <w:sz w:val="20"/>
        </w:rPr>
      </w:pPr>
      <w:r>
        <w:rPr>
          <w:rFonts w:ascii="Times New Roman" w:hAnsi="Times New Roman"/>
          <w:sz w:val="20"/>
        </w:rPr>
        <w:t xml:space="preserve">(ii) The Borrower may upon notice to the Swing Line Lender (with a copy to the Administrative Agent), at any time or from time to time, voluntarily prepay Swing Line Loans in whole or in part without premium or penalty; provided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anything to the contrary contained in this Agreement, in the event that, prior to the first anniversary of the Closing Date, the Borrower prepays, or requires to be assigned, any Term B Loans pursuant to this </w:t>
      </w:r>
      <w:r>
        <w:rPr>
          <w:rFonts w:ascii="Times New Roman" w:hAnsi="Times New Roman"/>
          <w:sz w:val="20"/>
          <w:u w:val="single"/>
        </w:rPr>
        <w:t>Section 2.05(a)</w:t>
      </w:r>
      <w:r>
        <w:rPr>
          <w:rFonts w:ascii="Times New Roman" w:hAnsi="Times New Roman"/>
          <w:sz w:val="20"/>
        </w:rPr>
        <w:t xml:space="preserve">, </w:t>
      </w:r>
      <w:r>
        <w:rPr>
          <w:rFonts w:ascii="Times New Roman" w:hAnsi="Times New Roman"/>
          <w:sz w:val="20"/>
          <w:u w:val="single"/>
        </w:rPr>
        <w:t>Section 2.05(b)(iii)</w:t>
      </w:r>
      <w:r>
        <w:rPr>
          <w:rFonts w:ascii="Times New Roman" w:hAnsi="Times New Roman"/>
          <w:sz w:val="20"/>
        </w:rPr>
        <w:t xml:space="preserve"> or </w:t>
      </w:r>
      <w:r>
        <w:rPr>
          <w:rFonts w:ascii="Times New Roman" w:hAnsi="Times New Roman"/>
          <w:sz w:val="20"/>
          <w:u w:val="single"/>
        </w:rPr>
        <w:t>Section 3.06(b)</w:t>
      </w:r>
      <w:r>
        <w:rPr>
          <w:rFonts w:ascii="Times New Roman" w:hAnsi="Times New Roman"/>
          <w:sz w:val="20"/>
        </w:rPr>
        <w:t>, or any Repricing Transaction is consummated, the Borrower shall pay to the Administrative Agent, for the ratable account of each of the applicable Lenders, a prepayment premium (the “</w:t>
      </w:r>
      <w:r>
        <w:rPr>
          <w:rFonts w:ascii="Times New Roman" w:hAnsi="Times New Roman"/>
          <w:sz w:val="20"/>
          <w:u w:val="single"/>
        </w:rPr>
        <w:t>Applicable Prepayment Premium</w:t>
      </w:r>
      <w:r>
        <w:rPr>
          <w:rFonts w:ascii="Times New Roman" w:hAnsi="Times New Roman"/>
          <w:sz w:val="20"/>
        </w:rPr>
        <w:t xml:space="preserve">”) equal to (i) in the case of any such prepayment or assignment or Repricing Transaction made prior to the first anniversary of the Closing Date, 1.00% of the aggregate principal amount of such Term B Loans, so prepaid or assigned or in connection with a Repricing Transaction, so prepaid, assigned, converted, exchanged or otherwise outstanding on such date that are subject to an effective pricing reduction and (ii) in the case of any such prepayment or assignment or Repricing Transaction made on or following the first anniversary of the Closing Date, 0.00% of the aggregate principal amount of such Term B Loans,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prepaid or assigned or in connection with a Repricing Transaction, prepaid, assigned, converted or exchanged or otherwise outstanding on such date that are subject to an effective pricing reduction; </w:t>
      </w:r>
      <w:r>
        <w:rPr>
          <w:rFonts w:ascii="Times New Roman" w:hAnsi="Times New Roman"/>
          <w:i/>
          <w:sz w:val="20"/>
        </w:rPr>
        <w:t>provided</w:t>
      </w:r>
      <w:r>
        <w:rPr>
          <w:rFonts w:ascii="Times New Roman" w:hAnsi="Times New Roman"/>
          <w:sz w:val="20"/>
        </w:rPr>
        <w:t xml:space="preserve"> that the Applicable Prepayment Premium shall not apply to any prepayment, repayment or assignment of Term B Loans in connection with a Change of Control, a Transformative Acquisition, a Transformative Disposition or any upsizing of the Term B Facility. Such amounts shall be due and payable on the date of effectiveness of such prepayments, repayments or assignments or Repricing Transaction,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Within ten Business Days after the date on which financial statements have been delivered pursuant to </w:t>
      </w:r>
      <w:r>
        <w:rPr>
          <w:rFonts w:ascii="Times New Roman" w:hAnsi="Times New Roman"/>
          <w:sz w:val="20"/>
          <w:u w:val="single"/>
        </w:rPr>
        <w:t>Section 6.01(a)</w:t>
      </w:r>
      <w:r>
        <w:rPr>
          <w:rFonts w:ascii="Times New Roman" w:hAnsi="Times New Roman"/>
          <w:sz w:val="20"/>
        </w:rPr>
        <w:t xml:space="preserve"> and the related Compliance Certificate has been delivered pursuant to </w:t>
      </w:r>
      <w:r>
        <w:rPr>
          <w:rFonts w:ascii="Times New Roman" w:hAnsi="Times New Roman"/>
          <w:sz w:val="20"/>
          <w:u w:val="single"/>
        </w:rPr>
        <w:t>Section 6.02(b),</w:t>
      </w:r>
      <w:r>
        <w:rPr>
          <w:rFonts w:ascii="Times New Roman" w:hAnsi="Times New Roman"/>
          <w:sz w:val="20"/>
        </w:rPr>
        <w:t xml:space="preserve"> commencing with the financial statements for the first full fiscal year ending after the Closing Date, the Borrower shall, subject to clause (iv) of this </w:t>
      </w:r>
      <w:r>
        <w:rPr>
          <w:rFonts w:ascii="Times New Roman" w:hAnsi="Times New Roman"/>
          <w:sz w:val="20"/>
          <w:u w:val="single"/>
        </w:rPr>
        <w:t>Section 2.05(b)</w:t>
      </w:r>
      <w:r>
        <w:rPr>
          <w:rFonts w:ascii="Times New Roman" w:hAnsi="Times New Roman"/>
          <w:sz w:val="20"/>
        </w:rPr>
        <w:t>, prepay an aggregate principal amount of Term B Loans (the “</w:t>
      </w:r>
      <w:r>
        <w:rPr>
          <w:rFonts w:ascii="Times New Roman" w:hAnsi="Times New Roman"/>
          <w:sz w:val="20"/>
          <w:u w:val="single"/>
        </w:rPr>
        <w:t>ECF Payment Amount</w:t>
      </w:r>
      <w:r>
        <w:rPr>
          <w:rFonts w:ascii="Times New Roman" w:hAnsi="Times New Roman"/>
          <w:sz w:val="20"/>
        </w:rPr>
        <w:t xml:space="preserve">”) equal to the Applicable ECF Percentage of the amount equal to Excess Cash Flow for the applicable Excess Cash Flow Period;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at the option of the Borrower, without duplication, such amount shall be reduced by the sum of (i) the aggregate amount of voluntary prepayments, repurchases or redemptions, in each case made during the period commencing on the first day of the relevant Excess Cash Flow Period and ending on the last day of the relevant Excess Cash Flow Period or, at the option of the Borrower, and without duplication, on the date immediately prior to the date on which the relevant Excess Cash Flow prepayment is or would be required to be made (including, without limitation, loan buybacks and prepayments in connection with lender replacement provisions with credit given for the actual amount of such cash payment) of (x) Term Loans made pursuant to </w:t>
      </w:r>
      <w:r>
        <w:rPr>
          <w:rFonts w:ascii="Times New Roman" w:hAnsi="Times New Roman"/>
          <w:sz w:val="20"/>
          <w:u w:val="single"/>
        </w:rPr>
        <w:t>Section 2.05(a)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reduction as a result of prepayments pursuant to </w:t>
      </w:r>
      <w:r>
        <w:rPr>
          <w:rFonts w:ascii="Times New Roman" w:hAnsi="Times New Roman"/>
          <w:sz w:val="20"/>
          <w:u w:val="single"/>
        </w:rPr>
        <w:t>Section 2.05(a)</w:t>
      </w:r>
      <w:r>
        <w:rPr>
          <w:rFonts w:ascii="Times New Roman" w:hAnsi="Times New Roman"/>
          <w:sz w:val="20"/>
        </w:rPr>
        <w:t xml:space="preserve"> shall be limited to the actual amount of such cash prepayment), (y) Senior Secured Notes and (z) Incremental Notes that is secured by any portion of the Collateral on an equal priority basis (but without regard to the control of remedies) with Liens securing the Obligations (</w:t>
      </w:r>
      <w:r>
        <w:rPr>
          <w:rFonts w:ascii="Times New Roman" w:hAnsi="Times New Roman"/>
          <w:sz w:val="20"/>
          <w:u w:val="single"/>
        </w:rPr>
        <w:t>provided</w:t>
      </w:r>
      <w:r>
        <w:rPr>
          <w:rFonts w:ascii="Times New Roman" w:hAnsi="Times New Roman"/>
          <w:sz w:val="20"/>
        </w:rPr>
        <w:t xml:space="preserve"> that in the case of the prepayment of any revolving commitments, there is a corresponding permanent reduction in commitments), excluding, in each case under this subclause (i), all such prepayments funded with the proceeds of other long-term Indebtedness (other than revolving Indebtedness) or issuances of Equity Interests, and (ii) the ECF Deductions; </w:t>
      </w:r>
    </w:p>
    <w:p>
      <w:pPr>
        <w:pStyle w:val="TextBody"/>
        <w:bidi w:val="0"/>
        <w:spacing w:before="120" w:after="0"/>
        <w:jc w:val="left"/>
        <w:rPr>
          <w:rFonts w:ascii="Times New Roman" w:hAnsi="Times New Roman"/>
          <w:sz w:val="20"/>
        </w:rPr>
      </w:pPr>
      <w:r>
        <w:rPr>
          <w:rFonts w:ascii="Times New Roman" w:hAnsi="Times New Roman"/>
          <w:sz w:val="20"/>
        </w:rPr>
        <w:t xml:space="preserve">(B) no prepayment of Term B Loans shall be required under this </w:t>
      </w:r>
      <w:r>
        <w:rPr>
          <w:rFonts w:ascii="Times New Roman" w:hAnsi="Times New Roman"/>
          <w:sz w:val="20"/>
          <w:u w:val="single"/>
        </w:rPr>
        <w:t>Section 2.05(b)(i)</w:t>
      </w:r>
      <w:r>
        <w:rPr>
          <w:rFonts w:ascii="Times New Roman" w:hAnsi="Times New Roman"/>
          <w:sz w:val="20"/>
        </w:rPr>
        <w:t xml:space="preserve"> unless, and solely to the extent that, the ECF Payment Amount for such fiscal year exceeds the greater of (x) $20,000,000 and (y) 5.0% of Consolidated EBITDA for the Reference Period most recently ended (such threshold, the “</w:t>
      </w:r>
      <w:r>
        <w:rPr>
          <w:rFonts w:ascii="Times New Roman" w:hAnsi="Times New Roman"/>
          <w:sz w:val="20"/>
          <w:u w:val="single"/>
        </w:rPr>
        <w:t>ECF Threshold</w:t>
      </w:r>
      <w:r>
        <w:rPr>
          <w:rFonts w:ascii="Times New Roman" w:hAnsi="Times New Roman"/>
          <w:sz w:val="20"/>
        </w:rPr>
        <w:t xml:space="preserve">”) (it being understood that the Borrower shall only be required to repay Term B Loans under this </w:t>
      </w:r>
      <w:r>
        <w:rPr>
          <w:rFonts w:ascii="Times New Roman" w:hAnsi="Times New Roman"/>
          <w:sz w:val="20"/>
          <w:u w:val="single"/>
        </w:rPr>
        <w:t>Section 2.05(b)</w:t>
      </w:r>
      <w:r>
        <w:rPr>
          <w:rFonts w:ascii="Times New Roman" w:hAnsi="Times New Roman"/>
          <w:sz w:val="20"/>
        </w:rPr>
        <w:t xml:space="preserve"> for such fiscal year in the amount by which the ECF Payment Amount exceeds the ECF Threshold); and </w:t>
      </w:r>
    </w:p>
    <w:p>
      <w:pPr>
        <w:pStyle w:val="TextBody"/>
        <w:bidi w:val="0"/>
        <w:spacing w:before="120" w:after="0"/>
        <w:jc w:val="left"/>
        <w:rPr>
          <w:rFonts w:ascii="Times New Roman" w:hAnsi="Times New Roman"/>
          <w:sz w:val="20"/>
        </w:rPr>
      </w:pPr>
      <w:r>
        <w:rPr>
          <w:rFonts w:ascii="Times New Roman" w:hAnsi="Times New Roman"/>
          <w:sz w:val="20"/>
        </w:rPr>
        <w:t xml:space="preserve">(C) any such amounts described in the foregoing clause (A) that have not been applied to reduce the ECF Payment Amount may be carried over to up to two immediately succeeding fiscal years and may be applied to reduce the ECF Payment Amount in respect of such subsequent fiscal years, until such time as such amounts have been used to reduce any such ECF Payment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Borrower or any of its Subsidiaries Disposes of any property pursuant to </w:t>
      </w:r>
      <w:r>
        <w:rPr>
          <w:rFonts w:ascii="Times New Roman" w:hAnsi="Times New Roman"/>
          <w:sz w:val="20"/>
          <w:u w:val="single"/>
        </w:rPr>
        <w:t>Section 7.05(f)</w:t>
      </w:r>
      <w:r>
        <w:rPr>
          <w:rFonts w:ascii="Times New Roman" w:hAnsi="Times New Roman"/>
          <w:sz w:val="20"/>
        </w:rPr>
        <w:t xml:space="preserve"> or </w:t>
      </w:r>
      <w:r>
        <w:rPr>
          <w:rFonts w:ascii="Times New Roman" w:hAnsi="Times New Roman"/>
          <w:sz w:val="20"/>
          <w:u w:val="single"/>
        </w:rPr>
        <w:t>7.05(p)</w:t>
      </w:r>
      <w:r>
        <w:rPr>
          <w:rFonts w:ascii="Times New Roman" w:hAnsi="Times New Roman"/>
          <w:sz w:val="20"/>
        </w:rPr>
        <w:t xml:space="preserve"> which results in the realization by such Person of Net Cash Proceeds in excess of $50,000,000 in the aggregate for all such Dispositions in any fiscal year, the Borrower shall prepay an aggregate principal amount of Term Loans equal to the lesser of (A) 100% of such Net Cash Proceeds (minus the portion of such Net Cash Proceeds that is required to be applied, offered to be applied, or is contemporaneously applied, to the prepayment, repurchase or redemption of any Indebtedness that is secured by Liens on the Collateral on a pari passu basis with the Obligations (including the Senior Secured Notes), calculated in each case in accordance with the ratable share determined by reference to the respective outstanding principal amounts of the Term Loans and such other pari passu Indebtedness at the time of the applicable Disposition) and (B) the aggregate outstanding amount of all Term Loans immediately upon receipt thereof by such Person (such prepayments to be applied as set forth in </w:t>
      </w:r>
      <w:r>
        <w:rPr>
          <w:rFonts w:ascii="Times New Roman" w:hAnsi="Times New Roman"/>
          <w:sz w:val="20"/>
          <w:u w:val="single"/>
        </w:rPr>
        <w:t>clause (iv)</w:t>
      </w:r>
      <w:r>
        <w:rPr>
          <w:rFonts w:ascii="Times New Roman" w:hAnsi="Times New Roman"/>
          <w:sz w:val="20"/>
        </w:rPr>
        <w:t xml:space="preserve">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any Net Cash Proceeds realized under a Disposition described in this </w:t>
      </w:r>
      <w:r>
        <w:rPr>
          <w:rFonts w:ascii="Times New Roman" w:hAnsi="Times New Roman"/>
          <w:sz w:val="20"/>
          <w:u w:val="single"/>
        </w:rPr>
        <w:t>Section 2.05(b)</w:t>
      </w:r>
      <w:r>
        <w:rPr>
          <w:rFonts w:ascii="Times New Roman" w:hAnsi="Times New Roman"/>
          <w:sz w:val="20"/>
        </w:rPr>
        <w:t xml:space="preserve">, at the election of the Borrower (as notified by the Borrower to the Administrative Agent within five Business Days of receipt of such Net Cash Proceeds), and so long as no Event of Default shall have occurred and be continuing, the Borrower or such Subsidiary may reinvest all or any portion of such Net Cash Proceeds in useful assets in the business so long as within eighteen (18) months after the receipt of such Net Cash Proceeds, such reinvestment shall have been consummated or a written commitment therefor shall have been signed (in either case, as reported in a notice provided by the Borrower in writing to the Administrative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the case of written commitment to invest such Net Cash Proceeds within eighteen (18) months after the receipt of such Net Cash Proceeds, such reinvestment shall be consummated within twenty-four (24) months after the receipt of such Net Cash Proceeds;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Net Cash Proceeds not subject to such written commitment or not so reinvested shall be promptly applied to the prepayment of the Loans as set forth in this </w:t>
      </w:r>
      <w:r>
        <w:rPr>
          <w:rFonts w:ascii="Times New Roman" w:hAnsi="Times New Roman"/>
          <w:sz w:val="20"/>
          <w:u w:val="single"/>
        </w:rPr>
        <w:t>Section 2.05(b)(i)</w:t>
      </w:r>
      <w:r>
        <w:rPr>
          <w:rFonts w:ascii="Times New Roman" w:hAnsi="Times New Roman"/>
          <w:sz w:val="20"/>
        </w:rPr>
        <w:t xml:space="preserve">. Notwithstanding the foregoing, to the extent the holders of any pari passu senior secured Indebtedness (including the Senior Secured Notes) decline any offer to prepay, repurchase or redeem such Indebtedness with the proceeds of a Disposition contemplated by this Section 2.05(b)(ii), any such declined amount shall be applied to prepay Term Loans in accordance with this Section 2.05(b)(ii). </w:t>
      </w:r>
    </w:p>
    <w:p>
      <w:pPr>
        <w:pStyle w:val="TextBody"/>
        <w:bidi w:val="0"/>
        <w:spacing w:before="240" w:after="0"/>
        <w:jc w:val="left"/>
        <w:rPr>
          <w:rFonts w:ascii="Times New Roman" w:hAnsi="Times New Roman"/>
          <w:sz w:val="20"/>
        </w:rPr>
      </w:pPr>
      <w:r>
        <w:rPr>
          <w:rFonts w:ascii="Times New Roman" w:hAnsi="Times New Roman"/>
          <w:sz w:val="20"/>
        </w:rPr>
        <w:t xml:space="preserve">(iii) Upon the incurrence or issuance by the Borrower or any of its Subsidiaries of any Indebtedness (other than Indebtedness expressly permitted to be incurred or issued pursuant to </w:t>
      </w:r>
      <w:r>
        <w:rPr>
          <w:rFonts w:ascii="Times New Roman" w:hAnsi="Times New Roman"/>
          <w:sz w:val="20"/>
          <w:u w:val="single"/>
        </w:rPr>
        <w:t>Section 7.03</w:t>
      </w:r>
      <w:r>
        <w:rPr>
          <w:rFonts w:ascii="Times New Roman" w:hAnsi="Times New Roman"/>
          <w:sz w:val="20"/>
        </w:rPr>
        <w:t xml:space="preserve">), the Borrower shall prepay an aggregate principal amount of Term Loans equal to the lessor of (A) 100% of all Net Cash Proceeds received therefrom immediately upon receipt thereof by the Borrower or such Subsidiary and (B) the aggregate outstanding amount of all Term Loans (such prepayments to be applied as set forth in </w:t>
      </w:r>
      <w:r>
        <w:rPr>
          <w:rFonts w:ascii="Times New Roman" w:hAnsi="Times New Roman"/>
          <w:sz w:val="20"/>
          <w:u w:val="single"/>
        </w:rPr>
        <w:t>clause (iv)</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(iv) Each prepayment of Loans pursuant to the foregoing (x)</w:t>
      </w:r>
      <w:r>
        <w:rPr>
          <w:rFonts w:ascii="Times New Roman" w:hAnsi="Times New Roman"/>
          <w:sz w:val="20"/>
          <w:u w:val="single"/>
        </w:rPr>
        <w:t> subclause (i)</w:t>
      </w:r>
      <w:r>
        <w:rPr>
          <w:rFonts w:ascii="Times New Roman" w:hAnsi="Times New Roman"/>
          <w:sz w:val="20"/>
        </w:rPr>
        <w:t xml:space="preserve"> of this </w:t>
      </w:r>
      <w:r>
        <w:rPr>
          <w:rFonts w:ascii="Times New Roman" w:hAnsi="Times New Roman"/>
          <w:sz w:val="20"/>
          <w:u w:val="single"/>
        </w:rPr>
        <w:t>Section 2.05(b)</w:t>
      </w:r>
      <w:r>
        <w:rPr>
          <w:rFonts w:ascii="Times New Roman" w:hAnsi="Times New Roman"/>
          <w:sz w:val="20"/>
        </w:rPr>
        <w:t xml:space="preserve"> shall be applied to each Class of Term B Loans on a pro rata basis and within each Class shall be applied in direct order of maturity. Subject to </w:t>
      </w:r>
      <w:r>
        <w:rPr>
          <w:rFonts w:ascii="Times New Roman" w:hAnsi="Times New Roman"/>
          <w:sz w:val="20"/>
          <w:u w:val="single"/>
        </w:rPr>
        <w:t>Section 2.15</w:t>
      </w:r>
      <w:r>
        <w:rPr>
          <w:rFonts w:ascii="Times New Roman" w:hAnsi="Times New Roman"/>
          <w:sz w:val="20"/>
        </w:rPr>
        <w:t>, such prepayments shall be paid to the Term B Lenders in accordance with their respective Applicable Percentages in respect of the Term B Facility and (y)</w:t>
      </w:r>
      <w:r>
        <w:rPr>
          <w:rFonts w:ascii="Times New Roman" w:hAnsi="Times New Roman"/>
          <w:sz w:val="20"/>
          <w:u w:val="single"/>
        </w:rPr>
        <w:t> subclauses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w:t>
      </w:r>
      <w:r>
        <w:rPr>
          <w:rFonts w:ascii="Times New Roman" w:hAnsi="Times New Roman"/>
          <w:sz w:val="20"/>
          <w:u w:val="single"/>
        </w:rPr>
        <w:t>Section 2.05(b)</w:t>
      </w:r>
      <w:r>
        <w:rPr>
          <w:rFonts w:ascii="Times New Roman" w:hAnsi="Times New Roman"/>
          <w:sz w:val="20"/>
        </w:rPr>
        <w:t xml:space="preserve"> shall be applied to each Class of Term Loans on a pro rata basis and within each Class shall be applied in direct order of maturity. Subject to </w:t>
      </w:r>
      <w:r>
        <w:rPr>
          <w:rFonts w:ascii="Times New Roman" w:hAnsi="Times New Roman"/>
          <w:sz w:val="20"/>
          <w:u w:val="single"/>
        </w:rPr>
        <w:t>Section 2.15</w:t>
      </w:r>
      <w:r>
        <w:rPr>
          <w:rFonts w:ascii="Times New Roman" w:hAnsi="Times New Roman"/>
          <w:sz w:val="20"/>
        </w:rPr>
        <w:t xml:space="preserve">, such prepayments shall be paid to the Term Lenders in accordance with their respective Applicable Percentages in respect of the Term Facilities. </w:t>
      </w:r>
    </w:p>
    <w:p>
      <w:pPr>
        <w:pStyle w:val="TextBody"/>
        <w:bidi w:val="0"/>
        <w:spacing w:before="240" w:after="0"/>
        <w:jc w:val="left"/>
        <w:rPr>
          <w:rFonts w:ascii="Times New Roman" w:hAnsi="Times New Roman"/>
          <w:sz w:val="20"/>
        </w:rPr>
      </w:pPr>
      <w:r>
        <w:rPr>
          <w:rFonts w:ascii="Times New Roman" w:hAnsi="Times New Roman"/>
          <w:sz w:val="20"/>
        </w:rPr>
        <w:t xml:space="preserve">(v) If for any reason the Total Revolving Credit Outstandings at any time exceed the Revolving Credit Facility at such time, the Borrower shall immediately prepay Revolving Credit Loans, Swing Line Loans and L/C Borrowings and/or Cash Collateralize the L/C Obligations in an aggregate amount equal to such excess;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be required to Cash Collateralize the L/C Obligations pursuant to this </w:t>
      </w:r>
      <w:r>
        <w:rPr>
          <w:rFonts w:ascii="Times New Roman" w:hAnsi="Times New Roman"/>
          <w:sz w:val="20"/>
          <w:u w:val="single"/>
        </w:rPr>
        <w:t>Section 1.01(a)(v)</w:t>
      </w:r>
      <w:r>
        <w:rPr>
          <w:rFonts w:ascii="Times New Roman" w:hAnsi="Times New Roman"/>
          <w:sz w:val="20"/>
        </w:rPr>
        <w:t xml:space="preserve"> unless, after the prepayment of the Revolving Credit Loans and Swing Line Loans, the Total Revolving Credit Outstandings exceed the Revolving Credit Facility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Except as otherwise provided in </w:t>
      </w:r>
      <w:r>
        <w:rPr>
          <w:rFonts w:ascii="Times New Roman" w:hAnsi="Times New Roman"/>
          <w:sz w:val="20"/>
          <w:u w:val="single"/>
        </w:rPr>
        <w:t>Section 2.15</w:t>
      </w:r>
      <w:r>
        <w:rPr>
          <w:rFonts w:ascii="Times New Roman" w:hAnsi="Times New Roman"/>
          <w:sz w:val="20"/>
        </w:rPr>
        <w:t xml:space="preserve">, prepayments of the Revolving Credit Facility made pursuant to this </w:t>
      </w:r>
      <w:r>
        <w:rPr>
          <w:rFonts w:ascii="Times New Roman" w:hAnsi="Times New Roman"/>
          <w:sz w:val="20"/>
          <w:u w:val="single"/>
        </w:rPr>
        <w:t>Section 2.05(b)</w:t>
      </w:r>
      <w:r>
        <w:rPr>
          <w:rFonts w:ascii="Times New Roman" w:hAnsi="Times New Roman"/>
          <w:sz w:val="20"/>
        </w:rPr>
        <w:t xml:space="preserve">, </w:t>
      </w:r>
      <w:r>
        <w:rPr>
          <w:rFonts w:ascii="Times New Roman" w:hAnsi="Times New Roman"/>
          <w:sz w:val="20"/>
          <w:u w:val="single"/>
        </w:rPr>
        <w:t>first</w:t>
      </w:r>
      <w:r>
        <w:rPr>
          <w:rFonts w:ascii="Times New Roman" w:hAnsi="Times New Roman"/>
          <w:sz w:val="20"/>
        </w:rPr>
        <w:t xml:space="preserve">, shall be applied ratably to the L/C Borrowings and the Swing Line Loans, </w:t>
      </w:r>
      <w:r>
        <w:rPr>
          <w:rFonts w:ascii="Times New Roman" w:hAnsi="Times New Roman"/>
          <w:sz w:val="20"/>
          <w:u w:val="single"/>
        </w:rPr>
        <w:t>second</w:t>
      </w:r>
      <w:r>
        <w:rPr>
          <w:rFonts w:ascii="Times New Roman" w:hAnsi="Times New Roman"/>
          <w:sz w:val="20"/>
        </w:rPr>
        <w:t xml:space="preserve">, shall be applied ratably to the outstanding Revolving Credit Loans, and, </w:t>
      </w:r>
      <w:r>
        <w:rPr>
          <w:rFonts w:ascii="Times New Roman" w:hAnsi="Times New Roman"/>
          <w:sz w:val="20"/>
          <w:u w:val="single"/>
        </w:rPr>
        <w:t>third</w:t>
      </w:r>
      <w:r>
        <w:rPr>
          <w:rFonts w:ascii="Times New Roman" w:hAnsi="Times New Roman"/>
          <w:sz w:val="20"/>
        </w:rPr>
        <w:t xml:space="preserve">,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L/C Issuers or the Revolving Credit Lenders, as applicable. </w:t>
      </w:r>
    </w:p>
    <w:p>
      <w:pPr>
        <w:pStyle w:val="TextBody"/>
        <w:bidi w:val="0"/>
        <w:spacing w:before="240" w:after="0"/>
        <w:jc w:val="left"/>
        <w:rPr>
          <w:rFonts w:ascii="Times New Roman" w:hAnsi="Times New Roman"/>
          <w:sz w:val="20"/>
        </w:rPr>
      </w:pPr>
      <w:r>
        <w:rPr>
          <w:rFonts w:ascii="Times New Roman" w:hAnsi="Times New Roman"/>
          <w:b/>
          <w:sz w:val="20"/>
        </w:rPr>
        <w:t>2.06</w:t>
      </w:r>
      <w:r>
        <w:rPr>
          <w:rFonts w:ascii="Times New Roman" w:hAnsi="Times New Roman"/>
          <w:sz w:val="20"/>
        </w:rPr>
        <w:t xml:space="preserve"> </w:t>
      </w:r>
      <w:r>
        <w:rPr>
          <w:rFonts w:ascii="Times New Roman" w:hAnsi="Times New Roman"/>
          <w:b/>
          <w:sz w:val="20"/>
        </w:rPr>
        <w:t>Termination or Reduction of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in each case, in whole or in part, without premium or penalty and subject to any payments required under </w:t>
      </w:r>
      <w:r>
        <w:rPr>
          <w:rFonts w:ascii="Times New Roman" w:hAnsi="Times New Roman"/>
          <w:sz w:val="20"/>
          <w:u w:val="single"/>
        </w:rPr>
        <w:t>Section 3.05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Borrower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Notwithstanding anything to the contrary contained herein, any notice of termination may state that it is conditioned upon the occurrence or non-occurrence of any event specified therein (including the effectiveness of other credit facilities), in which case such notice may be revoked by the Borrower (by written notice on or prior to the specified effective date) if such condition is not satisfied. The Administrative Agent will promptly notify the Lenders of any termination or reduction of the Letter of Credit Sublimit, Swing Line Sublimit or the Revolving Credit Facility under this </w:t>
      </w:r>
      <w:r>
        <w:rPr>
          <w:rFonts w:ascii="Times New Roman" w:hAnsi="Times New Roman"/>
          <w:sz w:val="20"/>
          <w:u w:val="single"/>
        </w:rPr>
        <w:t>Section 2.06</w:t>
      </w:r>
      <w:r>
        <w:rPr>
          <w:rFonts w:ascii="Times New Roman" w:hAnsi="Times New Roman"/>
          <w:sz w:val="20"/>
        </w:rPr>
        <w:t xml:space="preserve">. Upon any reduction of the Revolving Credit Commitments, the Revolving Credit Commitment of each Revolving Credit Lender shall be reduced by such Lender’s Applicable Revolving Credit Percentage of such reduction amount.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aggregate Term A Commitments shall be automatically and permanently reduced to zero immediately following the Term A Borrowing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(ii) The aggregate Term B Commitments shall be automatically and permanently reduced to zero immediately following the Term B Borrowing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(iii) If after giving effect to any reduction or termination of Revolving Credit Commitments under this </w:t>
      </w:r>
      <w:r>
        <w:rPr>
          <w:rFonts w:ascii="Times New Roman" w:hAnsi="Times New Roman"/>
          <w:sz w:val="20"/>
          <w:u w:val="single"/>
        </w:rPr>
        <w:t>Section 2.06</w:t>
      </w:r>
      <w:r>
        <w:rPr>
          <w:rFonts w:ascii="Times New Roman" w:hAnsi="Times New Roman"/>
          <w:sz w:val="20"/>
        </w:rPr>
        <w:t xml:space="preserve">, the Letter of Credit Sublimit or the Swing Line Sublimit exceeds the Revolving Credit Facility at such time, the Letter of Credit Sublimit or the Swing Line Sublimit, as the case may be, shall be automatically reduced by the amount of such excess. </w:t>
      </w:r>
    </w:p>
    <w:p>
      <w:pPr>
        <w:pStyle w:val="TextBody"/>
        <w:bidi w:val="0"/>
        <w:spacing w:before="240" w:after="0"/>
        <w:jc w:val="left"/>
        <w:rPr>
          <w:rFonts w:ascii="Times New Roman" w:hAnsi="Times New Roman"/>
          <w:sz w:val="20"/>
        </w:rPr>
      </w:pPr>
      <w:r>
        <w:rPr>
          <w:rFonts w:ascii="Times New Roman" w:hAnsi="Times New Roman"/>
          <w:sz w:val="20"/>
        </w:rPr>
        <w:t xml:space="preserve">(c) All Commitment Fees in respect of the Revolving Credit Facility accrued until the effective date of any termination of the Revolving Credit Facility shall be paid on the effective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2.07</w:t>
      </w:r>
      <w:r>
        <w:rPr>
          <w:rFonts w:ascii="Times New Roman" w:hAnsi="Times New Roman"/>
          <w:sz w:val="20"/>
        </w:rPr>
        <w:t xml:space="preserve"> </w:t>
      </w:r>
      <w:r>
        <w:rPr>
          <w:rFonts w:ascii="Times New Roman" w:hAnsi="Times New Roman"/>
          <w:b/>
          <w:sz w:val="20"/>
        </w:rPr>
        <w:t>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 A Loans</w:t>
      </w:r>
      <w:r>
        <w:rPr>
          <w:rFonts w:ascii="Times New Roman" w:hAnsi="Times New Roman"/>
          <w:sz w:val="20"/>
        </w:rPr>
        <w:t xml:space="preserve">. The Borrower shall repay to the Term A Lenders holding Term A Loans the principal amount of Term A Loans outstanding on the last Business Day corresponding to each of the following quarter end dates in the respective amounts set forth opposite such dates (which amounts shall be reduced as a result of the application of prepayments in accordance with </w:t>
      </w:r>
      <w:r>
        <w:rPr>
          <w:rFonts w:ascii="Times New Roman" w:hAnsi="Times New Roman"/>
          <w:sz w:val="20"/>
          <w:u w:val="single"/>
        </w:rPr>
        <w:t>Section 2.05</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43"/>
        <w:gridCol w:w="208"/>
        <w:gridCol w:w="2588"/>
      </w:tblGrid>
      <w:tr>
        <w:trPr/>
        <w:tc>
          <w:tcPr>
            <w:tcW w:w="4143"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r>
      <w:tr>
        <w:trPr/>
        <w:tc>
          <w:tcPr>
            <w:tcW w:w="414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c>
          <w:tcPr>
            <w:tcW w:w="208" w:type="dxa"/>
            <w:tcBorders/>
            <w:vAlign w:val="bottom"/>
          </w:tcPr>
          <w:p>
            <w:pPr>
              <w:pStyle w:val="TableContents"/>
              <w:bidi w:val="0"/>
              <w:spacing w:before="0" w:after="283"/>
              <w:jc w:val="left"/>
              <w:rPr/>
            </w:pPr>
            <w:r>
              <w:rPr/>
              <w:t>  </w:t>
            </w:r>
          </w:p>
        </w:tc>
        <w:tc>
          <w:tcPr>
            <w:tcW w:w="25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2026</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2026</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2027</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$7,500,000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2027</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$7,500,000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2027</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$7,500,000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2027</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$7,500,000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2028</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$7,500,000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2028</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$7,500,000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2028</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$7,500,000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2028</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$7,500,000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2029</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$7,500,000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2029</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$7,500,000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2029</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$7,500,000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2029</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$7,500,000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2030</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$11,250,000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2030</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$11,250,000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2030</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$11,250,000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2030</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$11,250,000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2031</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$11,250,000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2031</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283"/>
              <w:jc w:val="center"/>
              <w:rPr/>
            </w:pPr>
            <w:r>
              <w:rPr/>
              <w:t>$11,250,000</w:t>
            </w:r>
          </w:p>
        </w:tc>
      </w:tr>
      <w:tr>
        <w:trPr/>
        <w:tc>
          <w:tcPr>
            <w:tcW w:w="4143"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2031</w:t>
            </w:r>
          </w:p>
        </w:tc>
        <w:tc>
          <w:tcPr>
            <w:tcW w:w="208" w:type="dxa"/>
            <w:tcBorders/>
            <w:shd w:fill="CCEEFF" w:val="clear"/>
            <w:vAlign w:val="bottom"/>
          </w:tcPr>
          <w:p>
            <w:pPr>
              <w:pStyle w:val="TableContents"/>
              <w:bidi w:val="0"/>
              <w:spacing w:before="0" w:after="283"/>
              <w:jc w:val="left"/>
              <w:rPr/>
            </w:pPr>
            <w:r>
              <w:rPr/>
              <w:t>  </w:t>
            </w:r>
          </w:p>
        </w:tc>
        <w:tc>
          <w:tcPr>
            <w:tcW w:w="2588" w:type="dxa"/>
            <w:tcBorders/>
            <w:shd w:fill="CCEEFF" w:val="clear"/>
            <w:vAlign w:val="bottom"/>
          </w:tcPr>
          <w:p>
            <w:pPr>
              <w:pStyle w:val="TableContents"/>
              <w:bidi w:val="0"/>
              <w:spacing w:before="0" w:after="283"/>
              <w:jc w:val="center"/>
              <w:rPr/>
            </w:pPr>
            <w:r>
              <w:rPr/>
              <w:t>$11,250,000</w:t>
            </w:r>
          </w:p>
        </w:tc>
      </w:tr>
      <w:tr>
        <w:trPr/>
        <w:tc>
          <w:tcPr>
            <w:tcW w:w="4143" w:type="dxa"/>
            <w:tcBorders/>
          </w:tcPr>
          <w:p>
            <w:pPr>
              <w:pStyle w:val="TableContents"/>
              <w:bidi w:val="0"/>
              <w:spacing w:before="0" w:after="0"/>
              <w:jc w:val="center"/>
              <w:rPr>
                <w:rFonts w:ascii="Times New Roman" w:hAnsi="Times New Roman"/>
                <w:sz w:val="20"/>
              </w:rPr>
            </w:pPr>
            <w:r>
              <w:rPr>
                <w:rFonts w:ascii="Times New Roman" w:hAnsi="Times New Roman"/>
                <w:sz w:val="20"/>
              </w:rPr>
              <w:t>Maturity Date</w:t>
            </w:r>
          </w:p>
        </w:tc>
        <w:tc>
          <w:tcPr>
            <w:tcW w:w="208" w:type="dxa"/>
            <w:tcBorders/>
            <w:vAlign w:val="bottom"/>
          </w:tcPr>
          <w:p>
            <w:pPr>
              <w:pStyle w:val="TableContents"/>
              <w:bidi w:val="0"/>
              <w:spacing w:before="0" w:after="283"/>
              <w:jc w:val="left"/>
              <w:rPr/>
            </w:pPr>
            <w:r>
              <w:rPr/>
              <w:t>  </w:t>
            </w:r>
          </w:p>
        </w:tc>
        <w:tc>
          <w:tcPr>
            <w:tcW w:w="258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Outstanding Amount of Term A</w:t>
            </w:r>
          </w:p>
          <w:p>
            <w:pPr>
              <w:pStyle w:val="TableContents"/>
              <w:bidi w:val="0"/>
              <w:spacing w:before="0" w:after="20"/>
              <w:jc w:val="center"/>
              <w:rPr>
                <w:rFonts w:ascii="Times New Roman" w:hAnsi="Times New Roman"/>
                <w:sz w:val="20"/>
              </w:rPr>
            </w:pPr>
            <w:r>
              <w:rPr>
                <w:rFonts w:ascii="Times New Roman" w:hAnsi="Times New Roman"/>
                <w:sz w:val="20"/>
              </w:rPr>
              <w:t>Loan</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final principal repayment installment of the Term A Loans shall be repaid on the Maturity Date for the Term A Facility and in any event shall be in an amount equal to the aggregate principal amount of all Term A Loans outstanding on such date. Amounts of Term A Loans repaid may not be reborrowed.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 B Loans</w:t>
      </w:r>
      <w:r>
        <w:rPr>
          <w:rFonts w:ascii="Times New Roman" w:hAnsi="Times New Roman"/>
          <w:sz w:val="20"/>
        </w:rPr>
        <w:t xml:space="preserve">. The Borrower shall repay to the Term B Lenders holding Term B Loans the principal amount of Term B Loans outstanding on the last Business Day corresponding to each of the following quarter end dates in the respective amounts set forth opposite such dates (which amounts shall be reduced as a result of the application of prepayments in accordance with Section 2.05):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95"/>
        <w:gridCol w:w="210"/>
        <w:gridCol w:w="2434"/>
      </w:tblGrid>
      <w:tr>
        <w:trPr/>
        <w:tc>
          <w:tcPr>
            <w:tcW w:w="429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r>
      <w:tr>
        <w:trPr/>
        <w:tc>
          <w:tcPr>
            <w:tcW w:w="429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c>
          <w:tcPr>
            <w:tcW w:w="210" w:type="dxa"/>
            <w:tcBorders/>
            <w:vAlign w:val="bottom"/>
          </w:tcPr>
          <w:p>
            <w:pPr>
              <w:pStyle w:val="TableContents"/>
              <w:bidi w:val="0"/>
              <w:spacing w:before="0" w:after="283"/>
              <w:jc w:val="left"/>
              <w:rPr/>
            </w:pPr>
            <w:r>
              <w:rPr/>
              <w:t>  </w:t>
            </w:r>
          </w:p>
        </w:tc>
        <w:tc>
          <w:tcPr>
            <w:tcW w:w="24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2026</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2026</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2027</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$5,625,000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2027</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$5,625,000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2027</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$5,625,000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2027</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$5,625,000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2028</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$5,625,000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2028</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$5,625,000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2028</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$5,625,000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2028</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$5,625,000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2029</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$5,625,000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2029</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$5,625,000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2029</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$5,625,000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2029</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$5,625,000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2030</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$8,437,500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2030</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$8,437,500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2030</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$8,437,500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2030</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$8,437,500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2031</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$8,437,500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2031</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$8,437,500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2031</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$8,437,500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2031</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$8,437,500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2032</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$8,437,500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2032</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$8,437,500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2032</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$8,437,500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December 31, 2032</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$8,437,500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March 31, 2033</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$8,437,500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June 30, 2033</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283"/>
              <w:jc w:val="center"/>
              <w:rPr/>
            </w:pPr>
            <w:r>
              <w:rPr/>
              <w:t>$8,437,500</w:t>
            </w:r>
          </w:p>
        </w:tc>
      </w:tr>
      <w:tr>
        <w:trPr/>
        <w:tc>
          <w:tcPr>
            <w:tcW w:w="429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September 30, 2033</w:t>
            </w:r>
          </w:p>
        </w:tc>
        <w:tc>
          <w:tcPr>
            <w:tcW w:w="210" w:type="dxa"/>
            <w:tcBorders/>
            <w:shd w:fill="CCEEFF" w:val="clear"/>
            <w:vAlign w:val="bottom"/>
          </w:tcPr>
          <w:p>
            <w:pPr>
              <w:pStyle w:val="TableContents"/>
              <w:bidi w:val="0"/>
              <w:spacing w:before="0" w:after="283"/>
              <w:jc w:val="left"/>
              <w:rPr/>
            </w:pPr>
            <w:r>
              <w:rPr/>
              <w:t>  </w:t>
            </w:r>
          </w:p>
        </w:tc>
        <w:tc>
          <w:tcPr>
            <w:tcW w:w="2434" w:type="dxa"/>
            <w:tcBorders/>
            <w:shd w:fill="CCEEFF" w:val="clear"/>
            <w:vAlign w:val="bottom"/>
          </w:tcPr>
          <w:p>
            <w:pPr>
              <w:pStyle w:val="TableContents"/>
              <w:bidi w:val="0"/>
              <w:spacing w:before="0" w:after="283"/>
              <w:jc w:val="center"/>
              <w:rPr/>
            </w:pPr>
            <w:r>
              <w:rPr/>
              <w:t>$8,437,500</w:t>
            </w:r>
          </w:p>
        </w:tc>
      </w:tr>
      <w:tr>
        <w:trPr/>
        <w:tc>
          <w:tcPr>
            <w:tcW w:w="4295" w:type="dxa"/>
            <w:tcBorders/>
          </w:tcPr>
          <w:p>
            <w:pPr>
              <w:pStyle w:val="TableContents"/>
              <w:bidi w:val="0"/>
              <w:spacing w:before="0" w:after="0"/>
              <w:jc w:val="center"/>
              <w:rPr>
                <w:rFonts w:ascii="Times New Roman" w:hAnsi="Times New Roman"/>
                <w:sz w:val="20"/>
              </w:rPr>
            </w:pPr>
            <w:r>
              <w:rPr>
                <w:rFonts w:ascii="Times New Roman" w:hAnsi="Times New Roman"/>
                <w:sz w:val="20"/>
              </w:rPr>
              <w:t>Maturity Date</w:t>
            </w:r>
          </w:p>
        </w:tc>
        <w:tc>
          <w:tcPr>
            <w:tcW w:w="210" w:type="dxa"/>
            <w:tcBorders/>
            <w:vAlign w:val="bottom"/>
          </w:tcPr>
          <w:p>
            <w:pPr>
              <w:pStyle w:val="TableContents"/>
              <w:bidi w:val="0"/>
              <w:spacing w:before="0" w:after="283"/>
              <w:jc w:val="left"/>
              <w:rPr/>
            </w:pPr>
            <w:r>
              <w:rPr/>
              <w:t>  </w:t>
            </w:r>
          </w:p>
        </w:tc>
        <w:tc>
          <w:tcPr>
            <w:tcW w:w="2434"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Outstanding Amount of Term</w:t>
            </w:r>
          </w:p>
          <w:p>
            <w:pPr>
              <w:pStyle w:val="TableContents"/>
              <w:bidi w:val="0"/>
              <w:spacing w:before="0" w:after="20"/>
              <w:jc w:val="center"/>
              <w:rPr>
                <w:rFonts w:ascii="Times New Roman" w:hAnsi="Times New Roman"/>
                <w:sz w:val="20"/>
              </w:rPr>
            </w:pPr>
            <w:r>
              <w:rPr>
                <w:rFonts w:ascii="Times New Roman" w:hAnsi="Times New Roman"/>
                <w:sz w:val="20"/>
              </w:rPr>
              <w:t>B Loan</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final principal repayment installment of the Term B Loans shall be repaid on the Maturity Date for the Term B Facility and in any event shall be in an amount equal to the aggregate principal amount of all Term B Loans outstanding on such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Revolving Credit Loans</w:t>
      </w:r>
      <w:r>
        <w:rPr>
          <w:rFonts w:ascii="Times New Roman" w:hAnsi="Times New Roman"/>
          <w:sz w:val="20"/>
        </w:rPr>
        <w:t xml:space="preserve">. The Borrower shall repay to the Revolving Credit Lenders on the Maturity Date for the Revolving Credit Facility the aggregate principal amount of all Revolving Credit Loans outstanding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Swing Line Loans</w:t>
      </w:r>
      <w:r>
        <w:rPr>
          <w:rFonts w:ascii="Times New Roman" w:hAnsi="Times New Roman"/>
          <w:sz w:val="20"/>
        </w:rPr>
        <w:t xml:space="preserve">. The Borrower shall repay each Swing Line Loan on the earlier to occur of (i) the date that is ten (10) Business Days after such Swing Line Loan is made and (ii) the Maturity Date for the Revolving Credit Facility. </w:t>
      </w:r>
    </w:p>
    <w:p>
      <w:pPr>
        <w:pStyle w:val="TextBody"/>
        <w:bidi w:val="0"/>
        <w:spacing w:before="240" w:after="0"/>
        <w:jc w:val="left"/>
        <w:rPr>
          <w:rFonts w:ascii="Times New Roman" w:hAnsi="Times New Roman"/>
          <w:sz w:val="20"/>
        </w:rPr>
      </w:pPr>
      <w:r>
        <w:rPr>
          <w:rFonts w:ascii="Times New Roman" w:hAnsi="Times New Roman"/>
          <w:b/>
          <w:sz w:val="20"/>
        </w:rPr>
        <w:t>2.08</w:t>
      </w:r>
      <w:r>
        <w:rPr>
          <w:rFonts w:ascii="Times New Roman" w:hAnsi="Times New Roman"/>
          <w:sz w:val="20"/>
        </w:rPr>
        <w:t xml:space="preserve"> </w:t>
      </w:r>
      <w:r>
        <w:rPr>
          <w:rFonts w:ascii="Times New Roman" w:hAnsi="Times New Roman"/>
          <w:b/>
          <w:sz w:val="20"/>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w:t>
      </w:r>
      <w:r>
        <w:rPr>
          <w:rFonts w:ascii="Times New Roman" w:hAnsi="Times New Roman"/>
          <w:sz w:val="20"/>
          <w:u w:val="single"/>
        </w:rPr>
        <w:t>Section 2.08(b)</w:t>
      </w:r>
      <w:r>
        <w:rPr>
          <w:rFonts w:ascii="Times New Roman" w:hAnsi="Times New Roman"/>
          <w:sz w:val="20"/>
        </w:rPr>
        <w:t xml:space="preserve"> (and without duplication), (i) each Term SOFR Loan under a Facility shall bear interest on the outstanding principal amount thereof for each Interest Period at a rate per annum equal to Term SOFR for such Interest Period plus the Applicable Rate under a Facility; (ii) each Base Rate Loan under a Facility shall bear interest on the outstanding principal amount thereof from the applicable borrowing date at a rate per annum equal to the Base Rate plus the Applicable Rate under a Facility; and (iii) each Swing Line Loan shall bear interest on the outstanding principal amount thereof from the applicable borrowing date at a rate per annum equal to the Base Rate plus the Applicable Rate for the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(b) (i) If any amount of principal of any Loan is not paid when due (after any applicable grace periods), whether at stated maturity, by acceleration or otherwise, such amount thereafter shall bear interest at a fluctuating interest rate per annum at all times equal to the Default Rate to the fullest extent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 If any amount (other than principal of any Loan) payable by the Borrower under any Loan Document is not paid when due (after any applicable grace periods), whether at stated maturity, by acceleration or otherwise, then upon the request of the Required Lenders, such amount shall thereafter bear interest at the fluctuating interest rate per annum equal at all times to the Default Rate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Accrued and unpaid interest on past due amounts (including interest on past due interest) shall be due and payable upon demand. </w:t>
      </w:r>
    </w:p>
    <w:p>
      <w:pPr>
        <w:pStyle w:val="TextBody"/>
        <w:bidi w:val="0"/>
        <w:spacing w:before="240" w:after="0"/>
        <w:jc w:val="left"/>
        <w:rPr>
          <w:rFonts w:ascii="Times New Roman" w:hAnsi="Times New Roman"/>
          <w:sz w:val="20"/>
        </w:rPr>
      </w:pPr>
      <w:r>
        <w:rPr>
          <w:rFonts w:ascii="Times New Roman" w:hAnsi="Times New Roman"/>
          <w:sz w:val="20"/>
        </w:rPr>
        <w:t xml:space="preserve">(c)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w:t>
      </w:r>
    </w:p>
    <w:p>
      <w:pPr>
        <w:pStyle w:val="TextBody"/>
        <w:bidi w:val="0"/>
        <w:spacing w:before="240" w:after="0"/>
        <w:jc w:val="left"/>
        <w:rPr>
          <w:rFonts w:ascii="Times New Roman" w:hAnsi="Times New Roman"/>
          <w:sz w:val="20"/>
        </w:rPr>
      </w:pPr>
      <w:r>
        <w:rPr>
          <w:rFonts w:ascii="Times New Roman" w:hAnsi="Times New Roman"/>
          <w:b/>
          <w:sz w:val="20"/>
        </w:rPr>
        <w:t>2.09</w:t>
      </w:r>
      <w:r>
        <w:rPr>
          <w:rFonts w:ascii="Times New Roman" w:hAnsi="Times New Roman"/>
          <w:sz w:val="20"/>
        </w:rPr>
        <w:t xml:space="preserve"> </w:t>
      </w:r>
      <w:r>
        <w:rPr>
          <w:rFonts w:ascii="Times New Roman" w:hAnsi="Times New Roman"/>
          <w:b/>
          <w:sz w:val="20"/>
        </w:rPr>
        <w:t>Fees.</w:t>
      </w:r>
      <w:r>
        <w:rPr>
          <w:rFonts w:ascii="Times New Roman" w:hAnsi="Times New Roman"/>
          <w:sz w:val="20"/>
        </w:rPr>
        <w:t xml:space="preserve"> In addition to certain fees described in </w:t>
      </w:r>
      <w:r>
        <w:rPr>
          <w:rFonts w:ascii="Times New Roman" w:hAnsi="Times New Roman"/>
          <w:sz w:val="20"/>
          <w:u w:val="single"/>
        </w:rPr>
        <w:t>Sections 2.03(h)</w:t>
      </w:r>
      <w:r>
        <w:rPr>
          <w:rFonts w:ascii="Times New Roman" w:hAnsi="Times New Roman"/>
          <w:sz w:val="20"/>
        </w:rPr>
        <w:t xml:space="preserve"> and </w:t>
      </w:r>
      <w:r>
        <w:rPr>
          <w:rFonts w:ascii="Times New Roman" w:hAnsi="Times New Roman"/>
          <w:sz w:val="20"/>
          <w:u w:val="single"/>
        </w:rPr>
        <w:t>2.03(i)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Commitment Fee</w:t>
      </w:r>
      <w:r>
        <w:rPr>
          <w:rFonts w:ascii="Times New Roman" w:hAnsi="Times New Roman"/>
          <w:sz w:val="20"/>
        </w:rPr>
        <w:t>. The Borrower shall pay to the Administrative Agent for the account of each Revolving Credit Lender in accordance with its Applicable Revolving Credit Percentage, a commitment fee (the “</w:t>
      </w:r>
      <w:r>
        <w:rPr>
          <w:rFonts w:ascii="Times New Roman" w:hAnsi="Times New Roman"/>
          <w:sz w:val="20"/>
          <w:u w:val="single"/>
        </w:rPr>
        <w:t>Commitment Fee</w:t>
      </w:r>
      <w:r>
        <w:rPr>
          <w:rFonts w:ascii="Times New Roman" w:hAnsi="Times New Roman"/>
          <w:sz w:val="20"/>
        </w:rPr>
        <w:t xml:space="preserve">”) equal to the Applicable Rate under the Revolving Credit Facility </w:t>
      </w:r>
      <w:r>
        <w:rPr>
          <w:rFonts w:ascii="Times New Roman" w:hAnsi="Times New Roman"/>
          <w:sz w:val="20"/>
          <w:u w:val="single"/>
        </w:rPr>
        <w:t>times</w:t>
      </w:r>
      <w:r>
        <w:rPr>
          <w:rFonts w:ascii="Times New Roman" w:hAnsi="Times New Roman"/>
          <w:sz w:val="20"/>
        </w:rPr>
        <w:t xml:space="preserve"> the actual daily amount by which the Revolving Credit Facility exceeds the sum of (i) the Outstanding Amount of Revolving Credit Loans and (ii) the Outstanding Amount of L/C Obligations, subject to adjustment as provided in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purposes of calculating the Commitment Fee, Swing Line Loans will not be deemed to be utilized. The Commitment Fee shall accrue at all times during the Availability Period, including at any time during which one or more of the conditions in </w:t>
      </w:r>
      <w:r>
        <w:rPr>
          <w:rFonts w:ascii="Times New Roman" w:hAnsi="Times New Roman"/>
          <w:sz w:val="20"/>
          <w:u w:val="single"/>
        </w:rPr>
        <w:t>ARTICLE IV</w:t>
      </w:r>
      <w:r>
        <w:rPr>
          <w:rFonts w:ascii="Times New Roman" w:hAnsi="Times New Roman"/>
          <w:sz w:val="20"/>
        </w:rPr>
        <w:t xml:space="preserve"> is not met, and shall be due and payable quarterly in arrears on the last Business Day of each March, June, September and December, commencing with the first such date to occur after the Closing Date, and on the Maturity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Fees</w:t>
      </w:r>
      <w:r>
        <w:rPr>
          <w:rFonts w:ascii="Times New Roman" w:hAnsi="Times New Roman"/>
          <w:sz w:val="20"/>
        </w:rPr>
        <w:t xml:space="preserve">. (i) The Borrower shall pay to the Arrangers and the Administrative Agent for their own respective accounts fees in the amounts and at the times specified in the Engagement Letter and the Fee Letters. Such fees shall be fully earned when paid and shall not be refundable for any reason whatsoever. </w:t>
      </w:r>
    </w:p>
    <w:p>
      <w:pPr>
        <w:pStyle w:val="TextBody"/>
        <w:bidi w:val="0"/>
        <w:spacing w:before="240" w:after="0"/>
        <w:jc w:val="left"/>
        <w:rPr>
          <w:rFonts w:ascii="Times New Roman" w:hAnsi="Times New Roman"/>
          <w:sz w:val="20"/>
        </w:rPr>
      </w:pPr>
      <w:r>
        <w:rPr>
          <w:rFonts w:ascii="Times New Roman" w:hAnsi="Times New Roman"/>
          <w:sz w:val="20"/>
        </w:rPr>
        <w:t xml:space="preserve">(ii) The Borrower shall pay to the Lenders such fees as shall have been separately agreed upon in writing in the amounts and at the times so specified. Such fees shall be fully earned when paid and shall not be refundable for any reason whatsoever. </w:t>
      </w:r>
    </w:p>
    <w:p>
      <w:pPr>
        <w:pStyle w:val="TextBody"/>
        <w:bidi w:val="0"/>
        <w:spacing w:before="240" w:after="0"/>
        <w:jc w:val="left"/>
        <w:rPr>
          <w:rFonts w:ascii="Times New Roman" w:hAnsi="Times New Roman"/>
          <w:sz w:val="20"/>
        </w:rPr>
      </w:pPr>
      <w:r>
        <w:rPr>
          <w:rFonts w:ascii="Times New Roman" w:hAnsi="Times New Roman"/>
          <w:b/>
          <w:sz w:val="20"/>
        </w:rPr>
        <w:t>2.10</w:t>
      </w:r>
      <w:r>
        <w:rPr>
          <w:rFonts w:ascii="Times New Roman" w:hAnsi="Times New Roman"/>
          <w:sz w:val="20"/>
        </w:rPr>
        <w:t xml:space="preserve"> </w:t>
      </w:r>
      <w:r>
        <w:rPr>
          <w:rFonts w:ascii="Times New Roman" w:hAnsi="Times New Roman"/>
          <w:b/>
          <w:sz w:val="20"/>
        </w:rPr>
        <w:t>Computation of Interest and Fees; Retroactive Adjustments of Applicable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sz w:val="20"/>
          <w:u w:val="single"/>
        </w:rPr>
        <w:t>provided</w:t>
      </w:r>
      <w:r>
        <w:rPr>
          <w:rFonts w:ascii="Times New Roman" w:hAnsi="Times New Roman"/>
          <w:sz w:val="20"/>
        </w:rPr>
        <w:t xml:space="preserve"> that any Loan that is repaid on the same day on which it is made shall, subject to </w:t>
      </w:r>
      <w:r>
        <w:rPr>
          <w:rFonts w:ascii="Times New Roman" w:hAnsi="Times New Roman"/>
          <w:sz w:val="20"/>
          <w:u w:val="single"/>
        </w:rPr>
        <w:t>Section 2.12(a)</w:t>
      </w:r>
      <w:r>
        <w:rPr>
          <w:rFonts w:ascii="Times New Roman" w:hAnsi="Times New Roman"/>
          <w:sz w:val="20"/>
        </w:rPr>
        <w:t xml:space="preserve">, bear interest for one day. Each determination by the Administrative Agent of an interest rate or fee hereunder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If, as a result of any restatement of or other adjustment to the financial statements of the Borrower or for any other reason, the Borrower or the Lenders determine that (i) the Consolidated Total Leverage Ratio as calculated by the Borrower as of any applicable date was inaccurate and (ii) a proper calculation of the Consolidated Total Leverage Ratio would have resulted in higher pricing for such period, the Borrower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Times New Roman" w:hAnsi="Times New Roman"/>
          <w:sz w:val="20"/>
          <w:u w:val="single"/>
        </w:rPr>
        <w:t>Section 2.03(c)(iii)</w:t>
      </w:r>
      <w:r>
        <w:rPr>
          <w:rFonts w:ascii="Times New Roman" w:hAnsi="Times New Roman"/>
          <w:sz w:val="20"/>
        </w:rPr>
        <w:t xml:space="preserve">, </w:t>
      </w:r>
      <w:r>
        <w:rPr>
          <w:rFonts w:ascii="Times New Roman" w:hAnsi="Times New Roman"/>
          <w:sz w:val="20"/>
          <w:u w:val="single"/>
        </w:rPr>
        <w:t>2.03(i)</w:t>
      </w:r>
      <w:r>
        <w:rPr>
          <w:rFonts w:ascii="Times New Roman" w:hAnsi="Times New Roman"/>
          <w:sz w:val="20"/>
        </w:rPr>
        <w:t xml:space="preserve"> or </w:t>
      </w:r>
      <w:r>
        <w:rPr>
          <w:rFonts w:ascii="Times New Roman" w:hAnsi="Times New Roman"/>
          <w:sz w:val="20"/>
          <w:u w:val="single"/>
        </w:rPr>
        <w:t>2.08(b)</w:t>
      </w:r>
      <w:r>
        <w:rPr>
          <w:rFonts w:ascii="Times New Roman" w:hAnsi="Times New Roman"/>
          <w:sz w:val="20"/>
        </w:rPr>
        <w:t xml:space="preserve"> or under </w:t>
      </w:r>
      <w:r>
        <w:rPr>
          <w:rFonts w:ascii="Times New Roman" w:hAnsi="Times New Roman"/>
          <w:sz w:val="20"/>
          <w:u w:val="single"/>
        </w:rPr>
        <w:t>ARTICLE VIII</w:t>
      </w:r>
      <w:r>
        <w:rPr>
          <w:rFonts w:ascii="Times New Roman" w:hAnsi="Times New Roman"/>
          <w:sz w:val="20"/>
        </w:rPr>
        <w:t xml:space="preserve">. The Borrower’s obligations under this paragraph shall survive the termination of the Aggregate Commitments and the repayment of all other Obligations hereunder. </w:t>
      </w:r>
    </w:p>
    <w:p>
      <w:pPr>
        <w:pStyle w:val="TextBody"/>
        <w:bidi w:val="0"/>
        <w:spacing w:before="24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rPr>
        <w:t>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Credit Extensions made by each Lender shall be evidenced by one or more accounts or records maintained by such Lender and by the Administrative Agent in the ordinary course of business. The accounts or records maintained by the Administrative Agent and each Lender of the amount of the Credit Extensions made by the Lenders to the Borrower and the interest and payments thereon shall be conclusive absent manifest error.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to the accounts and records referred to in </w:t>
      </w:r>
      <w:r>
        <w:rPr>
          <w:rFonts w:ascii="Times New Roman" w:hAnsi="Times New Roman"/>
          <w:sz w:val="20"/>
          <w:u w:val="single"/>
        </w:rPr>
        <w:t>Section 2.11(a)</w:t>
      </w:r>
      <w:r>
        <w:rPr>
          <w:rFonts w:ascii="Times New Roman" w:hAnsi="Times New Roman"/>
          <w:sz w:val="20"/>
        </w:rPr>
        <w:t xml:space="preser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Entries made in good faith by the Administrative Agent in the Register pursuant to subsections (a) and (b) above, and by each Lender in its accounts pursuant to subsections (a) and (b) above,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hAnsi="Times New Roman"/>
          <w:sz w:val="20"/>
          <w:u w:val="single"/>
        </w:rPr>
        <w:t>provided</w:t>
      </w:r>
      <w:r>
        <w:rPr>
          <w:rFonts w:ascii="Times New Roman" w:hAnsi="Times New Roman"/>
          <w:sz w:val="20"/>
        </w:rPr>
        <w:t xml:space="preserve"> that the failure of the Administrative Agent or such Lender to make any entry, or any finding that an entry is incorrect, in the Register or such account or accounts shall not limit or otherwise affect the obligations of the Borrower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rPr>
        <w:t>Payments Generally; Administrative Agent</w:t>
      </w:r>
      <w:r>
        <w:rPr>
          <w:rFonts w:ascii="Times New Roman" w:hAnsi="Times New Roman"/>
          <w:sz w:val="20"/>
        </w:rPr>
        <w:t>’</w:t>
      </w:r>
      <w:r>
        <w:rPr>
          <w:rFonts w:ascii="Times New Roman" w:hAnsi="Times New Roman"/>
          <w:b/>
          <w:sz w:val="20"/>
        </w:rPr>
        <w:t>s Clawback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All payments to be made by the Borrower shall be made without condition or deduction for any counterclaim, defense, recoupment or setoff, but without waiver thereof.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(unless otherwise expressly provided herein), and such extension of time shall be reflected in computing interest or fees,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 </w:t>
      </w:r>
      <w:r>
        <w:rPr>
          <w:rFonts w:ascii="Times New Roman" w:hAnsi="Times New Roman"/>
          <w:sz w:val="20"/>
          <w:u w:val="single"/>
        </w:rPr>
        <w:t>Funding by Lenders; Presumption by Administrative Agent</w:t>
      </w:r>
      <w:r>
        <w:rPr>
          <w:rFonts w:ascii="Times New Roman" w:hAnsi="Times New Roman"/>
          <w:sz w:val="20"/>
        </w:rPr>
        <w:t xml:space="preserve">. Unless the Administrative Agent shall have received notice from a Lender prior to the proposed date of any Borrowing that such Lender will not make available to the Administrative Agent such Lender’s share of such Borrowing of Term SOFR Loans (or, in the case of any Borrowing of Base Rate Loans, prior to 12:00 noon on the date of such Borrowing), the Administrative Agent may assume that such Lender has made such share available on such date in accordance with </w:t>
      </w:r>
      <w:r>
        <w:rPr>
          <w:rFonts w:ascii="Times New Roman" w:hAnsi="Times New Roman"/>
          <w:sz w:val="20"/>
          <w:u w:val="single"/>
        </w:rPr>
        <w:t>Section 2.02</w:t>
      </w:r>
      <w:r>
        <w:rPr>
          <w:rFonts w:ascii="Times New Roman" w:hAnsi="Times New Roman"/>
          <w:sz w:val="20"/>
        </w:rPr>
        <w:t xml:space="preserve"> (or, in the case of a Borrowing of Base Rate Loans, that such Lender has made such share available in accordance with and at the time required by </w:t>
      </w:r>
      <w:r>
        <w:rPr>
          <w:rFonts w:ascii="Times New Roman" w:hAnsi="Times New Roman"/>
          <w:sz w:val="20"/>
          <w:u w:val="single"/>
        </w:rPr>
        <w:t>Section 2.02)</w:t>
      </w:r>
      <w:r>
        <w:rPr>
          <w:rFonts w:ascii="Times New Roman" w:hAnsi="Times New Roman"/>
          <w:sz w:val="2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foregoing, and (B) in the case of a payment to be made by the Borrower, the interest rate applicable to the applicable Borrowing.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Payments by Borrower; Presumptions by Administrative Agent</w:t>
      </w:r>
      <w:r>
        <w:rPr>
          <w:rFonts w:ascii="Times New Roman" w:hAnsi="Times New Roman"/>
          <w:sz w:val="20"/>
        </w:rPr>
        <w:t>. Unless the Administrative Agent shall have received notice from the Borrower prior to the date on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Appropriate Lenders or the L/C Issuers, as the case may be, the amount due. With respect to any payment that the Administrative Agent makes for the account of the Lenders or the L/C Issuers hereunder as to which the Administrative Agent determines (which determination shall be conclusive absent manifest error) that any of the following applies (such payment referred to as the “</w:t>
      </w:r>
      <w:r>
        <w:rPr>
          <w:rFonts w:ascii="Times New Roman" w:hAnsi="Times New Roman"/>
          <w:sz w:val="20"/>
          <w:u w:val="single"/>
        </w:rPr>
        <w:t>Rescindable Amount</w:t>
      </w:r>
      <w:r>
        <w:rPr>
          <w:rFonts w:ascii="Times New Roman" w:hAnsi="Times New Roman"/>
          <w:sz w:val="20"/>
        </w:rPr>
        <w:t xml:space="preserve">”) :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Issuers,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A notice of the Administrative Agent to any Lender or the Borrower with respect to any amount owing under this subsection (b)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Failure to Satisfy Conditions Precedent</w:t>
      </w:r>
      <w:r>
        <w:rPr>
          <w:rFonts w:ascii="Times New Roman" w:hAnsi="Times New Roman"/>
          <w:sz w:val="20"/>
        </w:rPr>
        <w:t xml:space="preserve">. If any Lender makes available to the Administrative Agent funds for any Loan to be made by such Lender as provided in the foregoing provisions of this </w:t>
      </w:r>
      <w:r>
        <w:rPr>
          <w:rFonts w:ascii="Times New Roman" w:hAnsi="Times New Roman"/>
          <w:sz w:val="20"/>
          <w:u w:val="single"/>
        </w:rPr>
        <w:t>ARTICLE II</w:t>
      </w:r>
      <w:r>
        <w:rPr>
          <w:rFonts w:ascii="Times New Roman" w:hAnsi="Times New Roman"/>
          <w:sz w:val="20"/>
        </w:rPr>
        <w:t xml:space="preserve">, and such funds are not made available to the Borrower by the Administrative Agent because the conditions to the applicable Credit Extension set forth in </w:t>
      </w:r>
      <w:r>
        <w:rPr>
          <w:rFonts w:ascii="Times New Roman" w:hAnsi="Times New Roman"/>
          <w:sz w:val="20"/>
          <w:u w:val="single"/>
        </w:rPr>
        <w:t>ARTICLE IV</w:t>
      </w:r>
      <w:r>
        <w:rPr>
          <w:rFonts w:ascii="Times New Roman" w:hAnsi="Times New Roman"/>
          <w:sz w:val="20"/>
        </w:rPr>
        <w:t xml:space="preserve"> are not satisfied or waived in accordance with the terms hereof, the Administrative Agent shall return such funds (in like funds as received from such Lender) to such Lender, without interest, if returned within one Business Day, and with interest at the Federal Funds Rate for each day thereafter until returned.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Obligations of Lenders Several</w:t>
      </w:r>
      <w:r>
        <w:rPr>
          <w:rFonts w:ascii="Times New Roman" w:hAnsi="Times New Roman"/>
          <w:sz w:val="20"/>
        </w:rPr>
        <w:t xml:space="preserve">. The obligations of the Lenders hereunder to make Term Loans and Revolving Credit Loans, to fund participations in Letters of Credit and Swing Line Loans and to make payments pursuant to </w:t>
      </w:r>
      <w:r>
        <w:rPr>
          <w:rFonts w:ascii="Times New Roman" w:hAnsi="Times New Roman"/>
          <w:sz w:val="20"/>
          <w:u w:val="single"/>
        </w:rPr>
        <w:t>Section 10.04(c)</w:t>
      </w:r>
      <w:r>
        <w:rPr>
          <w:rFonts w:ascii="Times New Roman" w:hAnsi="Times New Roman"/>
          <w:sz w:val="20"/>
        </w:rPr>
        <w:t xml:space="preserve"> are several and not joint. The failure of any Lender to make any Loan, to fund any such participation or to make any payment under </w:t>
      </w:r>
      <w:r>
        <w:rPr>
          <w:rFonts w:ascii="Times New Roman" w:hAnsi="Times New Roman"/>
          <w:sz w:val="20"/>
          <w:u w:val="single"/>
        </w:rPr>
        <w:t>Section 10.04(c)</w:t>
      </w:r>
      <w:r>
        <w:rPr>
          <w:rFonts w:ascii="Times New Roman" w:hAnsi="Times New Roman"/>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sz w:val="20"/>
          <w:u w:val="single"/>
        </w:rPr>
        <w:t>Section 10.04(c)</w:t>
      </w:r>
      <w:r>
        <w:rPr>
          <w:rFonts w:ascii="Times New Roman" w:hAnsi="Times New Roman"/>
          <w:sz w:val="20"/>
        </w:rPr>
        <w:t xml:space="preserve">. For the avoidance of doubt, the respective obligations of the Lenders hereunder are several and not joint and no Lender shall be responsible for the failure of any other Lender to satisfy its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Funding Source</w:t>
      </w:r>
      <w:r>
        <w:rPr>
          <w:rFonts w:ascii="Times New Roman" w:hAnsi="Times New Roman"/>
          <w:sz w:val="20"/>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Insufficient Funds</w:t>
      </w:r>
      <w:r>
        <w:rPr>
          <w:rFonts w:ascii="Times New Roman" w:hAnsi="Times New Roman"/>
          <w:sz w:val="20"/>
        </w:rPr>
        <w:t xml:space="preserve">. If at any time insufficient funds are received by and available to the Administrative Agent to pay fully all amounts of principal, L/C Borrowings, interest and fees then due hereunder, such funds shall be applied as provided in </w:t>
      </w:r>
      <w:r>
        <w:rPr>
          <w:rFonts w:ascii="Times New Roman" w:hAnsi="Times New Roman"/>
          <w:sz w:val="20"/>
          <w:u w:val="single"/>
        </w:rPr>
        <w:t>Section 8.03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sz w:val="20"/>
        </w:rPr>
        <w:t>Sharing of Payments by Lenders.</w:t>
      </w:r>
      <w:r>
        <w:rPr>
          <w:rFonts w:ascii="Times New Roman" w:hAnsi="Times New Roman"/>
          <w:sz w:val="20"/>
        </w:rPr>
        <w:t xml:space="preserve">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payments on account of the Obligations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provided that: </w:t>
      </w:r>
    </w:p>
    <w:p>
      <w:pPr>
        <w:pStyle w:val="TextBody"/>
        <w:bidi w:val="0"/>
        <w:spacing w:before="120" w:after="0"/>
        <w:jc w:val="left"/>
        <w:rPr>
          <w:rFonts w:ascii="Times New Roman" w:hAnsi="Times New Roman"/>
          <w:sz w:val="20"/>
        </w:rPr>
      </w:pPr>
      <w:r>
        <w:rPr>
          <w:rFonts w:ascii="Times New Roman" w:hAnsi="Times New Roman"/>
          <w:sz w:val="20"/>
        </w:rPr>
        <w:t xml:space="preserve">(i) if any such participations or subparticipations are purchased and all or any portion of the payment giving rise thereto is recovered, such participations or subparticipations shall be rescinded and the purchase price restored to the extent of such recovery, without interest;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 w:hAnsi="Times New Roman"/>
          <w:sz w:val="20"/>
          <w:u w:val="single"/>
        </w:rPr>
        <w:t>Section 2.14</w:t>
      </w:r>
      <w:r>
        <w:rPr>
          <w:rFonts w:ascii="Times New Roman" w:hAnsi="Times New Roman"/>
          <w:sz w:val="20"/>
        </w:rPr>
        <w:t xml:space="preserve">, or (C) any payment obtained by a Lender as consideration for the assignment of or sale of a participation in any of its Loans or subparticipations in L/C Obligations or Swing Line Loans to any assignee or participant, other than an assignment to the Borrower or any Subsidiary thereof (as to which the provisions of this Section shall apply). </w:t>
      </w:r>
    </w:p>
    <w:p>
      <w:pPr>
        <w:pStyle w:val="TextBody"/>
        <w:bidi w:val="0"/>
        <w:spacing w:before="240" w:after="0"/>
        <w:jc w:val="left"/>
        <w:rPr>
          <w:rFonts w:ascii="Times New Roman" w:hAnsi="Times New Roman"/>
          <w:sz w:val="20"/>
        </w:rPr>
      </w:pPr>
      <w:r>
        <w:rPr>
          <w:rFonts w:ascii="Times New Roman" w:hAnsi="Times New Roman"/>
          <w:sz w:val="20"/>
        </w:rPr>
        <w:t xml:space="preserve">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2.14</w:t>
      </w:r>
      <w:r>
        <w:rPr>
          <w:rFonts w:ascii="Times New Roman" w:hAnsi="Times New Roman"/>
          <w:sz w:val="20"/>
        </w:rPr>
        <w:t xml:space="preserve"> </w:t>
      </w:r>
      <w:r>
        <w:rPr>
          <w:rFonts w:ascii="Times New Roman" w:hAnsi="Times New Roman"/>
          <w:b/>
          <w:sz w:val="20"/>
        </w:rPr>
        <w:t>Cash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Credit Support Events</w:t>
      </w:r>
      <w:r>
        <w:rPr>
          <w:rFonts w:ascii="Times New Roman" w:hAnsi="Times New Roman"/>
          <w:sz w:val="20"/>
        </w:rPr>
        <w:t xml:space="preserve">. If (i) a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Times New Roman" w:hAnsi="Times New Roman"/>
          <w:sz w:val="20"/>
          <w:u w:val="single"/>
        </w:rPr>
        <w:t>Section </w:t>
      </w:r>
      <w:r>
        <w:rPr>
          <w:rFonts w:ascii="Times New Roman" w:hAnsi="Times New Roman"/>
          <w:b/>
          <w:sz w:val="20"/>
          <w:u w:val="single"/>
        </w:rPr>
        <w:t>Error! Reference source not found.</w:t>
      </w:r>
      <w:r>
        <w:rPr>
          <w:rFonts w:ascii="Times New Roman" w:hAnsi="Times New Roman"/>
          <w:sz w:val="20"/>
        </w:rPr>
        <w:t xml:space="preserve">, or (iv) there shall exist a Defaulting Lender, the Borrower shall immediately (in the case of </w:t>
      </w:r>
      <w:r>
        <w:rPr>
          <w:rFonts w:ascii="Times New Roman" w:hAnsi="Times New Roman"/>
          <w:sz w:val="20"/>
          <w:u w:val="single"/>
        </w:rPr>
        <w:t>clause (iii)</w:t>
      </w:r>
      <w:r>
        <w:rPr>
          <w:rFonts w:ascii="Times New Roman" w:hAnsi="Times New Roman"/>
          <w:sz w:val="20"/>
        </w:rPr>
        <w:t xml:space="preserve"> above) or within one Business Day (in all other cases) following any request by the Administrative Agent or such L/C Issuer, provide Cash Collateral in an amount not less than the applicable Minimum Collateral Amount (determined in the case of Cash Collateral provided pursuant to </w:t>
      </w:r>
      <w:r>
        <w:rPr>
          <w:rFonts w:ascii="Times New Roman" w:hAnsi="Times New Roman"/>
          <w:sz w:val="20"/>
          <w:u w:val="single"/>
        </w:rPr>
        <w:t>clause (iv)</w:t>
      </w:r>
      <w:r>
        <w:rPr>
          <w:rFonts w:ascii="Times New Roman" w:hAnsi="Times New Roman"/>
          <w:sz w:val="20"/>
        </w:rPr>
        <w:t xml:space="preserve"> above, after giving effect to </w:t>
      </w:r>
      <w:r>
        <w:rPr>
          <w:rFonts w:ascii="Times New Roman" w:hAnsi="Times New Roman"/>
          <w:sz w:val="20"/>
          <w:u w:val="single"/>
        </w:rPr>
        <w:t>Section 2.15(a)(iv)</w:t>
      </w:r>
      <w:r>
        <w:rPr>
          <w:rFonts w:ascii="Times New Roman" w:hAnsi="Times New Roman"/>
          <w:sz w:val="20"/>
        </w:rPr>
        <w:t xml:space="preserve"> and any Cash Collateral provided by the Defaulting Lender). Additionally, if the Administrative Agent notifies the Borrower at any time that the Outstanding Amount of all L/C Obligations at such time exceeds 103% of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Grant of Security Interest</w:t>
      </w:r>
      <w:r>
        <w:rPr>
          <w:rFonts w:ascii="Times New Roman" w:hAnsi="Times New Roman"/>
          <w:sz w:val="20"/>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Cash Collateral, all as security for the obligations to which such Cash Collateral may be applied pursuant to </w:t>
      </w:r>
      <w:r>
        <w:rPr>
          <w:rFonts w:ascii="Times New Roman" w:hAnsi="Times New Roman"/>
          <w:sz w:val="20"/>
          <w:u w:val="single"/>
        </w:rPr>
        <w:t>Section 2.14(c)</w:t>
      </w:r>
      <w:r>
        <w:rPr>
          <w:rFonts w:ascii="Times New Roman" w:hAnsi="Times New Roman"/>
          <w:sz w:val="20"/>
        </w:rPr>
        <w:t xml:space="preserve">. If at any time the Administrative Agent determines that Cash Collateral is subject to any right or claim of any Person other than the Administrative Agent or the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Application</w:t>
      </w:r>
      <w:r>
        <w:rPr>
          <w:rFonts w:ascii="Times New Roman" w:hAnsi="Times New Roman"/>
          <w:sz w:val="20"/>
        </w:rPr>
        <w:t xml:space="preserve">. Notwithstanding anything to the contrary contained in this Agreement, Cash Collateral provided under any of this </w:t>
      </w:r>
      <w:r>
        <w:rPr>
          <w:rFonts w:ascii="Times New Roman" w:hAnsi="Times New Roman"/>
          <w:sz w:val="20"/>
          <w:u w:val="single"/>
        </w:rPr>
        <w:t>Section 2.14</w:t>
      </w:r>
      <w:r>
        <w:rPr>
          <w:rFonts w:ascii="Times New Roman" w:hAnsi="Times New Roman"/>
          <w:sz w:val="20"/>
        </w:rPr>
        <w:t xml:space="preserve"> or </w:t>
      </w:r>
      <w:r>
        <w:rPr>
          <w:rFonts w:ascii="Times New Roman" w:hAnsi="Times New Roman"/>
          <w:sz w:val="20"/>
          <w:u w:val="single"/>
        </w:rPr>
        <w:t>Section 2.03</w:t>
      </w:r>
      <w:r>
        <w:rPr>
          <w:rFonts w:ascii="Times New Roman" w:hAnsi="Times New Roman"/>
          <w:sz w:val="20"/>
        </w:rPr>
        <w:t xml:space="preserve">, </w:t>
      </w:r>
      <w:r>
        <w:rPr>
          <w:rFonts w:ascii="Times New Roman" w:hAnsi="Times New Roman"/>
          <w:sz w:val="20"/>
          <w:u w:val="single"/>
        </w:rPr>
        <w:t>2.04</w:t>
      </w:r>
      <w:r>
        <w:rPr>
          <w:rFonts w:ascii="Times New Roman" w:hAnsi="Times New Roman"/>
          <w:sz w:val="20"/>
        </w:rPr>
        <w:t xml:space="preserve">, </w:t>
      </w:r>
      <w:r>
        <w:rPr>
          <w:rFonts w:ascii="Times New Roman" w:hAnsi="Times New Roman"/>
          <w:sz w:val="20"/>
          <w:u w:val="single"/>
        </w:rPr>
        <w:t>2.05</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or </w:t>
      </w:r>
      <w:r>
        <w:rPr>
          <w:rFonts w:ascii="Times New Roman" w:hAnsi="Times New Roman"/>
          <w:sz w:val="20"/>
          <w:u w:val="single"/>
        </w:rPr>
        <w:t>8.02</w:t>
      </w:r>
      <w:r>
        <w:rPr>
          <w:rFonts w:ascii="Times New Roman" w:hAnsi="Times New Roman"/>
          <w:sz w:val="20"/>
        </w:rPr>
        <w:t xml:space="preserve"> in respect of Letters of Credit or Swing Line Loans shall be held and applied to the satisfaction of the specific L/C Obligations, Swing Line Loans, obligations to fund participations therein (including, as to Cash Collateral provided by a Revolving Credit Lender that is a Defaulting Lender, any interest accrued on such obligation) and other obligations for which the Cash Collateral was so provided, prior to any other application of such property as may be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Release</w:t>
      </w:r>
      <w:r>
        <w:rPr>
          <w:rFonts w:ascii="Times New Roman" w:hAnsi="Times New Roman"/>
          <w:sz w:val="20"/>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w:t>
      </w:r>
      <w:r>
        <w:rPr>
          <w:rFonts w:ascii="Times New Roman" w:hAnsi="Times New Roman"/>
          <w:sz w:val="20"/>
          <w:u w:val="single"/>
        </w:rPr>
        <w:t>Section 10.06(b)(vi)</w:t>
      </w:r>
      <w:r>
        <w:rPr>
          <w:rFonts w:ascii="Times New Roman" w:hAnsi="Times New Roman"/>
          <w:sz w:val="20"/>
        </w:rPr>
        <w:t xml:space="preserve">)) or (ii) the Administrative Agent’s good faith determination that there exists excess Cash Collateral;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(x) that Cash Collateral furnished by or on behalf of a Loan Party shall not be released during the continuance of a Default or Event of Default (and following application as provided in this </w:t>
      </w:r>
      <w:r>
        <w:rPr>
          <w:rFonts w:ascii="Times New Roman" w:hAnsi="Times New Roman"/>
          <w:sz w:val="20"/>
          <w:u w:val="single"/>
        </w:rPr>
        <w:t>Section 2.14</w:t>
      </w:r>
      <w:r>
        <w:rPr>
          <w:rFonts w:ascii="Times New Roman" w:hAnsi="Times New Roman"/>
          <w:sz w:val="20"/>
        </w:rPr>
        <w:t xml:space="preserve"> may be otherwise applied in accordance with </w:t>
      </w:r>
      <w:r>
        <w:rPr>
          <w:rFonts w:ascii="Times New Roman" w:hAnsi="Times New Roman"/>
          <w:sz w:val="20"/>
          <w:u w:val="single"/>
        </w:rPr>
        <w:t>Section 8.03</w:t>
      </w:r>
      <w:r>
        <w:rPr>
          <w:rFonts w:ascii="Times New Roman" w:hAnsi="Times New Roman"/>
          <w:sz w:val="20"/>
        </w:rPr>
        <w:t xml:space="preserve">), and (y) the Person providing Cash Collateral and the L/C Issuers or Swing Line Lender, as applicable, may agree that Cash Collateral shall not be released but instead held to support future anticipated Fronting Exposure or other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2.15</w:t>
      </w:r>
      <w:r>
        <w:rPr>
          <w:rFonts w:ascii="Times New Roman" w:hAnsi="Times New Roman"/>
          <w:sz w:val="20"/>
        </w:rPr>
        <w:t xml:space="preserve"> </w:t>
      </w:r>
      <w:r>
        <w:rPr>
          <w:rFonts w:ascii="Times New Roman" w:hAnsi="Times New Roman"/>
          <w:b/>
          <w:sz w:val="20"/>
        </w:rPr>
        <w:t>Defaulting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definitions of “Required Lenders,” “Required Revolving Lenders,” “Required Pro Rata Lenders,” “Required Term A Lenders” and “Required Term B Lenders” and </w:t>
      </w:r>
      <w:r>
        <w:rPr>
          <w:rFonts w:ascii="Times New Roman" w:hAnsi="Times New Roman"/>
          <w:sz w:val="20"/>
          <w:u w:val="single"/>
        </w:rPr>
        <w:t>Section 10.01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Reallocation of Payments</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ARTICLE VIII</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10.08</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to the payment on a pro rata basis of any amounts owing by such Defaulting Lender to any L/C Issuer or the Swing Line Lender hereunder; </w:t>
      </w:r>
      <w:r>
        <w:rPr>
          <w:rFonts w:ascii="Times New Roman" w:hAnsi="Times New Roman"/>
          <w:i/>
          <w:sz w:val="20"/>
        </w:rPr>
        <w:t>third</w:t>
      </w:r>
      <w:r>
        <w:rPr>
          <w:rFonts w:ascii="Times New Roman" w:hAnsi="Times New Roman"/>
          <w:sz w:val="20"/>
        </w:rPr>
        <w:t xml:space="preserve">, to Cash Collateralize each L/C Issuer’s Fronting Exposure with respect to such Defaulting Lender in accordance with </w:t>
      </w:r>
      <w:r>
        <w:rPr>
          <w:rFonts w:ascii="Times New Roman" w:hAnsi="Times New Roman"/>
          <w:sz w:val="20"/>
          <w:u w:val="single"/>
        </w:rPr>
        <w:t>Section 2.14</w:t>
      </w:r>
      <w:r>
        <w:rPr>
          <w:rFonts w:ascii="Times New Roman" w:hAnsi="Times New Roman"/>
          <w:sz w:val="20"/>
        </w:rPr>
        <w:t xml:space="preserve">; </w:t>
      </w:r>
      <w:r>
        <w:rPr>
          <w:rFonts w:ascii="Times New Roman" w:hAnsi="Times New Roman"/>
          <w:i/>
          <w:sz w:val="20"/>
        </w:rPr>
        <w:t>fourth</w:t>
      </w:r>
      <w:r>
        <w:rPr>
          <w:rFonts w:ascii="Times New Roman" w:hAnsi="Times New Roman"/>
          <w:sz w:val="20"/>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hAnsi="Times New Roman"/>
          <w:i/>
          <w:sz w:val="20"/>
        </w:rPr>
        <w:t>fifth</w:t>
      </w:r>
      <w:r>
        <w:rPr>
          <w:rFonts w:ascii="Times New Roman" w:hAnsi="Times New Roman"/>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Times New Roman" w:hAnsi="Times New Roman"/>
          <w:sz w:val="20"/>
          <w:u w:val="single"/>
        </w:rPr>
        <w:t>Section 2.14</w:t>
      </w:r>
      <w:r>
        <w:rPr>
          <w:rFonts w:ascii="Times New Roman" w:hAnsi="Times New Roman"/>
          <w:sz w:val="20"/>
        </w:rPr>
        <w:t xml:space="preserve">; </w:t>
      </w:r>
      <w:r>
        <w:rPr>
          <w:rFonts w:ascii="Times New Roman" w:hAnsi="Times New Roman"/>
          <w:i/>
          <w:sz w:val="20"/>
        </w:rPr>
        <w:t>sixth</w:t>
      </w:r>
      <w:r>
        <w:rPr>
          <w:rFonts w:ascii="Times New Roman" w:hAnsi="Times New Roman"/>
          <w:sz w:val="20"/>
        </w:rPr>
        <w:t xml:space="preserve">, to the payment of any amounts owing to the Lenders, the L/C Issuers or the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Times New Roman" w:hAnsi="Times New Roman"/>
          <w:i/>
          <w:sz w:val="20"/>
        </w:rPr>
        <w:t>seventh</w:t>
      </w:r>
      <w:r>
        <w:rPr>
          <w:rFonts w:ascii="Times New Roman" w:hAnsi="Times New Roman"/>
          <w:sz w:val="20"/>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sz w:val="20"/>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hAnsi="Times New Roman"/>
          <w:sz w:val="20"/>
          <w:u w:val="single"/>
        </w:rPr>
        <w:t>Section 4.02</w:t>
      </w:r>
      <w:r>
        <w:rPr>
          <w:rFonts w:ascii="Times New Roman" w:hAnsi="Times New Roman"/>
          <w:sz w:val="20"/>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hAnsi="Times New Roman"/>
          <w:sz w:val="20"/>
          <w:u w:val="single"/>
        </w:rPr>
        <w:t>Section 2.15(a)(iv)</w:t>
      </w:r>
      <w:r>
        <w:rPr>
          <w:rFonts w:ascii="Times New Roman" w:hAnsi="Times New Roman"/>
          <w:sz w:val="20"/>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sz w:val="20"/>
          <w:u w:val="single"/>
        </w:rPr>
        <w:t>Section 2.15(a)(ii)</w:t>
      </w:r>
      <w:r>
        <w:rPr>
          <w:rFonts w:ascii="Times New Roman" w:hAnsi="Times New Roman"/>
          <w:sz w:val="20"/>
        </w:rPr>
        <w:t xml:space="preserve"> shall be deemed paid to and redirected by such Defaulting Lender, and each Lender irrevocably consents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That Defaulting Lender (A) shall not be entitled to receive any Commitment Fee pursuant to </w:t>
      </w:r>
      <w:r>
        <w:rPr>
          <w:rFonts w:ascii="Times New Roman" w:hAnsi="Times New Roman"/>
          <w:sz w:val="20"/>
          <w:u w:val="single"/>
        </w:rPr>
        <w:t>Section 2.09(a)</w:t>
      </w:r>
      <w:r>
        <w:rPr>
          <w:rFonts w:ascii="Times New Roman" w:hAnsi="Times New Roman"/>
          <w:sz w:val="20"/>
        </w:rPr>
        <w:t xml:space="preserve"> for any period during which that Lender is a Defaulting Lender (and the Borrower shall not be required to pay any such fee that otherwise would have been required to have been paid to that Defaulting Lender) and (B) shall be limited in its right to receive Letter of Credit Fees as provided in </w:t>
      </w:r>
      <w:r>
        <w:rPr>
          <w:rFonts w:ascii="Times New Roman" w:hAnsi="Times New Roman"/>
          <w:sz w:val="20"/>
          <w:u w:val="single"/>
        </w:rPr>
        <w:t>Section 2.03(h)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Reallocation of Applicable Revolving Credit Percentages to Reduce Fronting Exposure</w:t>
      </w:r>
      <w:r>
        <w:rPr>
          <w:rFonts w:ascii="Times New Roman" w:hAnsi="Times New Roman"/>
          <w:sz w:val="20"/>
        </w:rPr>
        <w:t xml:space="preserve">. All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hAnsi="Times New Roman"/>
          <w:sz w:val="20"/>
          <w:u w:val="single"/>
        </w:rPr>
        <w:t>Section 4.02</w:t>
      </w:r>
      <w:r>
        <w:rPr>
          <w:rFonts w:ascii="Times New Roman" w:hAnsi="Times New Roman"/>
          <w:sz w:val="20"/>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Outstanding Amount of the Revolving Credit Loans of any Non-Defaulting Lender, </w:t>
      </w:r>
      <w:r>
        <w:rPr>
          <w:rFonts w:ascii="Times New Roman" w:hAnsi="Times New Roman"/>
          <w:sz w:val="20"/>
          <w:u w:val="single"/>
        </w:rPr>
        <w:t>plus</w:t>
      </w:r>
      <w:r>
        <w:rPr>
          <w:rFonts w:ascii="Times New Roman" w:hAnsi="Times New Roman"/>
          <w:sz w:val="20"/>
        </w:rPr>
        <w:t xml:space="preserve"> such Non-Defaulting Lender’s Applicable Revolving Credit Percentage of the Outstanding Amount of all L/C Obligations, </w:t>
      </w:r>
      <w:r>
        <w:rPr>
          <w:rFonts w:ascii="Times New Roman" w:hAnsi="Times New Roman"/>
          <w:sz w:val="20"/>
          <w:u w:val="single"/>
        </w:rPr>
        <w:t>plus</w:t>
      </w:r>
      <w:r>
        <w:rPr>
          <w:rFonts w:ascii="Times New Roman" w:hAnsi="Times New Roman"/>
          <w:sz w:val="20"/>
        </w:rPr>
        <w:t xml:space="preserve"> such Non-Defaulting Lender’s Applicable Revolving Credit Percentage of the Outstanding Amount of all Swing Line Loans of such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 and the Administrative Agent, and, in the case a Defaulting Lender is a Revolving Credit Lender, the Swing Line Lender and the L/C Issuers, agree in writing in their sole discretion that a Defaulting Lender should no longer be deemed to be a Defaulting Lender, the Administrative Agent will so notify the other Lenders,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at par or take such other actions as the Administrative Agent may determine to be necessary to cause the Loans and the funded and unfunded participations in Letters of Credit and Swing Line Loans, to be held on a pro rata basis by the Lenders in accordance with their Applicable Percentages (without giving effect to </w:t>
      </w:r>
      <w:r>
        <w:rPr>
          <w:rFonts w:ascii="Times New Roman" w:hAnsi="Times New Roman"/>
          <w:sz w:val="20"/>
          <w:u w:val="single"/>
        </w:rPr>
        <w:t>Section 2.15(a)(iv)</w:t>
      </w:r>
      <w:r>
        <w:rPr>
          <w:rFonts w:ascii="Times New Roman" w:hAnsi="Times New Roman"/>
          <w:sz w:val="20"/>
        </w:rPr>
        <w:t xml:space="preserve">), whereupon that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b/>
          <w:sz w:val="20"/>
        </w:rPr>
        <w:t>2.16</w:t>
      </w:r>
      <w:r>
        <w:rPr>
          <w:rFonts w:ascii="Times New Roman" w:hAnsi="Times New Roman"/>
          <w:sz w:val="20"/>
        </w:rPr>
        <w:t xml:space="preserve"> </w:t>
      </w:r>
      <w:r>
        <w:rPr>
          <w:rFonts w:ascii="Times New Roman" w:hAnsi="Times New Roman"/>
          <w:b/>
          <w:sz w:val="20"/>
        </w:rPr>
        <w:t>Incremental Facilities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notice to the Administrative Agent (which shall promptly notify the Lenders), the Borrower may from time to time elect to request (1) an increase in the Aggregate Commitments in the form of (x) an increase to the Revolving Credit Facility (each, an “</w:t>
      </w:r>
      <w:r>
        <w:rPr>
          <w:rFonts w:ascii="Times New Roman" w:hAnsi="Times New Roman"/>
          <w:sz w:val="20"/>
          <w:u w:val="single"/>
        </w:rPr>
        <w:t>Incremental Revolving Commitment</w:t>
      </w:r>
      <w:r>
        <w:rPr>
          <w:rFonts w:ascii="Times New Roman" w:hAnsi="Times New Roman"/>
          <w:sz w:val="20"/>
        </w:rPr>
        <w:t>”), (y) an increase to the Term A Facility (each, a “</w:t>
      </w:r>
      <w:r>
        <w:rPr>
          <w:rFonts w:ascii="Times New Roman" w:hAnsi="Times New Roman"/>
          <w:sz w:val="20"/>
          <w:u w:val="single"/>
        </w:rPr>
        <w:t>Term A Loan Increase</w:t>
      </w:r>
      <w:r>
        <w:rPr>
          <w:rFonts w:ascii="Times New Roman" w:hAnsi="Times New Roman"/>
          <w:sz w:val="20"/>
        </w:rPr>
        <w:t>”) and/or (z) an increase to the Term B Facility (each, a “</w:t>
      </w:r>
      <w:r>
        <w:rPr>
          <w:rFonts w:ascii="Times New Roman" w:hAnsi="Times New Roman"/>
          <w:sz w:val="20"/>
          <w:u w:val="single"/>
        </w:rPr>
        <w:t>Term B Loan Increase</w:t>
      </w:r>
      <w:r>
        <w:rPr>
          <w:rFonts w:ascii="Times New Roman" w:hAnsi="Times New Roman"/>
          <w:sz w:val="20"/>
        </w:rPr>
        <w:t>”; each Term A Loan Increase and Term B Loan Increase, collectively, referred to as the “</w:t>
      </w:r>
      <w:r>
        <w:rPr>
          <w:rFonts w:ascii="Times New Roman" w:hAnsi="Times New Roman"/>
          <w:sz w:val="20"/>
          <w:u w:val="single"/>
        </w:rPr>
        <w:t>Incremental Term Loan Increases</w:t>
      </w:r>
      <w:r>
        <w:rPr>
          <w:rFonts w:ascii="Times New Roman" w:hAnsi="Times New Roman"/>
          <w:sz w:val="20"/>
        </w:rPr>
        <w:t>”), and (2) to add one or more new tranches of (x) term A loan facilities (each, an “</w:t>
      </w:r>
      <w:r>
        <w:rPr>
          <w:rFonts w:ascii="Times New Roman" w:hAnsi="Times New Roman"/>
          <w:sz w:val="20"/>
          <w:u w:val="single"/>
        </w:rPr>
        <w:t>Incremental Term A Loan</w:t>
      </w:r>
      <w:r>
        <w:rPr>
          <w:rFonts w:ascii="Times New Roman" w:hAnsi="Times New Roman"/>
          <w:sz w:val="20"/>
        </w:rPr>
        <w:t>”) and/or (y) term B loan facilities (each, an “</w:t>
      </w:r>
      <w:r>
        <w:rPr>
          <w:rFonts w:ascii="Times New Roman" w:hAnsi="Times New Roman"/>
          <w:sz w:val="20"/>
          <w:u w:val="single"/>
        </w:rPr>
        <w:t>Incremental Term B Loan</w:t>
      </w:r>
      <w:r>
        <w:rPr>
          <w:rFonts w:ascii="Times New Roman" w:hAnsi="Times New Roman"/>
          <w:sz w:val="20"/>
        </w:rPr>
        <w:t>”; each Incremental Term A Loan and Incremental Term B Loan, collectively referred to as the “</w:t>
      </w:r>
      <w:r>
        <w:rPr>
          <w:rFonts w:ascii="Times New Roman" w:hAnsi="Times New Roman"/>
          <w:sz w:val="20"/>
          <w:u w:val="single"/>
        </w:rPr>
        <w:t>Incremental Term Loans</w:t>
      </w:r>
      <w:r>
        <w:rPr>
          <w:rFonts w:ascii="Times New Roman" w:hAnsi="Times New Roman"/>
          <w:sz w:val="20"/>
        </w:rPr>
        <w:t>”; each Incremental Term Loan, each Incremental Revolving Commitment and each Incremental Term Loan Increase, collectively, referred to as the “</w:t>
      </w:r>
      <w:r>
        <w:rPr>
          <w:rFonts w:ascii="Times New Roman" w:hAnsi="Times New Roman"/>
          <w:sz w:val="20"/>
          <w:u w:val="single"/>
        </w:rPr>
        <w:t>Incremental Increases</w:t>
      </w:r>
      <w:r>
        <w:rPr>
          <w:rFonts w:ascii="Times New Roman" w:hAnsi="Times New Roman"/>
          <w:sz w:val="20"/>
        </w:rPr>
        <w:t>” and each, an “</w:t>
      </w:r>
      <w:r>
        <w:rPr>
          <w:rFonts w:ascii="Times New Roman" w:hAnsi="Times New Roman"/>
          <w:sz w:val="20"/>
          <w:u w:val="single"/>
        </w:rPr>
        <w:t>Incremental Facility</w:t>
      </w:r>
      <w:r>
        <w:rPr>
          <w:rFonts w:ascii="Times New Roman" w:hAnsi="Times New Roman"/>
          <w:sz w:val="20"/>
        </w:rPr>
        <w:t>”) by an amount (the “</w:t>
      </w:r>
      <w:r>
        <w:rPr>
          <w:rFonts w:ascii="Times New Roman" w:hAnsi="Times New Roman"/>
          <w:sz w:val="20"/>
          <w:u w:val="single"/>
        </w:rPr>
        <w:t xml:space="preserve">Incremental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Amount</w:t>
      </w:r>
      <w:r>
        <w:rPr>
          <w:rFonts w:ascii="Times New Roman" w:hAnsi="Times New Roman"/>
          <w:sz w:val="20"/>
        </w:rPr>
        <w:t xml:space="preserve">”), together with amounts utilized to incur any Incremental Notes, not exceeding the sum of (A) the greater of (x) $400,000,000 and (y) 100% of Consolidated EBITDA, so long as, in the case of this clause (A), the Consolidated Total Leverage Ratio of the Borrower and its Subsidiaries as of the last day of the applicable Reference Period, on a pro forma basis is less than 4.00 to 1.00 (with the Commitments and any Incremental Increase being deemed fully funded on the date of such determination and calculating the Consolidated Total Leverage Ratio without netting the cash proceeds from such Incremental Increase then proposed to be incurred), </w:t>
      </w:r>
      <w:r>
        <w:rPr>
          <w:rFonts w:ascii="Times New Roman" w:hAnsi="Times New Roman"/>
          <w:i/>
          <w:sz w:val="20"/>
        </w:rPr>
        <w:t>plus</w:t>
      </w:r>
      <w:r>
        <w:rPr>
          <w:rFonts w:ascii="Times New Roman" w:hAnsi="Times New Roman"/>
          <w:sz w:val="20"/>
        </w:rPr>
        <w:t xml:space="preserve"> the aggregate amount of all voluntary prepayments of Term Loans and permanent reductions of Revolving Credit Commitments made prior to the date of any applicable incurrence (other than, in each case, prepayments made with the proceeds of long term indebtedness), </w:t>
      </w:r>
      <w:r>
        <w:rPr>
          <w:rFonts w:ascii="Times New Roman" w:hAnsi="Times New Roman"/>
          <w:i/>
          <w:sz w:val="20"/>
        </w:rPr>
        <w:t>plus</w:t>
      </w:r>
      <w:r>
        <w:rPr>
          <w:rFonts w:ascii="Times New Roman" w:hAnsi="Times New Roman"/>
          <w:sz w:val="20"/>
        </w:rPr>
        <w:t xml:space="preserve"> (B) an unlimited amount so long as, in the case of this clause (B), (x) in the case of Indebtedness secured on a </w:t>
      </w:r>
      <w:r>
        <w:rPr>
          <w:rFonts w:ascii="Times New Roman" w:hAnsi="Times New Roman"/>
          <w:i/>
          <w:sz w:val="20"/>
        </w:rPr>
        <w:t>pari passu</w:t>
      </w:r>
      <w:r>
        <w:rPr>
          <w:rFonts w:ascii="Times New Roman" w:hAnsi="Times New Roman"/>
          <w:sz w:val="20"/>
        </w:rPr>
        <w:t xml:space="preserve"> basis with the Term Loans, the Consolidated Senior Secured Net Leverage Ratio of the Borrower and its Subsidiaries as of the last day of the applicable Reference Period, on a pro forma basis, does not exceed the Consolidated Senior Secured Net Leverage Incurrence Ratio, and (y) in the case of Indebtedness secured on a junior lien or unsecured basis, the Consolidated Total Leverage Ratio of the Borrower and its Subsidiaries as of the last day of the applicable Reference Period, on a pro forma basis does not exceed the Consolidated Total Leverage Incurrence Ratio; </w:t>
      </w:r>
      <w:r>
        <w:rPr>
          <w:rFonts w:ascii="Times New Roman" w:hAnsi="Times New Roman"/>
          <w:sz w:val="20"/>
          <w:u w:val="single"/>
        </w:rPr>
        <w:t>provided</w:t>
      </w:r>
      <w:r>
        <w:rPr>
          <w:rFonts w:ascii="Times New Roman" w:hAnsi="Times New Roman"/>
          <w:sz w:val="20"/>
        </w:rPr>
        <w:t xml:space="preserve">, that Incremental Facilities may be incurred under both the preceding clauses (A) and (B) in a single transaction by first calculating the portion of the Indebtedness being incurred under clause (B) (without giving effect to the Indebtedness being incurred under clause (A)) and second calculating the portion of the Indebtedness being incurred under clause (A);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any such request for an Incremental Facility shall be in a minimum amount of $25,000,000, (ii) the Borrower may make a maximum of five such requests, (iii) (x) no Incremental Term A Loan shall mature earlier than the Maturity Date for the Term A Facility or have a shorter weighted average life to maturity than the remaining weighted average life to maturity of the Term A Facility and (y) no Incremental Term B Loan shall mature earlier than the Maturity Date for the Term B Facility or have a shorter weighted average life to maturity than the remaining weighted average life to maturity of the Term B Facility, (iv) each Incremental Term Loan shall rank </w:t>
      </w:r>
      <w:r>
        <w:rPr>
          <w:rFonts w:ascii="Times New Roman" w:hAnsi="Times New Roman"/>
          <w:i/>
          <w:sz w:val="20"/>
        </w:rPr>
        <w:t>pari passu</w:t>
      </w:r>
      <w:r>
        <w:rPr>
          <w:rFonts w:ascii="Times New Roman" w:hAnsi="Times New Roman"/>
          <w:sz w:val="20"/>
        </w:rPr>
        <w:t xml:space="preserve"> or junior in right of payment, prepayment and/or voting with the Term Loans, including sharing in mandatory prepayments under </w:t>
      </w:r>
      <w:r>
        <w:rPr>
          <w:rFonts w:ascii="Times New Roman" w:hAnsi="Times New Roman"/>
          <w:sz w:val="20"/>
          <w:u w:val="single"/>
        </w:rPr>
        <w:t>Section 2.05(b)</w:t>
      </w:r>
      <w:r>
        <w:rPr>
          <w:rFonts w:ascii="Times New Roman" w:hAnsi="Times New Roman"/>
          <w:sz w:val="20"/>
        </w:rPr>
        <w:t xml:space="preserve"> pro rata with the Term Loans (unless agreed to be paid after the Term Loans by the Lenders providing such Incremental Term Loans), (v) any Incremental Term Loan secured on a junior lien basis to the Term Facility shall be subject to customary second lien, prepayment, standstill and other provisions reasonably acceptable to the Administrative Agent and the Borrower), (vi) no Incremental Facility shall be guaranteed by entities other than Subsidiary Guarantors and no Incremental Facility that is secured shall be secured by any assets other than Collateral, (vii) other than as expressly provided in this </w:t>
      </w:r>
      <w:r>
        <w:rPr>
          <w:rFonts w:ascii="Times New Roman" w:hAnsi="Times New Roman"/>
          <w:sz w:val="20"/>
          <w:u w:val="single"/>
        </w:rPr>
        <w:t>Section 2.16</w:t>
      </w:r>
      <w:r>
        <w:rPr>
          <w:rFonts w:ascii="Times New Roman" w:hAnsi="Times New Roman"/>
          <w:sz w:val="20"/>
        </w:rPr>
        <w:t xml:space="preserve">, (x) any Incremental Term A Loan shall be on terms and conditions substantially identical to, or (taken as a whole) not materially more favorable (as reasonably determined by the Borrower) to the lenders providing such Incremental Term A Loan than those applicable to the Term A Facility (except for covenants or other provisions applicable only to periods after the Maturity Date for the Term A Facility, closing date conditions, fees, interest rate and other economic terms) and (y) any Incremental Term B Loan shall be on terms and conditions substantially identical to, or (taken as a whole) not materially more favorable (as reasonably determined by the Borrower) to the lenders providing such Incremental Term B Loan than those applicable to the Term B Facility (except for covenants or other provisions applicable only to periods after the Maturity Date for the Term B Facility, closing date conditions, fees, interest rate and other economic terms), (viii) each Incremental Term B Loan shall have an all-in yield as determined by the Lenders providing such Incremental Term B Loan and the Borrower; </w:t>
      </w:r>
      <w:r>
        <w:rPr>
          <w:rFonts w:ascii="Times New Roman" w:hAnsi="Times New Roman"/>
          <w:sz w:val="20"/>
          <w:u w:val="single"/>
        </w:rPr>
        <w:t>provided</w:t>
      </w:r>
      <w:r>
        <w:rPr>
          <w:rFonts w:ascii="Times New Roman" w:hAnsi="Times New Roman"/>
          <w:sz w:val="20"/>
        </w:rPr>
        <w:t xml:space="preserve"> that, in the case of any Incremental Term B Loan incurred prior to the date that is six months after the Closing Date, if the all-in yield in respect of such Incremental Term B Loan exceeds the all-in yield then in effect for the Term B Facility (or, if applicable, any prior Incremental Term B Loan), by more than 50 basis points, then the Applicable Rate for the Term B Facility (including any prior Incremental Term B Loan) shall be increased so that the all-in yield in respect of the Term B Facility (and any prior Incremental Term B Loan) is equal to the all-in yield for such Incremental Term B Loan minus 0.50%; provided that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that any such differential in the all-in yield arises out of a higher Term SOFR “floor” on such Incremental Term B Loan, the Term SOFR “floor” for the Term B Facility (including any prior Incremental Term B Loan) rather than the Applicable Rate shall be increased accordingly and (ix) any Incremental Increase of the Revolving Credit Facility, the Term A Facility or the Term B Facility shall be on terms identical to and pursuant to the documentation applicable to the Revolving Credit Facility, Term A Facility or the Term B Facility, as applicable (other than with respect to closing date conditions, fees for such Incremental Increase and other terms meant to implement such Incremental Increase). Incremental Facilities may be (but shall not be required to be) provided by any existing Lender, in each case on terms permitted in this </w:t>
      </w:r>
      <w:r>
        <w:rPr>
          <w:rFonts w:ascii="Times New Roman" w:hAnsi="Times New Roman"/>
          <w:sz w:val="20"/>
          <w:u w:val="single"/>
        </w:rPr>
        <w:t>Section 2.16</w:t>
      </w:r>
      <w:r>
        <w:rPr>
          <w:rFonts w:ascii="Times New Roman" w:hAnsi="Times New Roman"/>
          <w:sz w:val="20"/>
        </w:rPr>
        <w:t xml:space="preserve"> and otherwise on terms reasonably acceptable to the Borrower and the Administrative Agent; </w:t>
      </w:r>
      <w:r>
        <w:rPr>
          <w:rFonts w:ascii="Times New Roman" w:hAnsi="Times New Roman"/>
          <w:sz w:val="20"/>
          <w:u w:val="single"/>
        </w:rPr>
        <w:t>provided</w:t>
      </w:r>
      <w:r>
        <w:rPr>
          <w:rFonts w:ascii="Times New Roman" w:hAnsi="Times New Roman"/>
          <w:sz w:val="20"/>
        </w:rPr>
        <w:t xml:space="preserve"> that the Borrower shall not be required to offer or accept commitments from existing Lenders for any Incremental Facility. At the time of sending the notice referred to in the foregoing sentence, the Borrower (in consultation with the Administrative Agent) shall specify the time period within which any Appropriate Lender is requested to respond (which shall in no event be less than ten Business Days from the date of delivery of such notice to the Appropriate Lenders).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Lender Elections to Increase</w:t>
      </w:r>
      <w:r>
        <w:rPr>
          <w:rFonts w:ascii="Times New Roman" w:hAnsi="Times New Roman"/>
          <w:sz w:val="20"/>
        </w:rPr>
        <w:t xml:space="preserve">. Each Appropriate Lender who receives a request from the Borrower for an Incremental Increase shall notify the Administrative Agent within the requested time period whether or not it agrees to increase its applicable Commitment and, if so, whether by an amount equal to, greater than, or less than its Applicable Percentage with respect to the applicable Facility of such requested increase. Any Appropriate Lender not responding within such time period shall be deemed to have declined to increase its Commitment. No Lender shall have any obligation to increase its Commitment and no consent of any Lender, other than the Lenders agreeing to provide any portion of an Incremental Increase, shall be required to effectuate an Incremental Increase. Any Lender’s decision to increase its Commitment pursuant hereto may be made by Lender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Notification by Administrative Agent; Additional Lenders</w:t>
      </w:r>
      <w:r>
        <w:rPr>
          <w:rFonts w:ascii="Times New Roman" w:hAnsi="Times New Roman"/>
          <w:sz w:val="20"/>
        </w:rPr>
        <w:t xml:space="preserve">. The Administrative Agent shall notify the Borrower and each Appropriate Lender of the Appropriate Lenders’ responses to each request made hereunder. To achieve the full amount of a requested Incremental Increase and/or Incremental Facility, subject to the approval of the Administrative Agent, the L/C Issuers and the Swing Line Lender (which approvals shall not be unreasonably withheld and shall only be necessary to the extent required under </w:t>
      </w:r>
      <w:r>
        <w:rPr>
          <w:rFonts w:ascii="Times New Roman" w:hAnsi="Times New Roman"/>
          <w:sz w:val="20"/>
          <w:u w:val="single"/>
        </w:rPr>
        <w:t>Section 10.06</w:t>
      </w:r>
      <w:r>
        <w:rPr>
          <w:rFonts w:ascii="Times New Roman" w:hAnsi="Times New Roman"/>
          <w:sz w:val="20"/>
        </w:rPr>
        <w:t xml:space="preserve"> for assignments thereto), the Borrower may also invite additional Eligible Assignees to become Lenders under the applicable Facility pursuant to a joinder agreement in form and substance reasonably satisfactory to the Administrative Agent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Effective Date and Allocations</w:t>
      </w:r>
      <w:r>
        <w:rPr>
          <w:rFonts w:ascii="Times New Roman" w:hAnsi="Times New Roman"/>
          <w:sz w:val="20"/>
        </w:rPr>
        <w:t xml:space="preserve">. If the Aggregate Commitments are increased in accordance with this </w:t>
      </w:r>
      <w:r>
        <w:rPr>
          <w:rFonts w:ascii="Times New Roman" w:hAnsi="Times New Roman"/>
          <w:sz w:val="20"/>
          <w:u w:val="single"/>
        </w:rPr>
        <w:t>Section 2.16</w:t>
      </w:r>
      <w:r>
        <w:rPr>
          <w:rFonts w:ascii="Times New Roman" w:hAnsi="Times New Roman"/>
          <w:sz w:val="20"/>
        </w:rPr>
        <w:t>, the Administrative Agent and the Borrower shall determine the effective date (the “</w:t>
      </w:r>
      <w:r>
        <w:rPr>
          <w:rFonts w:ascii="Times New Roman" w:hAnsi="Times New Roman"/>
          <w:sz w:val="20"/>
          <w:u w:val="single"/>
        </w:rPr>
        <w:t>Increase Effective Date</w:t>
      </w:r>
      <w:r>
        <w:rPr>
          <w:rFonts w:ascii="Times New Roman" w:hAnsi="Times New Roman"/>
          <w:sz w:val="20"/>
        </w:rPr>
        <w:t xml:space="preserve">”) and the final allocation of such increase. The Administrative Agent shall promptly notify the Borrower and the Lenders of the final allocation of such increase and the Increase Effective Date. If the increase is to a Term Facility, as of the Increase Effective Date, the amortization schedule for the applicable Class of Term Loans pursuant to </w:t>
      </w:r>
      <w:r>
        <w:rPr>
          <w:rFonts w:ascii="Times New Roman" w:hAnsi="Times New Roman"/>
          <w:sz w:val="20"/>
          <w:u w:val="single"/>
        </w:rPr>
        <w:t>Section 2.07(a)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shall be amended to increase the then remaining unpaid installments of principal by an aggregate amount equal to the additional Term Loans being made on such date, such aggregate amount to be applied to increase such installments ratably in accordance with the amounts in effect immediately prior to the Increase Effective Date. Such amendment may be signed by the Administrative Agent on behalf of the Term Lenders.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Conditions to Effectiveness of Incremental Facilities</w:t>
      </w:r>
      <w:r>
        <w:rPr>
          <w:rFonts w:ascii="Times New Roman" w:hAnsi="Times New Roman"/>
          <w:sz w:val="20"/>
        </w:rPr>
        <w:t xml:space="preserve">. As a condition precedent to each such Incremental Facility, except as may be otherwise agreed by the Lenders providing an Incremental Term Loan or an Incremental Increase in the form of Term Loans to finance a Limited Condition Acquisition, before and after giving effect to such Incremental Facility, (A) the representations and warranties contained in </w:t>
      </w:r>
      <w:r>
        <w:rPr>
          <w:rFonts w:ascii="Times New Roman" w:hAnsi="Times New Roman"/>
          <w:sz w:val="20"/>
          <w:u w:val="single"/>
        </w:rPr>
        <w:t>ARTICLE V</w:t>
      </w:r>
      <w:r>
        <w:rPr>
          <w:rFonts w:ascii="Times New Roman" w:hAnsi="Times New Roman"/>
          <w:sz w:val="20"/>
        </w:rPr>
        <w:t xml:space="preserve"> and the other Loan Documents shall be true and correct on and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Increase Effective Date or the effective date of any other Incremental Facility, as applicable, except to the extent that such representations and warranties specifically refer to an earlier date, in which case they shall be true and correct as of such earlier date, and except that for purposes of this </w:t>
      </w:r>
      <w:r>
        <w:rPr>
          <w:rFonts w:ascii="Times New Roman" w:hAnsi="Times New Roman"/>
          <w:sz w:val="20"/>
          <w:u w:val="single"/>
        </w:rPr>
        <w:t>Section 2.16</w:t>
      </w:r>
      <w:r>
        <w:rPr>
          <w:rFonts w:ascii="Times New Roman" w:hAnsi="Times New Roman"/>
          <w:sz w:val="20"/>
        </w:rPr>
        <w:t xml:space="preserve">, the representations and warranties contained in subsections (a) and (b) of </w:t>
      </w:r>
      <w:r>
        <w:rPr>
          <w:rFonts w:ascii="Times New Roman" w:hAnsi="Times New Roman"/>
          <w:sz w:val="20"/>
          <w:u w:val="single"/>
        </w:rPr>
        <w:t>Section 5.05</w:t>
      </w:r>
      <w:r>
        <w:rPr>
          <w:rFonts w:ascii="Times New Roman" w:hAnsi="Times New Roman"/>
          <w:sz w:val="20"/>
        </w:rPr>
        <w:t xml:space="preserve"> shall be deemed to refer to the most recent statements furnished pursuant to clauses (a) and (b), respectively, of </w:t>
      </w:r>
      <w:r>
        <w:rPr>
          <w:rFonts w:ascii="Times New Roman" w:hAnsi="Times New Roman"/>
          <w:sz w:val="20"/>
          <w:u w:val="single"/>
        </w:rPr>
        <w:t>Section 6.01</w:t>
      </w:r>
      <w:r>
        <w:rPr>
          <w:rFonts w:ascii="Times New Roman" w:hAnsi="Times New Roman"/>
          <w:sz w:val="20"/>
        </w:rPr>
        <w:t xml:space="preserve">; (B) the Borrower and its Consolidated Subsidiaries shall be in compliance with </w:t>
      </w:r>
      <w:r>
        <w:rPr>
          <w:rFonts w:ascii="Times New Roman" w:hAnsi="Times New Roman"/>
          <w:sz w:val="20"/>
          <w:u w:val="single"/>
        </w:rPr>
        <w:t>Section 7.17</w:t>
      </w:r>
      <w:r>
        <w:rPr>
          <w:rFonts w:ascii="Times New Roman" w:hAnsi="Times New Roman"/>
          <w:sz w:val="20"/>
        </w:rPr>
        <w:t xml:space="preserve"> on a Pro Forma Basis (assuming, in the case of any Incremental Facility in the form of an increase in Revolving Credit Commitments, that such Revolving Credit Commitments have been drawn in full) and (C) no Default shall exist or would result therefrom. In connection with any such Incremental Facility, the Borrower shall deliver to the Administrative Agent a certificate of each Loan Party dated as of the Increase Effective Date and/or the date of effectiveness of any other Incremental Facility, as applicable, signed by a Responsible Officer of such Loan Party (x) certifying and attaching the resolutions adopted by such Loan Party approving or consenting to such Incremental Facility, and (y) in the case of the Borrower, certifying compliance with conditions set forth in clauses (A) – (C) above. If the Incremental Facility is in the form of an Incremental Increase to a Term Facility, the additional Term Loans shall be made by the Term Lenders participating therein pursuant to the procedures set forth in </w:t>
      </w:r>
      <w:r>
        <w:rPr>
          <w:rFonts w:ascii="Times New Roman" w:hAnsi="Times New Roman"/>
          <w:sz w:val="20"/>
          <w:u w:val="single"/>
        </w:rPr>
        <w:t>Section 2.02</w:t>
      </w:r>
      <w:r>
        <w:rPr>
          <w:rFonts w:ascii="Times New Roman" w:hAnsi="Times New Roman"/>
          <w:sz w:val="20"/>
        </w:rPr>
        <w:t xml:space="preserve">. Each Incremental Increase with respect to Revolving Credit Commitments shall be implemented through an increase to the Revolving Credit Facility, and upon the implementation of each such Incremental Increase (i) each Revolving Credit Lender immediately prior to such Commitment increase will automatically and without further act be deemed to have assigned to each relevant revolving credit lender with respect to such Incremental Increase, and each relevant revolving credit lender with respect to such Incremental Increase will automatically and without further act be deemed to have assumed a portion of such Revolving Credit Lender’s participations hereunder in outstanding Letters of Credit, if applicable, such that, after giving effect to each deemed assignment and assumption of participations, all of the Revolving Credit Lenders’ (including each revolving lender with respect to such Incremental Increase) participations hereunder in Letters of Credit and (ii) the existing Revolving Credit Lenders shall assign Revolving Credit Loans to certain other Revolving Credit Lenders (including the revolving lender with respect to such Incremental Increase), and such other Revolving Credit Lenders (including the revolving lender with respect to such Incremental Increase) shall purchase such Revolving Credit Loans, in each case to the extent necessary so that all of the Revolving Credit Lenders participate in each outstanding Revolving Credit Borrowing pro rata on the basis of their respective Revolving Credit Commitments (after giving effect to any increase in the Revolving Credit Commitment pursuant to this </w:t>
      </w:r>
      <w:r>
        <w:rPr>
          <w:rFonts w:ascii="Times New Roman" w:hAnsi="Times New Roman"/>
          <w:sz w:val="20"/>
          <w:u w:val="single"/>
        </w:rPr>
        <w:t>Section 2.16</w:t>
      </w:r>
      <w:r>
        <w:rPr>
          <w:rFonts w:ascii="Times New Roman" w:hAnsi="Times New Roman"/>
          <w:sz w:val="20"/>
        </w:rPr>
        <w:t xml:space="preserve">); it being understood and agreed that the minimum borrowing, pro rata borrowing and pro rata payment requirements contained elsewhere in this Agreement shall not apply to the transactions effected pursuant to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Conflicting Provisions</w:t>
      </w:r>
      <w:r>
        <w:rPr>
          <w:rFonts w:ascii="Times New Roman" w:hAnsi="Times New Roman"/>
          <w:sz w:val="20"/>
        </w:rPr>
        <w:t xml:space="preserve">. This </w:t>
      </w:r>
      <w:r>
        <w:rPr>
          <w:rFonts w:ascii="Times New Roman" w:hAnsi="Times New Roman"/>
          <w:sz w:val="20"/>
          <w:u w:val="single"/>
        </w:rPr>
        <w:t>Section 2.16</w:t>
      </w:r>
      <w:r>
        <w:rPr>
          <w:rFonts w:ascii="Times New Roman" w:hAnsi="Times New Roman"/>
          <w:sz w:val="20"/>
        </w:rPr>
        <w:t xml:space="preserve"> shall supersede any provisions in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4.02</w:t>
      </w:r>
      <w:r>
        <w:rPr>
          <w:rFonts w:ascii="Times New Roman" w:hAnsi="Times New Roman"/>
          <w:sz w:val="20"/>
        </w:rPr>
        <w:t xml:space="preserve"> or </w:t>
      </w:r>
      <w:r>
        <w:rPr>
          <w:rFonts w:ascii="Times New Roman" w:hAnsi="Times New Roman"/>
          <w:sz w:val="20"/>
          <w:u w:val="single"/>
        </w:rPr>
        <w:t>10.01</w:t>
      </w:r>
      <w:r>
        <w:rPr>
          <w:rFonts w:ascii="Times New Roman" w:hAnsi="Times New Roman"/>
          <w:sz w:val="20"/>
        </w:rPr>
        <w:t xml:space="preserve"> to the contrary. Minimum prepayment amounts in </w:t>
      </w:r>
      <w:r>
        <w:rPr>
          <w:rFonts w:ascii="Times New Roman" w:hAnsi="Times New Roman"/>
          <w:sz w:val="20"/>
          <w:u w:val="single"/>
        </w:rPr>
        <w:t>Section 2.05</w:t>
      </w:r>
      <w:r>
        <w:rPr>
          <w:rFonts w:ascii="Times New Roman" w:hAnsi="Times New Roman"/>
          <w:sz w:val="20"/>
        </w:rPr>
        <w:t xml:space="preserve"> shall not apply to prepayments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Increase Amendments</w:t>
      </w:r>
      <w:r>
        <w:rPr>
          <w:rFonts w:ascii="Times New Roman" w:hAnsi="Times New Roman"/>
          <w:sz w:val="20"/>
        </w:rPr>
        <w:t xml:space="preserve">. The Lenders hereby irrevocably authorize the Administrative Agent to enter into amendments to this Agreement and the other Loan Documents with the Loan Parties as may be necessary in order to establish Incremental Facilities pursuant to this </w:t>
      </w:r>
      <w:r>
        <w:rPr>
          <w:rFonts w:ascii="Times New Roman" w:hAnsi="Times New Roman"/>
          <w:sz w:val="20"/>
          <w:u w:val="single"/>
        </w:rPr>
        <w:t>Section 2.16</w:t>
      </w:r>
      <w:r>
        <w:rPr>
          <w:rFonts w:ascii="Times New Roman" w:hAnsi="Times New Roman"/>
          <w:sz w:val="20"/>
        </w:rPr>
        <w:t xml:space="preserve"> and such technical amendments as may be necessary or appropriate in the reasonable determination of the Administrative Agent and the Borrower in connection with the establishment of such Incremental Facilities, in each case on terms consistent with this </w:t>
      </w:r>
      <w:r>
        <w:rPr>
          <w:rFonts w:ascii="Times New Roman" w:hAnsi="Times New Roman"/>
          <w:sz w:val="20"/>
          <w:u w:val="single"/>
        </w:rPr>
        <w:t>Section 2.16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2.17</w:t>
      </w:r>
      <w:r>
        <w:rPr>
          <w:rFonts w:ascii="Times New Roman" w:hAnsi="Times New Roman"/>
          <w:sz w:val="20"/>
        </w:rPr>
        <w:t xml:space="preserve"> </w:t>
      </w:r>
      <w:r>
        <w:rPr>
          <w:rFonts w:ascii="Times New Roman" w:hAnsi="Times New Roman"/>
          <w:b/>
          <w:sz w:val="20"/>
        </w:rPr>
        <w:t>Refinancing Facilities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written notice to the Administrative Agent (which shall promptly notify the Lenders), the Borrower may from time to time elect to refinance any Class of Term Loans or Commitments under the Revolving Credit Facility, in whole or in part, with one or more new term loan facilities (each, a “</w:t>
      </w:r>
      <w:r>
        <w:rPr>
          <w:rFonts w:ascii="Times New Roman" w:hAnsi="Times New Roman"/>
          <w:sz w:val="20"/>
          <w:u w:val="single"/>
        </w:rPr>
        <w:t>Refinancing Term Facility</w:t>
      </w:r>
      <w:r>
        <w:rPr>
          <w:rFonts w:ascii="Times New Roman" w:hAnsi="Times New Roman"/>
          <w:sz w:val="20"/>
        </w:rPr>
        <w:t>” and the loans thereunder, “</w:t>
      </w:r>
      <w:r>
        <w:rPr>
          <w:rFonts w:ascii="Times New Roman" w:hAnsi="Times New Roman"/>
          <w:sz w:val="20"/>
          <w:u w:val="single"/>
        </w:rPr>
        <w:t>Refinancing Term Loans</w:t>
      </w:r>
      <w:r>
        <w:rPr>
          <w:rFonts w:ascii="Times New Roman" w:hAnsi="Times New Roman"/>
          <w:sz w:val="20"/>
        </w:rPr>
        <w:t>”) or new revolving credit facilities (each, a “</w:t>
      </w:r>
      <w:r>
        <w:rPr>
          <w:rFonts w:ascii="Times New Roman" w:hAnsi="Times New Roman"/>
          <w:sz w:val="20"/>
          <w:u w:val="single"/>
        </w:rPr>
        <w:t>Refinancing Revolving Facility</w:t>
      </w:r>
      <w:r>
        <w:rPr>
          <w:rFonts w:ascii="Times New Roman" w:hAnsi="Times New Roman"/>
          <w:sz w:val="20"/>
        </w:rPr>
        <w:t>”; the Refinancing Term Facilities and the Refinancing Revolving Facilities are collectively referred to as “</w:t>
      </w:r>
      <w:r>
        <w:rPr>
          <w:rFonts w:ascii="Times New Roman" w:hAnsi="Times New Roman"/>
          <w:sz w:val="20"/>
          <w:u w:val="single"/>
        </w:rPr>
        <w:t>Refinancing Facilities</w:t>
      </w:r>
      <w:r>
        <w:rPr>
          <w:rFonts w:ascii="Times New Roman" w:hAnsi="Times New Roman"/>
          <w:sz w:val="20"/>
        </w:rPr>
        <w:t xml:space="preserve">”), respectively, under this Agreement with the consent of the Borrower, the Administrative Agent (not to be unreasonably withheld, delayed or conditioned) and the institutions providing such Refinancing Term Facility or Refinancing Revolving Facility or, in the case of any series of Term Loans, with one or more series of unsecured notes or loans or senior secured notes that will be secured by the Collateral on a </w:t>
      </w:r>
      <w:r>
        <w:rPr>
          <w:rFonts w:ascii="Times New Roman" w:hAnsi="Times New Roman"/>
          <w:i/>
          <w:sz w:val="20"/>
        </w:rPr>
        <w:t>pari passu</w:t>
      </w:r>
      <w:r>
        <w:rPr>
          <w:rFonts w:ascii="Times New Roman" w:hAnsi="Times New Roman"/>
          <w:sz w:val="20"/>
        </w:rPr>
        <w:t xml:space="preserve"> basis with the Facilities or second lien secured notes or loans, which will be subject to customary intercreditor arrangements reasonably satisfactory to the Administrative Agent, and the First Lien Intercreditor Agreement (any such notes or loans, “</w:t>
      </w:r>
      <w:r>
        <w:rPr>
          <w:rFonts w:ascii="Times New Roman" w:hAnsi="Times New Roman"/>
          <w:sz w:val="20"/>
          <w:u w:val="single"/>
        </w:rPr>
        <w:t>Refinancing Notes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any Refinancing Term Facility or Refinancing Notes do not mature, or have a weighted average life to maturity, earlier than the final maturity, or the weighted average life, of the Class of Term Loans being refinanced, (ii) any Refinancing Notes are not subject to any amortization prior to final maturity and are not subject to mandatory redemption or prepayment (except customary asset sales or change of control provisions); (iii) any Refinancing Revolving Facility does not mature prior to the maturity date of the Revolving Credit Commitments being refinanced, (iv) the other terms and conditions of such Refinancing Term Facility, Refinancing Revolving Facility or Refinancing Notes (excluding pricing and optional prepayment or redemption terms) are substantially identical to, or (when taken as a whole) less favorable to the investors providing such Refinancing Term Facility, Refinancing Revolving Facility or Refinancing Notes, as applicable, than those applicable to the Term Loans or the Revolving Credit Commitments being refinanced (each as determined by the Borrower in good faith) (except for covenants or other provisions applicable only to periods after the latest final maturity date of the Term Loans and the Revolving Credit Commitments existing at the time of such refinancing), (v) the proceeds of such Refinancing Facilities or Refinancing Notes shall be applied, substantially concurrently with the incurrence thereof, to the pro rata prepayment of outstanding loans (and, in the case of the Revolving Credit Facility, pro rata commitment reductions) under the applicable Class of Term Loans or Revolving Credit Commitments being so refinanced, (vi) to the extent secured, any such Refinancing Facility or Refinancing Notes shall not be secured by any lien on any asset that does not also secure the Facilities and (vii) Refinancing Facilities and Refinancing Notes may not be guaranteed by any person other than a Subsidiary Guarantor. Each such notice shall specify the date (each, a “</w:t>
      </w:r>
      <w:r>
        <w:rPr>
          <w:rFonts w:ascii="Times New Roman" w:hAnsi="Times New Roman"/>
          <w:sz w:val="20"/>
          <w:u w:val="single"/>
        </w:rPr>
        <w:t>Refinancing Effective Date</w:t>
      </w:r>
      <w:r>
        <w:rPr>
          <w:rFonts w:ascii="Times New Roman" w:hAnsi="Times New Roman"/>
          <w:sz w:val="20"/>
        </w:rPr>
        <w:t xml:space="preserve">”) on which the Borrower proposes that the Refinancing Facility shall be made or the Refinancing Notes shall be issued, which shall be a date not less than three (3) Business Days after the date on which such notice is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(b) The Borrower may approach any Lender or any other Person to provide all or a portion of the (x) Refinancing Facilities (a “</w:t>
      </w:r>
      <w:r>
        <w:rPr>
          <w:rFonts w:ascii="Times New Roman" w:hAnsi="Times New Roman"/>
          <w:sz w:val="20"/>
          <w:u w:val="single"/>
        </w:rPr>
        <w:t>Refinancing Facility Lender</w:t>
      </w:r>
      <w:r>
        <w:rPr>
          <w:rFonts w:ascii="Times New Roman" w:hAnsi="Times New Roman"/>
          <w:sz w:val="20"/>
        </w:rPr>
        <w:t xml:space="preserve">”), subject to the approval of the Administrative Agent, the L/C Issuers and the Swing Line Lender (which approvals shall not be unreasonably withheld and shall only be necessary to the extent required under </w:t>
      </w:r>
      <w:r>
        <w:rPr>
          <w:rFonts w:ascii="Times New Roman" w:hAnsi="Times New Roman"/>
          <w:sz w:val="20"/>
          <w:u w:val="single"/>
        </w:rPr>
        <w:t>Section 10.06</w:t>
      </w:r>
      <w:r>
        <w:rPr>
          <w:rFonts w:ascii="Times New Roman" w:hAnsi="Times New Roman"/>
          <w:sz w:val="20"/>
        </w:rPr>
        <w:t xml:space="preserve"> for assignments thereto), so long as such Person would be an Eligible Assignee of Term Loans or Revolving Credit Loans, as applicable, or (y) Refinancing Notes (a “</w:t>
      </w:r>
      <w:r>
        <w:rPr>
          <w:rFonts w:ascii="Times New Roman" w:hAnsi="Times New Roman"/>
          <w:sz w:val="20"/>
          <w:u w:val="single"/>
        </w:rPr>
        <w:t>Refinancing Note Holder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Lender offered or approached to provide all or a portion of any Refinancing Facility and/or Refinancing Notes may elect or decline, in its sole discretion, to provide a Refinancing Facility or purchase Refinancing Notes.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and the Lenders hereby consent to the transactions contemplated by this </w:t>
      </w:r>
      <w:r>
        <w:rPr>
          <w:rFonts w:ascii="Times New Roman" w:hAnsi="Times New Roman"/>
          <w:sz w:val="20"/>
          <w:u w:val="single"/>
        </w:rPr>
        <w:t>Section 2.17</w:t>
      </w:r>
      <w:r>
        <w:rPr>
          <w:rFonts w:ascii="Times New Roman" w:hAnsi="Times New Roman"/>
          <w:sz w:val="20"/>
        </w:rPr>
        <w:t xml:space="preserve"> (including, for the avoidance of doubt, the payment of interest, fees, amortization or premium in respect of the Refinancing Facilities and Refinancing Notes on the terms specified by the Borrower) and hereby waive the requirements of this Agreement or any other Loan Document that may otherwise prohibit any transaction contemplated by this </w:t>
      </w:r>
      <w:r>
        <w:rPr>
          <w:rFonts w:ascii="Times New Roman" w:hAnsi="Times New Roman"/>
          <w:sz w:val="20"/>
          <w:u w:val="single"/>
        </w:rPr>
        <w:t>Section 2.17</w:t>
      </w:r>
      <w:r>
        <w:rPr>
          <w:rFonts w:ascii="Times New Roman" w:hAnsi="Times New Roman"/>
          <w:sz w:val="20"/>
        </w:rPr>
        <w:t xml:space="preserve">. The Refinancing Facilities shall be established pursuant to an amendment to this Agreement among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Borrower and the Refinancing Facility Lenders providing such Refinancing Facilities (a “</w:t>
      </w:r>
      <w:r>
        <w:rPr>
          <w:rFonts w:ascii="Times New Roman" w:hAnsi="Times New Roman"/>
          <w:sz w:val="20"/>
          <w:u w:val="single"/>
        </w:rPr>
        <w:t>Refinancing Amendment</w:t>
      </w:r>
      <w:r>
        <w:rPr>
          <w:rFonts w:ascii="Times New Roman" w:hAnsi="Times New Roman"/>
          <w:sz w:val="20"/>
        </w:rPr>
        <w:t xml:space="preserve">”) which shall be consistent with the provisions set forth in this </w:t>
      </w:r>
      <w:r>
        <w:rPr>
          <w:rFonts w:ascii="Times New Roman" w:hAnsi="Times New Roman"/>
          <w:sz w:val="20"/>
          <w:u w:val="single"/>
        </w:rPr>
        <w:t>Section 2.17</w:t>
      </w:r>
      <w:r>
        <w:rPr>
          <w:rFonts w:ascii="Times New Roman" w:hAnsi="Times New Roman"/>
          <w:sz w:val="20"/>
        </w:rPr>
        <w:t xml:space="preserve">. The Refinancing Notes shall be established pursuant to an indenture which shall be consistent with the provisions set forth in this </w:t>
      </w:r>
      <w:r>
        <w:rPr>
          <w:rFonts w:ascii="Times New Roman" w:hAnsi="Times New Roman"/>
          <w:sz w:val="20"/>
          <w:u w:val="single"/>
        </w:rPr>
        <w:t>Section 2.17</w:t>
      </w:r>
      <w:r>
        <w:rPr>
          <w:rFonts w:ascii="Times New Roman" w:hAnsi="Times New Roman"/>
          <w:sz w:val="20"/>
        </w:rPr>
        <w:t xml:space="preserve">. Notwithstanding anything to the contrary contained in </w:t>
      </w:r>
      <w:r>
        <w:rPr>
          <w:rFonts w:ascii="Times New Roman" w:hAnsi="Times New Roman"/>
          <w:sz w:val="20"/>
          <w:u w:val="single"/>
        </w:rPr>
        <w:t>Section 10.01</w:t>
      </w:r>
      <w:r>
        <w:rPr>
          <w:rFonts w:ascii="Times New Roman" w:hAnsi="Times New Roman"/>
          <w:sz w:val="20"/>
        </w:rPr>
        <w:t xml:space="preserve">, each Refinancing Amendment shall be binding on the Lenders, the Administrative Agent, the Loan Parties party thereto and the other parties hereto without the consent of any other Lender and the Lenders hereby irrevocably authorize the Administrative Agent to enter into amendments to this Agreement and the other Loan Documents as may be necessary or appropriate in the reasonable opinion of the Administrative Agent and the Borrower, to effect the provisions of this </w:t>
      </w:r>
      <w:r>
        <w:rPr>
          <w:rFonts w:ascii="Times New Roman" w:hAnsi="Times New Roman"/>
          <w:sz w:val="20"/>
          <w:u w:val="single"/>
        </w:rPr>
        <w:t>Section 2.17</w:t>
      </w:r>
      <w:r>
        <w:rPr>
          <w:rFonts w:ascii="Times New Roman" w:hAnsi="Times New Roman"/>
          <w:sz w:val="20"/>
        </w:rPr>
        <w:t xml:space="preserve">, including in order to establish new tranches or sub-tranches in respect of the Refinancing Facilities and such technical amendments as may be necessary or appropriate in connection therewith and to adjust the amortization schedule pursuant to </w:t>
      </w:r>
      <w:r>
        <w:rPr>
          <w:rFonts w:ascii="Times New Roman" w:hAnsi="Times New Roman"/>
          <w:sz w:val="20"/>
          <w:u w:val="single"/>
        </w:rPr>
        <w:t>Section 2.07(a)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(insofar as such schedule relates to payments due to Lenders of the Term Loans which are being refinanced with the proceeds of a Refinancing Term Facility; </w:t>
      </w:r>
      <w:r>
        <w:rPr>
          <w:rFonts w:ascii="Times New Roman" w:hAnsi="Times New Roman"/>
          <w:sz w:val="20"/>
          <w:u w:val="single"/>
        </w:rPr>
        <w:t>provided</w:t>
      </w:r>
      <w:r>
        <w:rPr>
          <w:rFonts w:ascii="Times New Roman" w:hAnsi="Times New Roman"/>
          <w:sz w:val="20"/>
        </w:rPr>
        <w:t xml:space="preserve"> that no such amendment shall reduce the pro rata share of any such payment that would have otherwise been payable to the Lenders, the Term Loans of which are not refinanced with the proceeds of a Refinancing Term Facility). The Administrative Agent shall be permitted, and is hereby authorized, to enter into such amendments with the Borrower to effect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TAXES, YIELD PROTECTION AND ILLEGALITY </w:t>
      </w:r>
    </w:p>
    <w:p>
      <w:pPr>
        <w:pStyle w:val="TextBody"/>
        <w:bidi w:val="0"/>
        <w:spacing w:before="240" w:after="0"/>
        <w:jc w:val="left"/>
        <w:rPr>
          <w:rFonts w:ascii="Times New Roman" w:hAnsi="Times New Roman"/>
          <w:sz w:val="20"/>
        </w:rPr>
      </w:pPr>
      <w:r>
        <w:rPr>
          <w:rFonts w:ascii="Times New Roman" w:hAnsi="Times New Roman"/>
          <w:b/>
          <w:sz w:val="20"/>
        </w:rPr>
        <w:t>3.01</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 Obligation to Withhold; Payments on Account of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or other applicable withholding agent) require the deduction or withholding of any Tax from any such payment by the applicable withholding agent, then such withholding agent shall be entitled to make such deduction or withholding. </w:t>
      </w:r>
    </w:p>
    <w:p>
      <w:pPr>
        <w:pStyle w:val="TextBody"/>
        <w:bidi w:val="0"/>
        <w:spacing w:before="240" w:after="0"/>
        <w:jc w:val="left"/>
        <w:rPr>
          <w:rFonts w:ascii="Times New Roman" w:hAnsi="Times New Roman"/>
          <w:sz w:val="20"/>
        </w:rPr>
      </w:pPr>
      <w:r>
        <w:rPr>
          <w:rFonts w:ascii="Times New Roman" w:hAnsi="Times New Roman"/>
          <w:sz w:val="20"/>
        </w:rPr>
        <w:t xml:space="preserve">(ii) If any Loan Party, the Administrative Agent or other applicable withholding agent shall be required by the Code to withhold or deduct any Taxes, including U.S. federal backup withholding and withholding taxes, from any payment, then (A) the applicable withholding agent shall withhold or make such deductions as are determined by such withholding agent to be required, (B) the applicable withholding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and the making of all required deductions (including withholding and deductions applicable to additional sums payable under this </w:t>
      </w:r>
      <w:r>
        <w:rPr>
          <w:rFonts w:ascii="Times New Roman" w:hAnsi="Times New Roman"/>
          <w:sz w:val="20"/>
          <w:u w:val="single"/>
        </w:rPr>
        <w:t>Section 3.01</w:t>
      </w:r>
      <w:r>
        <w:rPr>
          <w:rFonts w:ascii="Times New Roman" w:hAnsi="Times New Roman"/>
          <w:sz w:val="20"/>
        </w:rPr>
        <w:t xml:space="preserve">) the applicable Lender (or, in the case of a payment received by the Administrative Agent for its own account, the Administrative Agent) receives an amount equal to the sum it would have received had no such withholding or deduction been made. </w:t>
      </w:r>
    </w:p>
    <w:p>
      <w:pPr>
        <w:pStyle w:val="TextBody"/>
        <w:bidi w:val="0"/>
        <w:spacing w:before="240" w:after="0"/>
        <w:jc w:val="left"/>
        <w:rPr>
          <w:rFonts w:ascii="Times New Roman" w:hAnsi="Times New Roman"/>
          <w:sz w:val="20"/>
        </w:rPr>
      </w:pPr>
      <w:r>
        <w:rPr>
          <w:rFonts w:ascii="Times New Roman" w:hAnsi="Times New Roman"/>
          <w:sz w:val="20"/>
        </w:rPr>
        <w:t xml:space="preserve">(iii) If any Loan Party, the Administrative Agent or other applicable withholding agent shall be required by any applicable Laws other than the Code to withhold or deduct any Taxes from any payment, then (A) such withholding agent, as required by such Laws, shall withhold or make such deductions as are determined by it to be required, (B) such withholding agent, to the extent required by such Laws, shall timely pay the full amount withheld or deducted to the relevant Governmental Authority in accordance with such Laws, and (C) to the extent that the withholding or deduction is made on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Indemnified Taxes, the sum payable by the applicable Loan Party shall be increased as necessary so that after any required withholding and the making of all required deductions (including withholding and deductions applicable to additional sums payable under this </w:t>
      </w:r>
      <w:r>
        <w:rPr>
          <w:rFonts w:ascii="Times New Roman" w:hAnsi="Times New Roman"/>
          <w:sz w:val="20"/>
          <w:u w:val="single"/>
        </w:rPr>
        <w:t>Section 3.01</w:t>
      </w:r>
      <w:r>
        <w:rPr>
          <w:rFonts w:ascii="Times New Roman" w:hAnsi="Times New Roman"/>
          <w:sz w:val="20"/>
        </w:rPr>
        <w:t xml:space="preserve">) the applicable Lender (or, in the case of a payment received by the Administrative Agent for its own account, the Administrative Agent) receives an amount equal to the sum it would have received had no such withholding or deduction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the Borrower</w:t>
      </w:r>
      <w:r>
        <w:rPr>
          <w:rFonts w:ascii="Times New Roman" w:hAnsi="Times New Roman"/>
          <w:sz w:val="20"/>
        </w:rPr>
        <w:t xml:space="preserve">. Without limiting the provisions of </w:t>
      </w:r>
      <w:r>
        <w:rPr>
          <w:rFonts w:ascii="Times New Roman" w:hAnsi="Times New Roman"/>
          <w:sz w:val="20"/>
          <w:u w:val="single"/>
        </w:rPr>
        <w:t>subsection (a)</w:t>
      </w:r>
      <w:r>
        <w:rPr>
          <w:rFonts w:ascii="Times New Roman" w:hAnsi="Times New Roman"/>
          <w:sz w:val="20"/>
        </w:rPr>
        <w:t xml:space="preserve"> above, the Loan Parties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Indemnifications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hAnsi="Times New Roman"/>
          <w:sz w:val="20"/>
          <w:u w:val="single"/>
        </w:rPr>
        <w:t>Section 3.01</w:t>
      </w:r>
      <w:r>
        <w:rPr>
          <w:rFonts w:ascii="Times New Roman" w:hAnsi="Times New Roman"/>
          <w:sz w:val="20"/>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 L/C Issuer (with a copy to the Administrative Agent), or by the Administrative Agent on its own behalf or on behalf of a Lender or a L/C Issuer, shall be conclusive absent manifest error. Each of the Loan Parties shall, and does hereby, jointly and severally indemnify the Administrative Agent, and shall make payment in respect thereof within 10 days after demand therefor, for any amount which a Lender or a L/C Issuer for any reason fails to pay indefeasibly to the Administrative Agent as required pursuant to </w:t>
      </w:r>
      <w:r>
        <w:rPr>
          <w:rFonts w:ascii="Times New Roman" w:hAnsi="Times New Roman"/>
          <w:sz w:val="20"/>
          <w:u w:val="single"/>
        </w:rPr>
        <w:t>Section 3.01(c)(ii)</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(ii) 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any Loan Party has not already indemnified the Administrative Agent for such Indemnified Taxes and without limiting the obligation of the Loan Party to do so), (y) the Administrative Agent and the Loan Party, as applicable, against any Taxes of such Lender attributable to such Lender’s failure to comply with the provisions of </w:t>
      </w:r>
      <w:r>
        <w:rPr>
          <w:rFonts w:ascii="Times New Roman" w:hAnsi="Times New Roman"/>
          <w:sz w:val="20"/>
          <w:u w:val="single"/>
        </w:rPr>
        <w:t>Section 10.06(d)</w:t>
      </w:r>
      <w:r>
        <w:rPr>
          <w:rFonts w:ascii="Times New Roman" w:hAnsi="Times New Roman"/>
          <w:sz w:val="20"/>
        </w:rPr>
        <w:t xml:space="preserve"> relating to the maintenance of a Participant Register and (z) the Administrative Agent and the Loan Party, as applicable, against any Excluded Taxes attributable to such Lender or such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or otherwise against any amount due to the Administrative Agent under this </w:t>
      </w:r>
      <w:r>
        <w:rPr>
          <w:rFonts w:ascii="Times New Roman" w:hAnsi="Times New Roman"/>
          <w:sz w:val="20"/>
          <w:u w:val="single"/>
        </w:rPr>
        <w:t>clause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Evidence of Payments</w:t>
      </w:r>
      <w:r>
        <w:rPr>
          <w:rFonts w:ascii="Times New Roman" w:hAnsi="Times New Roman"/>
          <w:sz w:val="20"/>
        </w:rPr>
        <w:t xml:space="preserve">. Upon request by the Borrower or the Administrative Agent, as the case may be, after any payment of Taxes by the Borrower or the Administrative Agent to a Governmental Authority as provided in this </w:t>
      </w:r>
      <w:r>
        <w:rPr>
          <w:rFonts w:ascii="Times New Roman" w:hAnsi="Times New Roman"/>
          <w:sz w:val="20"/>
          <w:u w:val="single"/>
        </w:rPr>
        <w:t>Section 3.01</w:t>
      </w:r>
      <w:r>
        <w:rPr>
          <w:rFonts w:ascii="Times New Roman" w:hAnsi="Times New Roman"/>
          <w:sz w:val="20"/>
        </w:rPr>
        <w:t xml:space="preserve">,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Status of Lenders; Tax Documentation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hAnsi="Times New Roman"/>
          <w:sz w:val="20"/>
          <w:u w:val="single"/>
        </w:rPr>
        <w:t>Section 3.01(e)(ii)(A)</w:t>
      </w:r>
      <w:r>
        <w:rPr>
          <w:rFonts w:ascii="Times New Roman" w:hAnsi="Times New Roman"/>
          <w:sz w:val="20"/>
        </w:rPr>
        <w:t xml:space="preserve">, </w:t>
      </w:r>
      <w:r>
        <w:rPr>
          <w:rFonts w:ascii="Times New Roman" w:hAnsi="Times New Roman"/>
          <w:sz w:val="20"/>
          <w:u w:val="single"/>
        </w:rPr>
        <w:t>3.01(e)(ii)(B)</w:t>
      </w:r>
      <w:r>
        <w:rPr>
          <w:rFonts w:ascii="Times New Roman" w:hAnsi="Times New Roman"/>
          <w:sz w:val="20"/>
        </w:rPr>
        <w:t xml:space="preserve"> and </w:t>
      </w:r>
      <w:r>
        <w:rPr>
          <w:rFonts w:ascii="Times New Roman" w:hAnsi="Times New Roman"/>
          <w:sz w:val="20"/>
          <w:u w:val="single"/>
        </w:rPr>
        <w:t>3.01(e)(ii)(D)</w:t>
      </w:r>
      <w:r>
        <w:rPr>
          <w:rFonts w:ascii="Times New Roman" w:hAnsi="Times New Roman"/>
          <w:sz w:val="20"/>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(ii) Without limiting the generality of the foregoing, in the event that a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 and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executed originals of IRS Form W-8BEN or W-8BEN-E establishing an exemption from, or reduction of, U.S. federal withholding Tax pursuant to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executed originals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 Foreign Lender claiming the benefits of the exemption for portfolio interest under Section 881(c) of the Code, (x) a certificate in the form of Exhibit K-1 to the effect that such Foreign Lender is not a “bank” within the meaning of Section 881(c)(3)(A) of the Code, a “10-percent shareholder” of the Borrower within the meaning of Section 881(c)(3)(B) of the Code, or a “controlled foreign corporation” described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881(c)(3)(C) of the Code and that no payments under any Loan Document are effectively connected with such Foreign Lender’s conduct of a U.S. trade or business (a “</w:t>
      </w:r>
      <w:r>
        <w:rPr>
          <w:rFonts w:ascii="Times New Roman" w:hAnsi="Times New Roman"/>
          <w:sz w:val="20"/>
          <w:u w:val="single"/>
        </w:rPr>
        <w:t>U.S. Tax Compliance Certificate</w:t>
      </w:r>
      <w:r>
        <w:rPr>
          <w:rFonts w:ascii="Times New Roman" w:hAnsi="Times New Roman"/>
          <w:sz w:val="20"/>
        </w:rPr>
        <w:t xml:space="preserve">”) and (y) executed originals of IRS Form W-8BEN or W-8BEN-E; or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a Foreign Lender is not the beneficial owner, executed originals of IRS Form W-8IMY, accompanied by IRS Form W-8ECI, IRS Form W-8BEN or W-8BEN-E, a U.S. Tax Compliance Certificate substantially in the form of Exhibit K-2 or Exhibit K-3,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K-4 on behalf of such direct and indirect partner(s);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Each Lender agrees that if any form or certification it previously delivered pursuant to this </w:t>
      </w:r>
      <w:r>
        <w:rPr>
          <w:rFonts w:ascii="Times New Roman" w:hAnsi="Times New Roman"/>
          <w:sz w:val="20"/>
          <w:u w:val="single"/>
        </w:rPr>
        <w:t>Section 3.01</w:t>
      </w:r>
      <w:r>
        <w:rPr>
          <w:rFonts w:ascii="Times New Roman" w:hAnsi="Times New Roman"/>
          <w:sz w:val="20"/>
        </w:rPr>
        <w:t xml:space="preserve"> expires or becomes obsolete or inaccurate in any respect, it shall update such form or certification or promptly notify the Borrower and the Administrative Agent in writing of its legal ineligibility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(iv) Each Lender hereby authorizes the Administrative Agent to deliver to the Loan Parties and to any successor Administrative Agent any documentation provided by such Lender to the Administrative Agent pursuant to this </w:t>
      </w:r>
      <w:r>
        <w:rPr>
          <w:rFonts w:ascii="Times New Roman" w:hAnsi="Times New Roman"/>
          <w:sz w:val="20"/>
          <w:u w:val="single"/>
        </w:rPr>
        <w:t>Section 3.01(e)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Certain Refunds</w:t>
      </w:r>
      <w:r>
        <w:rPr>
          <w:rFonts w:ascii="Times New Roman" w:hAnsi="Times New Roman"/>
          <w:sz w:val="20"/>
        </w:rPr>
        <w:t xml:space="preserve">. Unless required by applicable Laws, at no time shall the Administrative Agent have any obligation to file for or otherwise pursue on behalf of a Lender or a L/C Issuer, or have any obligation to pay to any Lender or any L/C Issuer, any refund of Taxes withheld or deducted from funds paid for the account of such Lender or such L/C Issuer, as the case may be. If any Recipient determines in good faith that it has received a refund of any Taxes as to which it has been indemnified by any Loan Party or with respect to which any Loan Party has paid additional amounts pursuant to this </w:t>
      </w:r>
      <w:r>
        <w:rPr>
          <w:rFonts w:ascii="Times New Roman" w:hAnsi="Times New Roman"/>
          <w:sz w:val="20"/>
          <w:u w:val="single"/>
        </w:rPr>
        <w:t>Section 3.01</w:t>
      </w:r>
      <w:r>
        <w:rPr>
          <w:rFonts w:ascii="Times New Roman" w:hAnsi="Times New Roman"/>
          <w:sz w:val="20"/>
        </w:rPr>
        <w:t xml:space="preserve">, it shall pay to such Loan Party an amount equal to such refund (but only to the extent of indemnity payments made, or additional amounts paid, by a Loan Party under this </w:t>
      </w:r>
      <w:r>
        <w:rPr>
          <w:rFonts w:ascii="Times New Roman" w:hAnsi="Times New Roman"/>
          <w:sz w:val="20"/>
          <w:u w:val="single"/>
        </w:rPr>
        <w:t>Section 3.01</w:t>
      </w:r>
      <w:r>
        <w:rPr>
          <w:rFonts w:ascii="Times New Roman" w:hAnsi="Times New Roman"/>
          <w:sz w:val="20"/>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3.01</w:t>
      </w:r>
      <w:r>
        <w:rPr>
          <w:rFonts w:ascii="Times New Roman" w:hAnsi="Times New Roman"/>
          <w:sz w:val="20"/>
        </w:rPr>
        <w:t xml:space="preserve"> shall survive the resignation or replacement of the Administrative Agent or any assignment of rights by, or the replacement of, a Lender or a L/C Issuer, the termination of the Commitments and the repayment, satisfaction or discharge of all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(h) For the avoidance of doubt, for purposes of this Section 3.01, the term “Lender” includes any L/C Issuer and any Swing Line Lender. </w:t>
      </w:r>
    </w:p>
    <w:p>
      <w:pPr>
        <w:pStyle w:val="TextBody"/>
        <w:bidi w:val="0"/>
        <w:spacing w:before="240" w:after="0"/>
        <w:jc w:val="left"/>
        <w:rPr>
          <w:rFonts w:ascii="Times New Roman" w:hAnsi="Times New Roman"/>
          <w:sz w:val="20"/>
        </w:rPr>
      </w:pPr>
      <w:r>
        <w:rPr>
          <w:rFonts w:ascii="Times New Roman" w:hAnsi="Times New Roman"/>
          <w:b/>
          <w:sz w:val="20"/>
        </w:rPr>
        <w:t>3.02</w:t>
      </w:r>
      <w:r>
        <w:rPr>
          <w:rFonts w:ascii="Times New Roman" w:hAnsi="Times New Roman"/>
          <w:sz w:val="20"/>
        </w:rPr>
        <w:t xml:space="preserve"> </w:t>
      </w:r>
      <w:r>
        <w:rPr>
          <w:rFonts w:ascii="Times New Roman" w:hAnsi="Times New Roman"/>
          <w:b/>
          <w:sz w:val="20"/>
        </w:rPr>
        <w:t>Illegality.</w:t>
      </w:r>
      <w:r>
        <w:rPr>
          <w:rFonts w:ascii="Times New Roman" w:hAnsi="Times New Roman"/>
          <w:sz w:val="20"/>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(i) any obligation of such Lender to make or continue Term SOFR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(y)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3.03 Inability to Determine Rates. </w:t>
      </w:r>
    </w:p>
    <w:p>
      <w:pPr>
        <w:pStyle w:val="TextBody"/>
        <w:bidi w:val="0"/>
        <w:spacing w:before="240" w:after="0"/>
        <w:jc w:val="left"/>
        <w:rPr>
          <w:rFonts w:ascii="Times New Roman" w:hAnsi="Times New Roman"/>
          <w:sz w:val="20"/>
        </w:rPr>
      </w:pPr>
      <w:r>
        <w:rPr>
          <w:rFonts w:ascii="Times New Roman" w:hAnsi="Times New Roman"/>
          <w:sz w:val="20"/>
        </w:rPr>
        <w:t xml:space="preserve">(a) If in connection with any request for a Term SOFR Loan or a conversion of Base Rate Loans to Term SOFR Loans or a continuation of any of such Term SOFR Loans, as applicable, (i) the Administrative Agent determines (which determination shall be conclusive absent manifest error) that (A) no Successor Rate has been determined in accordance with Section 3.03(b), and the circumstances under clause (i) of Section 3.03(b)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Term SOFR for any requested Interest Period with respect to a proposed Loan does not adequately and fairly reflect the cost to such Lenders of funding such Loan, and, in the case of a determination by the Required Lenders, the Required Lenders have provided notice of such determination to the Administrative Agent, the Administrative Agent will promptly so notify the Borrower and each Lender. </w:t>
      </w:r>
    </w:p>
    <w:p>
      <w:pPr>
        <w:pStyle w:val="TextBody"/>
        <w:bidi w:val="0"/>
        <w:spacing w:before="240" w:after="0"/>
        <w:jc w:val="left"/>
        <w:rPr>
          <w:rFonts w:ascii="Times New Roman" w:hAnsi="Times New Roman"/>
          <w:sz w:val="20"/>
        </w:rPr>
      </w:pPr>
      <w:r>
        <w:rPr>
          <w:rFonts w:ascii="Times New Roman" w:hAnsi="Times New Roman"/>
          <w:sz w:val="20"/>
        </w:rPr>
        <w:t xml:space="preserve">(b) Thereafter, (x) the obligation of the Lenders to make or maintain Term SOFR Loans, or to convert Base Rate Loans to Term SOFR Loans, in each case, with such requested Interest Period, shall be suspended (to the extent of the affected Term SOFR Loans or Interest Periods), and (y) in the event of a determination described in Section 3.03(a) with respect to the Term SOFR component of the Base Rate, the utilization of the Term SOFR component in determining the Base Rate shall be suspended, in each case until the Administrative Agent (or, in the case of a determination by the Required Lenders described in clause (ii) of Section 3.03(a), until the Administrative Agent upon instruction of the Required Lenders) revokes such notice. </w:t>
      </w:r>
    </w:p>
    <w:p>
      <w:pPr>
        <w:pStyle w:val="TextBody"/>
        <w:bidi w:val="0"/>
        <w:spacing w:before="240" w:after="0"/>
        <w:jc w:val="left"/>
        <w:rPr>
          <w:rFonts w:ascii="Times New Roman" w:hAnsi="Times New Roman"/>
          <w:sz w:val="20"/>
        </w:rPr>
      </w:pPr>
      <w:r>
        <w:rPr>
          <w:rFonts w:ascii="Times New Roman" w:hAnsi="Times New Roman"/>
          <w:sz w:val="20"/>
        </w:rPr>
        <w:t xml:space="preserve">(c) 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or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(i) adequate and reasonable means do not exist for ascertaining one, three and six month interest periods of Term SOFR, including, without limitation, because the Term SOFR Screen Rate is not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three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and six month interest periods of Term SOFR or the Term SOFR Screen Rate are no longer available permanently or indefinitely, the “</w:t>
      </w:r>
      <w:r>
        <w:rPr>
          <w:rFonts w:ascii="Times New Roman" w:hAnsi="Times New Roman"/>
          <w:sz w:val="20"/>
          <w:u w:val="single"/>
        </w:rPr>
        <w:t>Scheduled Unavailability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then, on a date and time determined by the Administrative Agent, in consultation with the Borrower (any such date, the “</w:t>
      </w:r>
      <w:r>
        <w:rPr>
          <w:rFonts w:ascii="Times New Roman" w:hAnsi="Times New Roman"/>
          <w:sz w:val="20"/>
          <w:u w:val="single"/>
        </w:rPr>
        <w:t>Term SOFR Replacement Date</w:t>
      </w:r>
      <w:r>
        <w:rPr>
          <w:rFonts w:ascii="Times New Roman" w:hAnsi="Times New Roman"/>
          <w:sz w:val="20"/>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sz w:val="20"/>
          <w:u w:val="single"/>
        </w:rPr>
        <w:t>Successor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Successor Rate is Daily Simple SOFR, all interest payments will be payable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sz w:val="20"/>
          <w:u w:val="single"/>
        </w:rPr>
        <w:t>Section 3.03(a)(i)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hAnsi="Times New Roman"/>
          <w:sz w:val="20"/>
          <w:u w:val="single"/>
        </w:rPr>
        <w:t>Section 3.03</w:t>
      </w:r>
      <w:r>
        <w:rPr>
          <w:rFonts w:ascii="Times New Roman" w:hAnsi="Times New Roman"/>
          <w:sz w:val="20"/>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any mathematical or other adjustments, shall constitute a “</w:t>
      </w:r>
      <w:r>
        <w:rPr>
          <w:rFonts w:ascii="Times New Roman" w:hAnsi="Times New Roman"/>
          <w:sz w:val="20"/>
          <w:u w:val="single"/>
        </w:rPr>
        <w:t>Successor Rate</w:t>
      </w:r>
      <w:r>
        <w:rPr>
          <w:rFonts w:ascii="Times New Roman" w:hAnsi="Times New Roman"/>
          <w:sz w:val="20"/>
        </w:rPr>
        <w:t xml:space="preserv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will promptly (in one or more notices) notify the Borrower and each Lender of the implementation of any Successor Rate. </w:t>
      </w:r>
    </w:p>
    <w:p>
      <w:pPr>
        <w:pStyle w:val="TextBody"/>
        <w:bidi w:val="0"/>
        <w:spacing w:before="240" w:after="0"/>
        <w:jc w:val="left"/>
        <w:rPr>
          <w:rFonts w:ascii="Times New Roman" w:hAnsi="Times New Roman"/>
          <w:sz w:val="20"/>
        </w:rPr>
      </w:pPr>
      <w:r>
        <w:rPr>
          <w:rFonts w:ascii="Times New Roman" w:hAnsi="Times New Roman"/>
          <w:sz w:val="20"/>
        </w:rPr>
        <w:t xml:space="preserve">Any Successor Rate shall be applied in a manner consistent with market practice; </w:t>
      </w:r>
      <w:r>
        <w:rPr>
          <w:rFonts w:ascii="Times New Roman" w:hAnsi="Times New Roman"/>
          <w:sz w:val="20"/>
          <w:u w:val="single"/>
        </w:rPr>
        <w:t>provided</w:t>
      </w:r>
      <w:r>
        <w:rPr>
          <w:rFonts w:ascii="Times New Roman" w:hAnsi="Times New Roman"/>
          <w:sz w:val="20"/>
        </w:rPr>
        <w:t xml:space="preserve"> that to the extent such market practice is not administratively feasible for the Administrative Agent, such Successor Rate shall be applied in a manner as otherwise reasonably determined by the Administrative Agent in consultation with the Borrower.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else herein, if at any time any Successor Rate as so determined would otherwise be less than zero, the Successor Rate will be deemed to be zero for the purposes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(other than to the extent provided for in the definition of “Conforming Changes”); provided that, with respect to any such amendment effected, the Administrative Agent shall post each such amendment implementing such Conforming Changes to the Borrower and the Lenders reasonably promptly after such amendment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3.04</w:t>
      </w:r>
      <w:r>
        <w:rPr>
          <w:rFonts w:ascii="Times New Roman" w:hAnsi="Times New Roman"/>
          <w:sz w:val="20"/>
        </w:rPr>
        <w:t xml:space="preserve"> </w:t>
      </w:r>
      <w:r>
        <w:rPr>
          <w:rFonts w:ascii="Times New Roman" w:hAnsi="Times New Roman"/>
          <w:b/>
          <w:sz w:val="20"/>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or any L/C Issuer;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Lender or any L/C Issuer to any tax of any kind whatsoever with respect to this Agreement, any Letter of Credit, any participation in a Letter of Credit or any Term SOFR Loan made by it, or change the basis of taxation of payments to such Lender or such L/C Issuer in respect thereof (except for Indemnified Taxes or Other Taxes covered by </w:t>
      </w:r>
      <w:r>
        <w:rPr>
          <w:rFonts w:ascii="Times New Roman" w:hAnsi="Times New Roman"/>
          <w:sz w:val="20"/>
          <w:u w:val="single"/>
        </w:rPr>
        <w:t>Section 3.01</w:t>
      </w:r>
      <w:r>
        <w:rPr>
          <w:rFonts w:ascii="Times New Roman" w:hAnsi="Times New Roman"/>
          <w:sz w:val="20"/>
        </w:rPr>
        <w:t xml:space="preserve"> and the imposition of, or any change in the rate of, any Excluded Tax payable by such Lender or such L/C Issuer);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any L/C Issuer any other condition, cost or expense affecting this Agreement or Term SOFR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or maintaining, continuing or converting to any Loan the interest on which is determined by reference to Term SOFR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and provided such Lender or L/C Issuer is generally charging its other similarly situated borrowers therefor, the Borrower will pay to such Lender or such L/C Issuer, as the case may be, such additional amount or amounts as will compensate such Lender or such L/C Issuer, as the case may be,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or liquidity), then from time to time the Borrower will pay to such Lender or such L/C Issuer, as the case may be, such additional amount or amounts as will compensate such Lender or such L/C Issuer or such Lender’s or such L/C Issuer’s holding company for any such reduction suffered.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or a L/C Issuer setting forth the amount or amounts necessary to compensate such Lender or such L/C Issuer or its holding company, as the case may be, as specified in subsection (a) or (b) of this Section and setting forth in reasonable detail the basis thereof, and delivered to the Borrower shall be conclusive absent manifest error. The Borrower shall pay such Lender or such L/C Issuer, as the case may be, the amount shown as due on any such certificate within 10 Business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or a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b/>
          <w:sz w:val="20"/>
        </w:rPr>
        <w:t>3.05</w:t>
      </w:r>
      <w:r>
        <w:rPr>
          <w:rFonts w:ascii="Times New Roman" w:hAnsi="Times New Roman"/>
          <w:sz w:val="20"/>
        </w:rPr>
        <w:t xml:space="preserve"> </w:t>
      </w:r>
      <w:r>
        <w:rPr>
          <w:rFonts w:ascii="Times New Roman" w:hAnsi="Times New Roman"/>
          <w:b/>
          <w:sz w:val="20"/>
        </w:rPr>
        <w:t>Compensation for Losses.</w:t>
      </w:r>
      <w:r>
        <w:rPr>
          <w:rFonts w:ascii="Times New Roman" w:hAnsi="Times New Roman"/>
          <w:sz w:val="20"/>
        </w:rPr>
        <w:t xml:space="preserve"> Upon demand of any Lender (with a copy to the Administrative Agent) from time to time, the Borrower shall promptly compensate such Lender for and hold such Lender harmless from any loss, cost or expense incurred by it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(a) any continuation, conversion, payment or prepayment of any Loan other than a Base Rate Loan on a day other than the last day of the Interest Period for such Loan (whether voluntary, mandatory, automatic, by reason of acceleration,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any failure by the Borrower (for a reason other than the failure of such Lender to make a Loan) to prepay, borrow, continue or convert any Loan other than a Base Rate Loan on the date or in the amount notified by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(c) any assignment of a Term SOFR Loan on a day other than the last day of the Interest Period therefor as a result of a request by the Borrower pursuant to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3.06</w:t>
      </w:r>
      <w:r>
        <w:rPr>
          <w:rFonts w:ascii="Times New Roman" w:hAnsi="Times New Roman"/>
          <w:sz w:val="20"/>
        </w:rPr>
        <w:t xml:space="preserve"> </w:t>
      </w:r>
      <w:r>
        <w:rPr>
          <w:rFonts w:ascii="Times New Roman" w:hAnsi="Times New Roman"/>
          <w:b/>
          <w:sz w:val="20"/>
        </w:rPr>
        <w:t>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xml:space="preserve">. If any Lender requests compensation under </w:t>
      </w:r>
      <w:r>
        <w:rPr>
          <w:rFonts w:ascii="Times New Roman" w:hAnsi="Times New Roman"/>
          <w:sz w:val="20"/>
          <w:u w:val="single"/>
        </w:rPr>
        <w:t>Section 3.04</w:t>
      </w:r>
      <w:r>
        <w:rPr>
          <w:rFonts w:ascii="Times New Roman" w:hAnsi="Times New Roman"/>
          <w:sz w:val="20"/>
        </w:rPr>
        <w:t xml:space="preserve">, or the Borrower is required to pay any additional amount to any Lender, any L/C Issuer, or any Governmental Authority for the account of any Lender or any L/C Issuer pursuant to </w:t>
      </w:r>
      <w:r>
        <w:rPr>
          <w:rFonts w:ascii="Times New Roman" w:hAnsi="Times New Roman"/>
          <w:sz w:val="20"/>
          <w:u w:val="single"/>
        </w:rPr>
        <w:t>Section 3.01</w:t>
      </w:r>
      <w:r>
        <w:rPr>
          <w:rFonts w:ascii="Times New Roman" w:hAnsi="Times New Roman"/>
          <w:sz w:val="20"/>
        </w:rPr>
        <w:t xml:space="preserve">, or if any Lender gives a notice pursuant to </w:t>
      </w:r>
      <w:r>
        <w:rPr>
          <w:rFonts w:ascii="Times New Roman" w:hAnsi="Times New Roman"/>
          <w:sz w:val="20"/>
          <w:u w:val="single"/>
        </w:rPr>
        <w:t>Section 3.02</w:t>
      </w:r>
      <w:r>
        <w:rPr>
          <w:rFonts w:ascii="Times New Roman" w:hAnsi="Times New Roman"/>
          <w:sz w:val="20"/>
        </w:rPr>
        <w:t xml:space="preserve">, then upon Borrower’s written request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as the case may be, in the future, or eliminate the need for the notice pursuant to </w:t>
      </w:r>
      <w:r>
        <w:rPr>
          <w:rFonts w:ascii="Times New Roman" w:hAnsi="Times New Roman"/>
          <w:sz w:val="20"/>
          <w:u w:val="single"/>
        </w:rPr>
        <w:t>Section 3.02</w:t>
      </w:r>
      <w:r>
        <w:rPr>
          <w:rFonts w:ascii="Times New Roman" w:hAnsi="Times New Roman"/>
          <w:sz w:val="20"/>
        </w:rPr>
        <w:t xml:space="preserve">, as applicable, and (ii) in each case, would not subject such Lender or such L/C Issuer, as the case may be, to any unreimbursed cost or expense and would not otherwise be materially disadvantageous to such Lender or such L/C Issuer, as the case may be. The Borrower hereby agrees to pay all reasonable costs and expenses incurred by any Lender or any L/C Issuer in connection with any such designation or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Lenders</w:t>
      </w:r>
      <w:r>
        <w:rPr>
          <w:rFonts w:ascii="Times New Roman" w:hAnsi="Times New Roman"/>
          <w:sz w:val="20"/>
        </w:rPr>
        <w:t xml:space="preserve">. If any Lender requests compensation under </w:t>
      </w:r>
      <w:r>
        <w:rPr>
          <w:rFonts w:ascii="Times New Roman" w:hAnsi="Times New Roman"/>
          <w:sz w:val="20"/>
          <w:u w:val="single"/>
        </w:rPr>
        <w:t>Section 3.04</w:t>
      </w:r>
      <w:r>
        <w:rPr>
          <w:rFonts w:ascii="Times New Roman" w:hAnsi="Times New Roman"/>
          <w:sz w:val="20"/>
        </w:rPr>
        <w:t xml:space="preserve">, or if the Borrower is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or notice is given pursuant to </w:t>
      </w:r>
      <w:r>
        <w:rPr>
          <w:rFonts w:ascii="Times New Roman" w:hAnsi="Times New Roman"/>
          <w:sz w:val="20"/>
          <w:u w:val="single"/>
        </w:rPr>
        <w:t>Section 3.02</w:t>
      </w:r>
      <w:r>
        <w:rPr>
          <w:rFonts w:ascii="Times New Roman" w:hAnsi="Times New Roman"/>
          <w:sz w:val="20"/>
        </w:rPr>
        <w:t xml:space="preserve">, the Borrower may replace such Lender in accordance with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3.07</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All of the Borrower’s obligations under this </w:t>
      </w:r>
      <w:r>
        <w:rPr>
          <w:rFonts w:ascii="Times New Roman" w:hAnsi="Times New Roman"/>
          <w:sz w:val="20"/>
          <w:u w:val="single"/>
        </w:rPr>
        <w:t>ARTICLE III</w:t>
      </w:r>
      <w:r>
        <w:rPr>
          <w:rFonts w:ascii="Times New Roman" w:hAnsi="Times New Roman"/>
          <w:sz w:val="20"/>
        </w:rPr>
        <w:t xml:space="preserve"> shall survive termination of the Aggregate Commitments, repayment of all other Obligations hereunder, and resignation of the Administrative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TO CREDIT EXTENSIONS </w:t>
      </w:r>
    </w:p>
    <w:p>
      <w:pPr>
        <w:pStyle w:val="TextBody"/>
        <w:bidi w:val="0"/>
        <w:spacing w:before="240" w:after="0"/>
        <w:jc w:val="left"/>
        <w:rPr>
          <w:rFonts w:ascii="Times New Roman" w:hAnsi="Times New Roman"/>
          <w:sz w:val="20"/>
        </w:rPr>
      </w:pPr>
      <w:r>
        <w:rPr>
          <w:rFonts w:ascii="Times New Roman" w:hAnsi="Times New Roman"/>
          <w:b/>
          <w:sz w:val="20"/>
        </w:rPr>
        <w:t>4.01</w:t>
      </w:r>
      <w:r>
        <w:rPr>
          <w:rFonts w:ascii="Times New Roman" w:hAnsi="Times New Roman"/>
          <w:sz w:val="20"/>
        </w:rPr>
        <w:t xml:space="preserve"> </w:t>
      </w:r>
      <w:r>
        <w:rPr>
          <w:rFonts w:ascii="Times New Roman" w:hAnsi="Times New Roman"/>
          <w:b/>
          <w:sz w:val="20"/>
        </w:rPr>
        <w:t>Conditions to the Initial Borrowing on the Closing</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The obligations of each L/C Issuer and each Lender hereunder are subject to satisfaction (or waiver by the Administrative Agent) of the following conditions precedent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receipt of the following, each of which shall be originals or telecopies (followed promptly by originals) unless otherwise specified, each properly executed by a Responsible Officer of the Loan Parties which are party thereto, each dated the Closing Date (or, in the case of certificates of governmental officials, a recent date before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executed counterparts of (x) this Agreement bearing the signatures of each of the Borrower, the Administrative Agent, each L/C Issuer and each Lender with commitments to make Loans as designated on </w:t>
      </w:r>
      <w:r>
        <w:rPr>
          <w:rFonts w:ascii="Times New Roman" w:hAnsi="Times New Roman"/>
          <w:sz w:val="20"/>
          <w:u w:val="single"/>
        </w:rPr>
        <w:t>Schedule 2.01</w:t>
      </w:r>
      <w:r>
        <w:rPr>
          <w:rFonts w:ascii="Times New Roman" w:hAnsi="Times New Roman"/>
          <w:sz w:val="20"/>
        </w:rPr>
        <w:t xml:space="preserve"> and (y) the Restatement Agreement bearing the signatures of each of the Borrower, the Subsidiary Guarantors, the Administrative Agent, each of the lenders under the Existing Credit Agreement party thereto, which shall together constitute the “Required Lenders” (under and as defined in the Existing Credit Agreement) and each Term B Lender; </w:t>
      </w:r>
    </w:p>
    <w:p>
      <w:pPr>
        <w:pStyle w:val="TextBody"/>
        <w:bidi w:val="0"/>
        <w:spacing w:before="120" w:after="0"/>
        <w:jc w:val="left"/>
        <w:rPr>
          <w:rFonts w:ascii="Times New Roman" w:hAnsi="Times New Roman"/>
          <w:sz w:val="20"/>
        </w:rPr>
      </w:pPr>
      <w:r>
        <w:rPr>
          <w:rFonts w:ascii="Times New Roman" w:hAnsi="Times New Roman"/>
          <w:sz w:val="20"/>
        </w:rPr>
        <w:t xml:space="preserve">(ii) executed counterparts of the Ratification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(iii) executed counterparts of the Security Agreement; </w:t>
      </w:r>
    </w:p>
    <w:p>
      <w:pPr>
        <w:pStyle w:val="TextBody"/>
        <w:bidi w:val="0"/>
        <w:spacing w:before="120" w:after="0"/>
        <w:jc w:val="left"/>
        <w:rPr>
          <w:rFonts w:ascii="Times New Roman" w:hAnsi="Times New Roman"/>
          <w:sz w:val="20"/>
        </w:rPr>
      </w:pPr>
      <w:r>
        <w:rPr>
          <w:rFonts w:ascii="Times New Roman" w:hAnsi="Times New Roman"/>
          <w:sz w:val="20"/>
        </w:rPr>
        <w:t xml:space="preserve">(iv) executed counterparts of the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(v) an original Note executed by the Borrower in favor of each new Lender requesting a Note; </w:t>
      </w:r>
    </w:p>
    <w:p>
      <w:pPr>
        <w:pStyle w:val="TextBody"/>
        <w:bidi w:val="0"/>
        <w:spacing w:before="120" w:after="0"/>
        <w:jc w:val="left"/>
        <w:rPr>
          <w:rFonts w:ascii="Times New Roman" w:hAnsi="Times New Roman"/>
          <w:sz w:val="20"/>
        </w:rPr>
      </w:pPr>
      <w:r>
        <w:rPr>
          <w:rFonts w:ascii="Times New Roman" w:hAnsi="Times New Roman"/>
          <w:sz w:val="20"/>
        </w:rPr>
        <w:t xml:space="preserve">(vi)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on behalf of such Loan Party in connection with this Agreement and the other Loan Documents to which such Loan Party is a party; </w:t>
      </w:r>
    </w:p>
    <w:p>
      <w:pPr>
        <w:pStyle w:val="TextBody"/>
        <w:bidi w:val="0"/>
        <w:spacing w:before="120" w:after="0"/>
        <w:jc w:val="left"/>
        <w:rPr>
          <w:rFonts w:ascii="Times New Roman" w:hAnsi="Times New Roman"/>
          <w:sz w:val="20"/>
        </w:rPr>
      </w:pPr>
      <w:r>
        <w:rPr>
          <w:rFonts w:ascii="Times New Roman" w:hAnsi="Times New Roman"/>
          <w:sz w:val="20"/>
        </w:rPr>
        <w:t xml:space="preserve">(vii) such documents and certifications as the Administrative Agent may reasonably require to evidence that each of the Loan Parties is duly organized or formed, validly existing and in good standing in its jurisdiction of organization, including, certified copies of the Organization Documents of the Loan Parties, certificates of good standing of the Loan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 favorable opinion of Sullivan &amp; Cromwell LLP in form and substance reasonably satisfactory to the Administrative Agent and the Secured Parties, addressed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(ix) copies of the financial statements referred to in </w:t>
      </w:r>
      <w:r>
        <w:rPr>
          <w:rFonts w:ascii="Times New Roman" w:hAnsi="Times New Roman"/>
          <w:sz w:val="20"/>
          <w:u w:val="single"/>
        </w:rPr>
        <w:t>Sections 5.05(a)</w:t>
      </w:r>
      <w:r>
        <w:rPr>
          <w:rFonts w:ascii="Times New Roman" w:hAnsi="Times New Roman"/>
          <w:sz w:val="20"/>
        </w:rPr>
        <w:t xml:space="preserve"> and </w:t>
      </w:r>
      <w:r>
        <w:rPr>
          <w:rFonts w:ascii="Times New Roman" w:hAnsi="Times New Roman"/>
          <w:sz w:val="20"/>
          <w:u w:val="single"/>
        </w:rPr>
        <w:t>5.05(b)</w:t>
      </w:r>
      <w:r>
        <w:rPr>
          <w:rFonts w:ascii="Times New Roman" w:hAnsi="Times New Roman"/>
          <w:sz w:val="20"/>
        </w:rPr>
        <w:t xml:space="preserve"> (to the extent not previously delivered under the Existing Credit Agreement) and a certificate signed by a Responsible Officer of the Borrower (A) certifying that the conditions specified in </w:t>
      </w:r>
      <w:r>
        <w:rPr>
          <w:rFonts w:ascii="Times New Roman" w:hAnsi="Times New Roman"/>
          <w:sz w:val="20"/>
          <w:u w:val="single"/>
        </w:rPr>
        <w:t>Sections 4.02(a)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(B) certifying that there has been no event or circumstance since the date of the Audited Financial Statements that has had or could be reasonably expected to have, either individually or in the aggregate, a Material Adverse Effect, and (C) (x) attaching copies of all consents, licenses and approvals of Governmental Authorities, shareholders and other Persons required in connection with the execution, delivery and performance by each Loan Party and the validity against each Loan Party of the Loan Documents to which it is a party and required in connection with the Loan Documents and the transactions contemplated thereby (including, without limitation, the expiration, without imposition of conditions, of all applicable waiting periods in connection with the transactions contemplated by the Loan Documents), and such consents, licenses and approvals shall be in full force and effect, or (y) stating that no such consents, licenses or approvals are so required since the closing of the Existing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(x) existing insurance certificates previously delivered to the Administrative Agent or other evidence that all insurance required to be maintained pursuant to the Loan Documents has been obtained and is in full force, including in either case evidence that the Administrative Agent, on behalf of the Lenders, is an additional insured or lender’s loss payee, as the case may be, under all insurance policies maintained with respect to the assets and properties of the Loan Parties that constitutes Collateral; </w:t>
      </w:r>
    </w:p>
    <w:p>
      <w:pPr>
        <w:pStyle w:val="TextBody"/>
        <w:bidi w:val="0"/>
        <w:spacing w:before="120" w:after="0"/>
        <w:jc w:val="left"/>
        <w:rPr>
          <w:rFonts w:ascii="Times New Roman" w:hAnsi="Times New Roman"/>
          <w:sz w:val="20"/>
        </w:rPr>
      </w:pPr>
      <w:r>
        <w:rPr>
          <w:rFonts w:ascii="Times New Roman" w:hAnsi="Times New Roman"/>
          <w:sz w:val="20"/>
        </w:rPr>
        <w:t xml:space="preserve">(xi) to the extent not held by the Administrative Agent prior to the Closing Date or set forth on </w:t>
      </w:r>
      <w:r>
        <w:rPr>
          <w:rFonts w:ascii="Times New Roman" w:hAnsi="Times New Roman"/>
          <w:sz w:val="20"/>
          <w:u w:val="single"/>
        </w:rPr>
        <w:t>Schedule 6.13</w:t>
      </w:r>
      <w:r>
        <w:rPr>
          <w:rFonts w:ascii="Times New Roman" w:hAnsi="Times New Roman"/>
          <w:sz w:val="20"/>
        </w:rPr>
        <w:t xml:space="preserve">, all original certificates evidencing all of the issued and outstanding shares of capital stock or other Equity Interest required to be pledged pursuant to the terms of the Pledge Agreement, which certificates shall be accompanied by undated stock powers duly executed in blank by each relevant pledgor in favor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(xii) to the extent not held by the Administrative Agent prior to the Closing Date, the original Intercompany Notes and all other notes and instruments required to be pledged pursuant to the terms of the Pledge Agreement, duly endorsed in blank by each relevant pledgor in favor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(xiii) (i) certified copies of Uniform Commercial Code Requests for Information or Copies (Form UCC-11) or similar search reports certified by a party acceptable to the Administrative Agent, dated a date reasonably near (but prior to) the Closing Date, listing all effective UCC financing statements, tax liens and judgment liens since the date of such searches in connection with the Existing Credit Agreement which name any Loan Party, as the debtor, together with copies of such financing statements (none of which (other than financing statements filed pursuant to the terms hereof in favor of the Administrative Agent) shall cover any of the Collateral, other than Permitted Liens) and (ii) searches of ownership of Intellectual Property in the appropriate governmental offices as requested by the Administrative Agent and evidence that no Liens exist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acknowledgment copies of UCC financing statements (or delivery in proper form for filing) naming the Borrower and each other Loan Party as the debtor and the Administrative Agent as the secured party, which such UCC financing statements have been filed, or have been delivered for filing, under the UCC of all jurisdictions as may be necessary or, in the opinion of the Administrative Agent, desirable to perfect the security interest of the Administrative Agent pursuant to the Security Agreement and the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(xv) evidence that all other action that the Administrative Agent may reasonably deem necessary or desirable in order to perfect and protect the liens and security interests created under the Collateral Documents has been taken; </w:t>
      </w:r>
    </w:p>
    <w:p>
      <w:pPr>
        <w:pStyle w:val="TextBody"/>
        <w:bidi w:val="0"/>
        <w:spacing w:before="120" w:after="0"/>
        <w:jc w:val="left"/>
        <w:rPr>
          <w:rFonts w:ascii="Times New Roman" w:hAnsi="Times New Roman"/>
          <w:sz w:val="20"/>
        </w:rPr>
      </w:pPr>
      <w:r>
        <w:rPr>
          <w:rFonts w:ascii="Times New Roman" w:hAnsi="Times New Roman"/>
          <w:sz w:val="20"/>
        </w:rPr>
        <w:t xml:space="preserve">(xvi) the First Lien Intercreditor Agreement dated as of the Closing Date, among the Administrative Agent, the Senior Secured Notes Collateral Agent, the Borrower and the Guarantors party thereto; and </w:t>
      </w:r>
    </w:p>
    <w:p>
      <w:pPr>
        <w:pStyle w:val="TextBody"/>
        <w:bidi w:val="0"/>
        <w:spacing w:before="120" w:after="0"/>
        <w:jc w:val="left"/>
        <w:rPr>
          <w:rFonts w:ascii="Times New Roman" w:hAnsi="Times New Roman"/>
          <w:sz w:val="20"/>
        </w:rPr>
      </w:pPr>
      <w:r>
        <w:rPr>
          <w:rFonts w:ascii="Times New Roman" w:hAnsi="Times New Roman"/>
          <w:sz w:val="20"/>
        </w:rPr>
        <w:t xml:space="preserve">(xvii) to the extent applicable, a Copyright Security Agreement, Patent Security Agreement and Trademark Security Agreement (as each such term is defined in the Security Agreement and to the extent applicable) (together with each other intellectual property security agreement delivered pursuant to </w:t>
      </w:r>
      <w:r>
        <w:rPr>
          <w:rFonts w:ascii="Times New Roman" w:hAnsi="Times New Roman"/>
          <w:sz w:val="20"/>
          <w:u w:val="single"/>
        </w:rPr>
        <w:t>Section 6.12</w:t>
      </w:r>
      <w:r>
        <w:rPr>
          <w:rFonts w:ascii="Times New Roman" w:hAnsi="Times New Roman"/>
          <w:sz w:val="20"/>
        </w:rPr>
        <w:t>, in each case as amended, the “</w:t>
      </w:r>
      <w:r>
        <w:rPr>
          <w:rFonts w:ascii="Times New Roman" w:hAnsi="Times New Roman"/>
          <w:sz w:val="20"/>
          <w:u w:val="single"/>
        </w:rPr>
        <w:t>Intellectual Property Security Agreement</w:t>
      </w:r>
      <w:r>
        <w:rPr>
          <w:rFonts w:ascii="Times New Roman" w:hAnsi="Times New Roman"/>
          <w:sz w:val="20"/>
        </w:rPr>
        <w:t xml:space="preserve">”), duly executed by each applicable Loan Party, together with evidence that all action that the Administrative Agent may deem necessary or desirable in order to perfect the Liens created under the Intellectual Property Security Agreement has been taken. </w:t>
      </w:r>
    </w:p>
    <w:p>
      <w:pPr>
        <w:pStyle w:val="TextBody"/>
        <w:bidi w:val="0"/>
        <w:spacing w:before="120" w:after="0"/>
        <w:jc w:val="left"/>
        <w:rPr>
          <w:rFonts w:ascii="Times New Roman" w:hAnsi="Times New Roman"/>
          <w:sz w:val="20"/>
        </w:rPr>
      </w:pPr>
      <w:r>
        <w:rPr>
          <w:rFonts w:ascii="Times New Roman" w:hAnsi="Times New Roman"/>
          <w:sz w:val="20"/>
        </w:rPr>
        <w:t xml:space="preserve">(b) Substantially concurrently with the Closing Date, the incurrence of the Senior Secured Notes shall have been consummated. </w:t>
      </w:r>
    </w:p>
    <w:p>
      <w:pPr>
        <w:pStyle w:val="TextBody"/>
        <w:bidi w:val="0"/>
        <w:spacing w:before="120" w:after="0"/>
        <w:jc w:val="left"/>
        <w:rPr>
          <w:rFonts w:ascii="Times New Roman" w:hAnsi="Times New Roman"/>
          <w:sz w:val="20"/>
        </w:rPr>
      </w:pPr>
      <w:r>
        <w:rPr>
          <w:rFonts w:ascii="Times New Roman" w:hAnsi="Times New Roman"/>
          <w:sz w:val="20"/>
        </w:rPr>
        <w:t xml:space="preserve">(c) The Engagement Letter and each Fee Letter shall be in full force and effect and the Borrower and each of the Loan Parties shall have complied with all of their respective obligations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have received certification, in form and substance reasonably satisfactory to the Administrative Agent, as to the financial condition and solvency (as described in </w:t>
      </w:r>
      <w:r>
        <w:rPr>
          <w:rFonts w:ascii="Times New Roman" w:hAnsi="Times New Roman"/>
          <w:sz w:val="20"/>
          <w:u w:val="single"/>
        </w:rPr>
        <w:t>Section 5.24</w:t>
      </w:r>
      <w:r>
        <w:rPr>
          <w:rFonts w:ascii="Times New Roman" w:hAnsi="Times New Roman"/>
          <w:sz w:val="20"/>
        </w:rPr>
        <w:t xml:space="preserve">) of the Borrower, individually, and the Loan Parties, taken as a whole from the chief financial officer or the treasurer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(e) Any fees and expenses required to be paid on or before the Closing Date shall have been paid, including those fees and expenses set forth in the Engagement Letter and each Fee Letter. </w:t>
      </w:r>
    </w:p>
    <w:p>
      <w:pPr>
        <w:pStyle w:val="TextBody"/>
        <w:bidi w:val="0"/>
        <w:spacing w:before="120" w:after="0"/>
        <w:jc w:val="left"/>
        <w:rPr>
          <w:rFonts w:ascii="Times New Roman" w:hAnsi="Times New Roman"/>
          <w:sz w:val="20"/>
        </w:rPr>
      </w:pPr>
      <w:r>
        <w:rPr>
          <w:rFonts w:ascii="Times New Roman" w:hAnsi="Times New Roman"/>
          <w:sz w:val="20"/>
        </w:rPr>
        <w:t>(f) The Borrower shall have paid all fees, charges and disbursements of counsel to the Administrative Agent and the Arrangers to the extent invoiced at least three Business Days prior to or on the Closing Date, plus such additional amounts of fees, charges and disbursements of counsel to the Administrative Agent and the Arrangers as shall constitute its reasonable estimate of fees, charges and disbursements of counsel to the Administrative Agent incurred or to be incurred by it through the closing proceedings to the extent invoiced at least three Business Days prior to or on the Closing Date (</w:t>
      </w:r>
      <w:r>
        <w:rPr>
          <w:rFonts w:ascii="Times New Roman" w:hAnsi="Times New Roman"/>
          <w:sz w:val="20"/>
          <w:u w:val="single"/>
        </w:rPr>
        <w:t>provided</w:t>
      </w:r>
      <w:r>
        <w:rPr>
          <w:rFonts w:ascii="Times New Roman" w:hAnsi="Times New Roman"/>
          <w:sz w:val="20"/>
        </w:rPr>
        <w:t xml:space="preserve">, that such estimate shall not thereafter preclude a final settling of accounts between the Borrower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Since December 31, 2025, no changes or developments shall have occurred that either individually or in the aggregate constitutes or has had or could reasonably be expected to constitute or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(h) The representations and warranties of the Borrower and each other Loan Party contained in </w:t>
      </w:r>
      <w:r>
        <w:rPr>
          <w:rFonts w:ascii="Times New Roman" w:hAnsi="Times New Roman"/>
          <w:sz w:val="20"/>
          <w:u w:val="single"/>
        </w:rPr>
        <w:t>ARTICLE V</w:t>
      </w:r>
      <w:r>
        <w:rPr>
          <w:rFonts w:ascii="Times New Roman" w:hAnsi="Times New Roman"/>
          <w:sz w:val="20"/>
        </w:rPr>
        <w:t xml:space="preserve"> or any other Loan Document shall be true and correct in all material respects (or, if any such representation or warranty is by its terms qualified by concepts of materiality or reference to Material Adverse Effect, such representation or warranty shall be true and correct in all respects), except to the extent that such representations and warranties specifically refer to an earlier date, in which case they shall be true and correct in all material respects (or, if any such representation or warranty is by its terms qualified by concepts of materiality or reference to Material Adverse Effect, such representation or warranty shall be true and correct in all respects)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 Prior to, or substantially concurrently with, the borrowing of the Loans on the Closing Date, the Borrower shall have repaid (i) all outstanding principal, together with all accrued and unpaid interest, in respect of the Term Loans (under and as defined in the Existing Credit Agreement), and (ii) all accrued and unpaid interest. commitment and letter of credit fees in respect of the Revolving Credit Loans (under and as defined in the Existing Credit Agreement) and Letters of Credit (under and as defined in the Existing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(j) Upon the reasonable request of any Lender made at least 10 days prior to the Closing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3 days prior to the Closing Date and (y) at least 5 days prior to the Closing Date, any Loan Party that qualifies as a “legal entity customer” under the Beneficial Ownership Regulation shall have delivered, to each Lender that so requests, a Beneficial Ownership Certification in relation to such Loan Party.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provisions of </w:t>
      </w:r>
      <w:r>
        <w:rPr>
          <w:rFonts w:ascii="Times New Roman" w:hAnsi="Times New Roman"/>
          <w:sz w:val="20"/>
          <w:u w:val="single"/>
        </w:rPr>
        <w:t>Section 9.04</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4.01</w:t>
      </w:r>
      <w:r>
        <w:rPr>
          <w:rFonts w:ascii="Times New Roman" w:hAnsi="Times New Roman"/>
          <w:sz w:val="20"/>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w:t>
      </w:r>
    </w:p>
    <w:p>
      <w:pPr>
        <w:pStyle w:val="TextBody"/>
        <w:bidi w:val="0"/>
        <w:spacing w:before="240" w:after="0"/>
        <w:jc w:val="left"/>
        <w:rPr>
          <w:rFonts w:ascii="Times New Roman" w:hAnsi="Times New Roman"/>
          <w:sz w:val="20"/>
        </w:rPr>
      </w:pPr>
      <w:r>
        <w:rPr>
          <w:rFonts w:ascii="Times New Roman" w:hAnsi="Times New Roman"/>
          <w:b/>
          <w:sz w:val="20"/>
        </w:rPr>
        <w:t>4.02</w:t>
      </w:r>
      <w:r>
        <w:rPr>
          <w:rFonts w:ascii="Times New Roman" w:hAnsi="Times New Roman"/>
          <w:sz w:val="20"/>
        </w:rPr>
        <w:t xml:space="preserve"> </w:t>
      </w:r>
      <w:r>
        <w:rPr>
          <w:rFonts w:ascii="Times New Roman" w:hAnsi="Times New Roman"/>
          <w:b/>
          <w:sz w:val="20"/>
        </w:rPr>
        <w:t>Conditions to all Credit Extensions.</w:t>
      </w:r>
      <w:r>
        <w:rPr>
          <w:rFonts w:ascii="Times New Roman" w:hAnsi="Times New Roman"/>
          <w:sz w:val="20"/>
        </w:rPr>
        <w:t xml:space="preserve"> Other than as may be expressly set forth in </w:t>
      </w:r>
      <w:r>
        <w:rPr>
          <w:rFonts w:ascii="Times New Roman" w:hAnsi="Times New Roman"/>
          <w:sz w:val="20"/>
          <w:u w:val="single"/>
        </w:rPr>
        <w:t>Section 2.16</w:t>
      </w:r>
      <w:r>
        <w:rPr>
          <w:rFonts w:ascii="Times New Roman" w:hAnsi="Times New Roman"/>
          <w:sz w:val="20"/>
        </w:rPr>
        <w:t xml:space="preserve"> in connection with the establishment of any Incremental Facilities, the obligation of each Lender and each L/C Issuer to honor any Request for Credit Extension (other than a Request for Credit Extension requesting only a conversion of Loans to the other Type, or a continuation of Term SOFR Loans, but including, for the avoidance of doubt, any Request for Credit Extension requesting a Borrowing on the Closing Date) is subject to the satisfaction (or waiver by the Required Lenders)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of the Borrower and each other Loan Party contained in </w:t>
      </w:r>
      <w:r>
        <w:rPr>
          <w:rFonts w:ascii="Times New Roman" w:hAnsi="Times New Roman"/>
          <w:sz w:val="20"/>
          <w:u w:val="single"/>
        </w:rPr>
        <w:t>Article V</w:t>
      </w:r>
      <w:r>
        <w:rPr>
          <w:rFonts w:ascii="Times New Roman" w:hAnsi="Times New Roman"/>
          <w:sz w:val="20"/>
        </w:rPr>
        <w:t xml:space="preserve"> or any other Loan Document shall be true and correct in all material respects (or, if any such representation or warranty is by its terms qualified by concepts of materiality or reference to Material Adverse Effect, such representation or warranty shall be true and correct in all respects) on and as of the date of such Credit Extension, (i) except to the extent that such representations and warranties specifically refer to an earlier date, in which case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true and correct in all material respects (or, if any such representation or warranty is by its terms qualified by concepts of materiality or reference to Material Adverse Effect, such representation or warranty shall be true and correct in all respects) as of such earlier date, (ii) except that, for purposes of this </w:t>
      </w:r>
      <w:r>
        <w:rPr>
          <w:rFonts w:ascii="Times New Roman" w:hAnsi="Times New Roman"/>
          <w:sz w:val="20"/>
          <w:u w:val="single"/>
        </w:rPr>
        <w:t>Section 4.02</w:t>
      </w:r>
      <w:r>
        <w:rPr>
          <w:rFonts w:ascii="Times New Roman" w:hAnsi="Times New Roman"/>
          <w:sz w:val="20"/>
        </w:rPr>
        <w:t xml:space="preserve">, the representations and warranties contained in subsections (a) and (b) of </w:t>
      </w:r>
      <w:r>
        <w:rPr>
          <w:rFonts w:ascii="Times New Roman" w:hAnsi="Times New Roman"/>
          <w:sz w:val="20"/>
          <w:u w:val="single"/>
        </w:rPr>
        <w:t>Section 5.05</w:t>
      </w:r>
      <w:r>
        <w:rPr>
          <w:rFonts w:ascii="Times New Roman" w:hAnsi="Times New Roman"/>
          <w:sz w:val="20"/>
        </w:rPr>
        <w:t xml:space="preserve"> shall be deemed to refer to the most recent statements furnished pursuant to subsections (a) and (b), respectively, of </w:t>
      </w:r>
      <w:r>
        <w:rPr>
          <w:rFonts w:ascii="Times New Roman" w:hAnsi="Times New Roman"/>
          <w:sz w:val="20"/>
          <w:u w:val="single"/>
        </w:rPr>
        <w:t>Section 6.01</w:t>
      </w:r>
      <w:r>
        <w:rPr>
          <w:rFonts w:ascii="Times New Roman" w:hAnsi="Times New Roman"/>
          <w:sz w:val="20"/>
        </w:rPr>
        <w:t xml:space="preserve"> and (iii) except for any additional items that will be disclosed on updated Schedules delivered on the next scheduled delivery date, as to which the Borrower has notified the Administrative Agent in writing. </w:t>
      </w:r>
    </w:p>
    <w:p>
      <w:pPr>
        <w:pStyle w:val="TextBody"/>
        <w:bidi w:val="0"/>
        <w:spacing w:before="120" w:after="0"/>
        <w:jc w:val="left"/>
        <w:rPr>
          <w:rFonts w:ascii="Times New Roman" w:hAnsi="Times New Roman"/>
          <w:sz w:val="20"/>
        </w:rPr>
      </w:pPr>
      <w:r>
        <w:rPr>
          <w:rFonts w:ascii="Times New Roman" w:hAnsi="Times New Roman"/>
          <w:sz w:val="20"/>
        </w:rPr>
        <w:t xml:space="preserve">(b) No Default shall exist, or would result from such proposed Credit Extension or from the application of the proceeds thereof.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and, if applicable, the applicable L/C Issuer or the Swing Line Lender shall have received a Request for Credit Extension in accordance with the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hAnsi="Times New Roman"/>
          <w:sz w:val="20"/>
          <w:u w:val="single"/>
        </w:rPr>
        <w:t>Sections 4.02(a)</w:t>
      </w:r>
      <w:r>
        <w:rPr>
          <w:rFonts w:ascii="Times New Roman" w:hAnsi="Times New Roman"/>
          <w:sz w:val="20"/>
        </w:rPr>
        <w:t xml:space="preserve"> and </w:t>
      </w:r>
      <w:r>
        <w:rPr>
          <w:rFonts w:ascii="Times New Roman" w:hAnsi="Times New Roman"/>
          <w:sz w:val="20"/>
          <w:u w:val="single"/>
        </w:rPr>
        <w:t>4.02(b)</w:t>
      </w:r>
      <w:r>
        <w:rPr>
          <w:rFonts w:ascii="Times New Roman" w:hAnsi="Times New Roman"/>
          <w:sz w:val="20"/>
        </w:rPr>
        <w:t xml:space="preserve"> have been satisfied on and as of the date of the applicable Credit Extension.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Borrower represents and warrants to the Administrative Agent, the L/C Issuers and the Lenders that: </w:t>
      </w:r>
    </w:p>
    <w:p>
      <w:pPr>
        <w:pStyle w:val="TextBody"/>
        <w:bidi w:val="0"/>
        <w:spacing w:before="120" w:after="0"/>
        <w:jc w:val="left"/>
        <w:rPr>
          <w:rFonts w:ascii="Times New Roman" w:hAnsi="Times New Roman"/>
          <w:sz w:val="20"/>
        </w:rPr>
      </w:pPr>
      <w:r>
        <w:rPr>
          <w:rFonts w:ascii="Times New Roman" w:hAnsi="Times New Roman"/>
          <w:b/>
          <w:sz w:val="20"/>
        </w:rPr>
        <w:t>5.01</w:t>
      </w:r>
      <w:r>
        <w:rPr>
          <w:rFonts w:ascii="Times New Roman" w:hAnsi="Times New Roman"/>
          <w:sz w:val="20"/>
        </w:rPr>
        <w:t xml:space="preserve"> </w:t>
      </w:r>
      <w:r>
        <w:rPr>
          <w:rFonts w:ascii="Times New Roman" w:hAnsi="Times New Roman"/>
          <w:b/>
          <w:sz w:val="20"/>
        </w:rPr>
        <w:t>Existence, Qualification and Power.</w:t>
      </w:r>
      <w:r>
        <w:rPr>
          <w:rFonts w:ascii="Times New Roman" w:hAnsi="Times New Roman"/>
          <w:sz w:val="20"/>
        </w:rPr>
        <w:t xml:space="preserve"> Each of the Loan Parties (a) is duly organized or formed, validly existing and in good standing under the Laws of the jurisdiction of its incorporation or organization, (b) has all requisite power and authority and all requisite governmental licenses, accreditations, authorizations, consents and approvals to (i) own or lease its assets and carry on its business as presently conducted, except where a failure to have such power and authority or to have such governmental licenses, accreditations, authorizations, consents and approvals, individually or in the aggregate, could not reasonably be expected to result in a Material Adverse Effect, and (ii) execute, deliver and perform its obligations under the Loan Documents to which it is a party, and (c) is duly qualified and in good standing under the Laws of each jurisdiction where its ownership, lease or operation of properties or the conduct of its business requires such qualification except in such jurisdictions where failure to so qualify or be in good standing, individually or in the aggregate, could not reasonably be expected to result in a Material Adverse Effect. There is no existing default under any Organization Document of any Loan Party. </w:t>
      </w:r>
    </w:p>
    <w:p>
      <w:pPr>
        <w:pStyle w:val="TextBody"/>
        <w:bidi w:val="0"/>
        <w:spacing w:before="240" w:after="0"/>
        <w:jc w:val="left"/>
        <w:rPr>
          <w:rFonts w:ascii="Times New Roman" w:hAnsi="Times New Roman"/>
          <w:sz w:val="20"/>
        </w:rPr>
      </w:pPr>
      <w:r>
        <w:rPr>
          <w:rFonts w:ascii="Times New Roman" w:hAnsi="Times New Roman"/>
          <w:b/>
          <w:sz w:val="20"/>
        </w:rPr>
        <w:t>5.02</w:t>
      </w:r>
      <w:r>
        <w:rPr>
          <w:rFonts w:ascii="Times New Roman" w:hAnsi="Times New Roman"/>
          <w:sz w:val="20"/>
        </w:rPr>
        <w:t xml:space="preserve"> </w:t>
      </w:r>
      <w:r>
        <w:rPr>
          <w:rFonts w:ascii="Times New Roman" w:hAnsi="Times New Roman"/>
          <w:b/>
          <w:sz w:val="20"/>
        </w:rPr>
        <w:t xml:space="preserve">Authorization; No Contravention. </w:t>
      </w:r>
      <w:r>
        <w:rPr>
          <w:rFonts w:ascii="Times New Roman" w:hAnsi="Times New Roman"/>
          <w:sz w:val="20"/>
        </w:rPr>
        <w:t xml:space="preserve">The execution, delivery and performance by each Loan Party of each Loan Document to which such Person is party, have been duly authorized by all necessary corporate or other organizational action. The execution, delivery and performance by each Loan Party of each Loan Document to which it is a party, and the consummation of the transactions contemplated hereby with respect to each Loan Party, do not and will not: (a) contravene the terms of any of such Person’s Organization Documents; (b) conflict with or result in any breach or contravention of, or (except for the Liens created under the Loan Documents) the creation of any Lien under, or require any payment to be made under (i) any material Contractual Obligation to which such Person or such Person’s Affiliate is a party or affecting such Person or the properties of such Person or any of its subsidiaries or (ii) any material order, injunction, writ or decree of any Governmental Authority or any arbitral award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such Person or its property is subject; or (c) violate any Law. Each Loan Party and each Subsidiary thereof is in compliance with all Contractual Obligations referred to in clause (b)(i), except to the extent that failure to do so could not reasonably be expected to have a Material Adverse Effect. No Subsidiary of the Borrower is in violation of any Law which could be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5.03</w:t>
      </w:r>
      <w:r>
        <w:rPr>
          <w:rFonts w:ascii="Times New Roman" w:hAnsi="Times New Roman"/>
          <w:sz w:val="20"/>
        </w:rPr>
        <w:t xml:space="preserve"> </w:t>
      </w:r>
      <w:r>
        <w:rPr>
          <w:rFonts w:ascii="Times New Roman" w:hAnsi="Times New Roman"/>
          <w:b/>
          <w:sz w:val="20"/>
        </w:rPr>
        <w:t xml:space="preserve">Governmental Authorization; Other Consents. </w:t>
      </w:r>
      <w:r>
        <w:rPr>
          <w:rFonts w:ascii="Times New Roman" w:hAnsi="Times New Roman"/>
          <w:sz w:val="20"/>
        </w:rPr>
        <w:t xml:space="preserve">No approval, consent, exemption, authorization, or other action by, or notice to, or filing, registration, qualification or accreditation with, any Governmental Authority (including, without limitation, exchange control) or any other Person (including any party to any contract or agreement to which the Borrower or any of its Subsidiaries or any of their respective Affiliates is a party) is necessary or required in connection with (a) the execution, delivery or performance by, or enforcement against, any Loan Party of this Agreement or any other Loan Document (other than those that have been obtained), (b) the validity or enforceability of any Loan Documents against the Loan Parties (except such filings or notices as are necessary in connection with the perfection or enforcement of the Liens created by such Loan Documents), or (c) the consummation of the transactions contemplated hereby, other than (i) the filing of financing statements in the UCC filing offices of each jurisdiction referred to in Schedule 3.1(a)(i) to the Security Agreement, (ii) the filing of Intellectual Property Security Agreements in the U.S. Patent and Trademark Office and the U.S. Copyright Office, and (iii) those listed on </w:t>
      </w:r>
      <w:r>
        <w:rPr>
          <w:rFonts w:ascii="Times New Roman" w:hAnsi="Times New Roman"/>
          <w:sz w:val="20"/>
          <w:u w:val="single"/>
        </w:rPr>
        <w:t>Schedule 5.03</w:t>
      </w:r>
      <w:r>
        <w:rPr>
          <w:rFonts w:ascii="Times New Roman" w:hAnsi="Times New Roman"/>
          <w:sz w:val="20"/>
        </w:rPr>
        <w:t xml:space="preserve"> hereto, all of which have been obtained. </w:t>
      </w:r>
    </w:p>
    <w:p>
      <w:pPr>
        <w:pStyle w:val="TextBody"/>
        <w:bidi w:val="0"/>
        <w:spacing w:before="240" w:after="0"/>
        <w:jc w:val="left"/>
        <w:rPr>
          <w:rFonts w:ascii="Times New Roman" w:hAnsi="Times New Roman"/>
          <w:sz w:val="20"/>
        </w:rPr>
      </w:pPr>
      <w:r>
        <w:rPr>
          <w:rFonts w:ascii="Times New Roman" w:hAnsi="Times New Roman"/>
          <w:b/>
          <w:sz w:val="20"/>
        </w:rPr>
        <w:t>5.04</w:t>
      </w:r>
      <w:r>
        <w:rPr>
          <w:rFonts w:ascii="Times New Roman" w:hAnsi="Times New Roman"/>
          <w:sz w:val="20"/>
        </w:rPr>
        <w:t xml:space="preserve"> </w:t>
      </w:r>
      <w:r>
        <w:rPr>
          <w:rFonts w:ascii="Times New Roman" w:hAnsi="Times New Roman"/>
          <w:b/>
          <w:sz w:val="20"/>
        </w:rPr>
        <w:t xml:space="preserve">Binding Effect. </w:t>
      </w:r>
      <w:r>
        <w:rPr>
          <w:rFonts w:ascii="Times New Roman" w:hAnsi="Times New Roman"/>
          <w:sz w:val="20"/>
        </w:rPr>
        <w:t xml:space="preserve">This Agreement has been, and each other Loan Document when delivered hereunder, will have been, duly executed and delivered by each Loan Party that is party thereto. This Agreement constitutes, and each other Loan Document to which any Loan Party is a party when so delivered will constitute, a legal, valid and binding obligation of such Loan Party, enforceable against each such Person in accordance with its terms, subject to equitable principles and Debtor Relief Laws. </w:t>
      </w:r>
    </w:p>
    <w:p>
      <w:pPr>
        <w:pStyle w:val="TextBody"/>
        <w:bidi w:val="0"/>
        <w:spacing w:before="240" w:after="0"/>
        <w:jc w:val="left"/>
        <w:rPr>
          <w:rFonts w:ascii="Times New Roman" w:hAnsi="Times New Roman"/>
          <w:b/>
          <w:sz w:val="20"/>
        </w:rPr>
      </w:pPr>
      <w:r>
        <w:rPr>
          <w:rFonts w:ascii="Times New Roman" w:hAnsi="Times New Roman"/>
          <w:b/>
          <w:sz w:val="20"/>
        </w:rPr>
        <w:t xml:space="preserve">5.05 Financial Statements; No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 The Audited Financial Statements furnished to the Administrative Agent and each Lender (i) were prepared in accordance with GAAP consistently applied throughout the period covered thereby, except as otherwise expressly noted therein, (ii) fairly present the financial condition of the Borrower and its Consolidated Subsidiaries as of the date thereof, and their results of operations for the period covered thereby in accordance with GAAP consistently applied throughout the period covered thereby, except as otherwise expressly noted therein, and (iii) show all material indebtedness and other material liabilities (to the extent required to be shown by GAAP), direct or contingent, of the Borrower and its Consolidated Subsidiaries as of the date thereof, including liabilities for taxes, material commitments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(b)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(c)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(d) Since the date of the most recent audited financial statements delivered pursuant to </w:t>
      </w:r>
      <w:r>
        <w:rPr>
          <w:rFonts w:ascii="Times New Roman" w:hAnsi="Times New Roman"/>
          <w:sz w:val="20"/>
          <w:u w:val="single"/>
        </w:rPr>
        <w:t>Section 6.01(a)</w:t>
      </w:r>
      <w:r>
        <w:rPr>
          <w:rFonts w:ascii="Times New Roman" w:hAnsi="Times New Roman"/>
          <w:sz w:val="20"/>
        </w:rPr>
        <w:t xml:space="preserve">, there has been no event or circumstance, either individually or in the aggregate, that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financial statements delivered to the Administrative Agent and each Lender pursuant to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(i) will be prepared in accordance with GAAP, except as otherwise noted therein and except as otherwise permitted by </w:t>
      </w:r>
      <w:r>
        <w:rPr>
          <w:rFonts w:ascii="Times New Roman" w:hAnsi="Times New Roman"/>
          <w:sz w:val="20"/>
          <w:u w:val="single"/>
        </w:rPr>
        <w:t>Section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and (ii) will fairly present the financial condition of the Borrower and its Consolidated Subsidiaries as of the date thereof and their results of operations for the period covered thereby in accordance with GAAP, subject to the absence of footnotes, required formatting, and to normal year-end audit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5.06</w:t>
      </w:r>
      <w:r>
        <w:rPr>
          <w:rFonts w:ascii="Times New Roman" w:hAnsi="Times New Roman"/>
          <w:sz w:val="20"/>
        </w:rPr>
        <w:t xml:space="preserve"> </w:t>
      </w:r>
      <w:r>
        <w:rPr>
          <w:rFonts w:ascii="Times New Roman" w:hAnsi="Times New Roman"/>
          <w:b/>
          <w:sz w:val="20"/>
        </w:rPr>
        <w:t>Litigation.</w:t>
      </w:r>
      <w:r>
        <w:rPr>
          <w:rFonts w:ascii="Times New Roman" w:hAnsi="Times New Roman"/>
          <w:sz w:val="20"/>
        </w:rPr>
        <w:t xml:space="preserve"> To the knowledge of the Borrower, there are no actions, suits, proceedings, investigations, litigations, claims, disputes or proceedings, pending or threatened or contemplated, at law, in equity, in arbitration or before any Governmental Authority, by or against the Borrower or any of its Subsidiaries or against any of their respective properties or revenues or orders, decrees, judgments, rulings, injunctions, writs, temporary restraining orders or other orders of any nature issued by any court or Governmental Authority that (a) purport to affect, pertain to or enjoin or restrain the execution, delivery or performance of the Loan Documents, or any of the transactions contemplated hereby or thereby, (b) either individually or in the aggregate, could reasonably be expected to have a Material Adverse Effect, or (c) purport to affect the legality, validity or enforceability of the Loan Documents or the consummation of the transactions contemplated hereby and thereby. </w:t>
      </w:r>
    </w:p>
    <w:p>
      <w:pPr>
        <w:pStyle w:val="TextBody"/>
        <w:bidi w:val="0"/>
        <w:spacing w:before="240" w:after="0"/>
        <w:jc w:val="left"/>
        <w:rPr>
          <w:rFonts w:ascii="Times New Roman" w:hAnsi="Times New Roman"/>
          <w:sz w:val="20"/>
        </w:rPr>
      </w:pPr>
      <w:r>
        <w:rPr>
          <w:rFonts w:ascii="Times New Roman" w:hAnsi="Times New Roman"/>
          <w:b/>
          <w:sz w:val="20"/>
        </w:rPr>
        <w:t>5.07</w:t>
      </w:r>
      <w:r>
        <w:rPr>
          <w:rFonts w:ascii="Times New Roman" w:hAnsi="Times New Roman"/>
          <w:sz w:val="20"/>
        </w:rPr>
        <w:t xml:space="preserve"> </w:t>
      </w:r>
      <w:r>
        <w:rPr>
          <w:rFonts w:ascii="Times New Roman" w:hAnsi="Times New Roman"/>
          <w:b/>
          <w:sz w:val="20"/>
        </w:rPr>
        <w:t xml:space="preserve">No Default. </w:t>
      </w:r>
      <w:r>
        <w:rPr>
          <w:rFonts w:ascii="Times New Roman" w:hAnsi="Times New Roman"/>
          <w:sz w:val="20"/>
        </w:rPr>
        <w:t xml:space="preserve">No Default has occurred and is continuing or would result from the consummation of the transactions contemplated by this Agreement or any other Loan Document. </w:t>
      </w:r>
    </w:p>
    <w:p>
      <w:pPr>
        <w:pStyle w:val="TextBody"/>
        <w:bidi w:val="0"/>
        <w:spacing w:before="240" w:after="0"/>
        <w:jc w:val="left"/>
        <w:rPr>
          <w:rFonts w:ascii="Times New Roman" w:hAnsi="Times New Roman"/>
          <w:sz w:val="20"/>
        </w:rPr>
      </w:pPr>
      <w:r>
        <w:rPr>
          <w:rFonts w:ascii="Times New Roman" w:hAnsi="Times New Roman"/>
          <w:b/>
          <w:sz w:val="20"/>
        </w:rPr>
        <w:t>5.08</w:t>
      </w:r>
      <w:r>
        <w:rPr>
          <w:rFonts w:ascii="Times New Roman" w:hAnsi="Times New Roman"/>
          <w:sz w:val="20"/>
        </w:rPr>
        <w:t xml:space="preserve"> </w:t>
      </w:r>
      <w:r>
        <w:rPr>
          <w:rFonts w:ascii="Times New Roman" w:hAnsi="Times New Roman"/>
          <w:b/>
          <w:sz w:val="20"/>
        </w:rPr>
        <w:t xml:space="preserve">Subsidiaries and Equity Investments. </w:t>
      </w:r>
      <w:r>
        <w:rPr>
          <w:rFonts w:ascii="Times New Roman" w:hAnsi="Times New Roman"/>
          <w:sz w:val="20"/>
        </w:rPr>
        <w:t xml:space="preserve">As of the date hereof, the Borrower has no Subsidiaries other than those specifically disclosed in Part (a) of </w:t>
      </w:r>
      <w:r>
        <w:rPr>
          <w:rFonts w:ascii="Times New Roman" w:hAnsi="Times New Roman"/>
          <w:sz w:val="20"/>
          <w:u w:val="single"/>
        </w:rPr>
        <w:t>Schedule 5.08</w:t>
      </w:r>
      <w:r>
        <w:rPr>
          <w:rFonts w:ascii="Times New Roman" w:hAnsi="Times New Roman"/>
          <w:sz w:val="20"/>
        </w:rPr>
        <w:t xml:space="preserve"> (including the jurisdiction of organization, classes of Equity Interests, options, warrants, rights of subscription, conversion and exchangeability and other similar rights, ownership and ownership percentages thereof), and neither the Borrower nor any of its Subsidiaries has equity investments in any other corporation or entity other than (x) those specifically disclosed in Part (b) of </w:t>
      </w:r>
      <w:r>
        <w:rPr>
          <w:rFonts w:ascii="Times New Roman" w:hAnsi="Times New Roman"/>
          <w:sz w:val="20"/>
          <w:u w:val="single"/>
        </w:rPr>
        <w:t>Schedule 5.08</w:t>
      </w:r>
      <w:r>
        <w:rPr>
          <w:rFonts w:ascii="Times New Roman" w:hAnsi="Times New Roman"/>
          <w:sz w:val="20"/>
        </w:rPr>
        <w:t xml:space="preserve"> and (y) Minority Equity Interests. The outstanding shares of Equity Interests shown on Part (a) of </w:t>
      </w:r>
      <w:r>
        <w:rPr>
          <w:rFonts w:ascii="Times New Roman" w:hAnsi="Times New Roman"/>
          <w:sz w:val="20"/>
          <w:u w:val="single"/>
        </w:rPr>
        <w:t>Schedule 5.08</w:t>
      </w:r>
      <w:r>
        <w:rPr>
          <w:rFonts w:ascii="Times New Roman" w:hAnsi="Times New Roman"/>
          <w:sz w:val="20"/>
        </w:rPr>
        <w:t xml:space="preserve"> have been validly issued, fully-paid and are non-assessable and owned free and clear of Liens. </w:t>
      </w:r>
    </w:p>
    <w:p>
      <w:pPr>
        <w:pStyle w:val="TextBody"/>
        <w:bidi w:val="0"/>
        <w:spacing w:before="240" w:after="0"/>
        <w:jc w:val="left"/>
        <w:rPr>
          <w:rFonts w:ascii="Times New Roman" w:hAnsi="Times New Roman"/>
          <w:b/>
          <w:sz w:val="20"/>
        </w:rPr>
      </w:pPr>
      <w:r>
        <w:rPr>
          <w:rFonts w:ascii="Times New Roman" w:hAnsi="Times New Roman"/>
          <w:b/>
          <w:sz w:val="20"/>
        </w:rPr>
        <w:t xml:space="preserve">5.09 [Reserved] </w:t>
      </w:r>
    </w:p>
    <w:p>
      <w:pPr>
        <w:pStyle w:val="TextBody"/>
        <w:bidi w:val="0"/>
        <w:spacing w:before="240" w:after="0"/>
        <w:jc w:val="left"/>
        <w:rPr>
          <w:rFonts w:ascii="Times New Roman" w:hAnsi="Times New Roman"/>
          <w:sz w:val="20"/>
        </w:rPr>
      </w:pPr>
      <w:r>
        <w:rPr>
          <w:rFonts w:ascii="Times New Roman" w:hAnsi="Times New Roman"/>
          <w:b/>
          <w:sz w:val="20"/>
        </w:rPr>
        <w:t>5.10</w:t>
      </w:r>
      <w:r>
        <w:rPr>
          <w:rFonts w:ascii="Times New Roman" w:hAnsi="Times New Roman"/>
          <w:sz w:val="20"/>
        </w:rPr>
        <w:t xml:space="preserve"> </w:t>
      </w:r>
      <w:r>
        <w:rPr>
          <w:rFonts w:ascii="Times New Roman" w:hAnsi="Times New Roman"/>
          <w:b/>
          <w:sz w:val="20"/>
        </w:rPr>
        <w:t xml:space="preserve">Ownership of Personal Property; Liens. </w:t>
      </w:r>
      <w:r>
        <w:rPr>
          <w:rFonts w:ascii="Times New Roman" w:hAnsi="Times New Roman"/>
          <w:sz w:val="20"/>
        </w:rPr>
        <w:t xml:space="preserve">Except as could not reasonably be expected to have a Material Adverse Effect, each of the Borrower and its Subsidiaries has good title to all of its respective personal properties and assets, free and clear of any Liens, except for Permitted Liens. Each of the Borrower and its Subsidiaries has obtained all permits, licenses, franchises or other certifications, accreditations, consents, approvals and authorizations, governmental or private, necessary to the ownership of such properties and assets and the conduct of its business, except where any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5.11</w:t>
      </w:r>
      <w:r>
        <w:rPr>
          <w:rFonts w:ascii="Times New Roman" w:hAnsi="Times New Roman"/>
          <w:sz w:val="20"/>
        </w:rPr>
        <w:t xml:space="preserve"> </w:t>
      </w:r>
      <w:r>
        <w:rPr>
          <w:rFonts w:ascii="Times New Roman" w:hAnsi="Times New Roman"/>
          <w:b/>
          <w:sz w:val="20"/>
        </w:rPr>
        <w:t>Intellectual Property; Licenses; Etc.</w:t>
      </w:r>
      <w:r>
        <w:rPr>
          <w:rFonts w:ascii="Times New Roman" w:hAnsi="Times New Roman"/>
          <w:sz w:val="20"/>
        </w:rPr>
        <w:t xml:space="preserve"> Except as could not reasonably be expected to have a Material Adverse Effect, each of the Borrower and its Subsidiaries owns, or possesses the right to use, all Intellectual Property that is reasonably necessary for the operation of its businesses as presently conducted, without conflict with the rights of any other Person. To the knowledge of the Borrower and except as could not reasonably be expected to have a Material Adverse Effect, no slogan or other advertising device, product, process, method, substance, part or other material now employed, or now contemplated to be employed, by the Borrower or any of its Subsidiaries infringes upon any rights held by any other Person. To the knowledge of the Borrower, no claim or litigation regarding any of the foregoing is pending or threatened, which, either individually or in the aggregate, could reasonably be expected to have a Material Adverse Effect. </w:t>
      </w:r>
    </w:p>
    <w:p>
      <w:pPr>
        <w:pStyle w:val="TextBody"/>
        <w:bidi w:val="0"/>
        <w:spacing w:before="240" w:after="0"/>
        <w:jc w:val="left"/>
        <w:rPr>
          <w:rFonts w:ascii="Times New Roman" w:hAnsi="Times New Roman"/>
          <w:b/>
          <w:sz w:val="20"/>
        </w:rPr>
      </w:pPr>
      <w:r>
        <w:rPr>
          <w:rFonts w:ascii="Times New Roman" w:hAnsi="Times New Roman"/>
          <w:b/>
          <w:sz w:val="20"/>
        </w:rPr>
        <w:t xml:space="preserve">5.12 Real Estate; Lease. </w:t>
      </w:r>
    </w:p>
    <w:p>
      <w:pPr>
        <w:pStyle w:val="TextBody"/>
        <w:bidi w:val="0"/>
        <w:spacing w:before="240" w:after="0"/>
        <w:jc w:val="left"/>
        <w:rPr>
          <w:rFonts w:ascii="Times New Roman" w:hAnsi="Times New Roman"/>
          <w:sz w:val="20"/>
        </w:rPr>
      </w:pPr>
      <w:r>
        <w:rPr>
          <w:rFonts w:ascii="Times New Roman" w:hAnsi="Times New Roman"/>
          <w:sz w:val="20"/>
        </w:rPr>
        <w:t xml:space="preserve">(a) Except as could not reasonably be expected to have a Material Adverse Effect, each of the Borrower and its Subsidiaries has (i) good and marketable fee title to all of its fee owned Real Property Assets and (ii) good and valid title to the leasehold estates in all of the leased Real Property Assets, in each case free and clear of all Liens except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could not reasonably be expected to have a Material Adverse Effect, all permits, licenses, franchises or other certifications, accreditations, consents, approvals and authorizations, governmental or private, with respect to the Real Property Assets, necessary to enable the Borrower and its Subsidiaries to lawfully occupy and use such property for all of the purposes for which it is currently occupied and used have been lawfully issued and are in full force and effect. Except as could not reasonably be expected to have a Material Adverse Effect, all the Real Property Assets are in compliance in all material respects with all applicable legal requirements, including the Americans with Disabilities Act of 1990. </w:t>
      </w:r>
    </w:p>
    <w:p>
      <w:pPr>
        <w:pStyle w:val="TextBody"/>
        <w:bidi w:val="0"/>
        <w:spacing w:before="240" w:after="0"/>
        <w:jc w:val="left"/>
        <w:rPr>
          <w:rFonts w:ascii="Times New Roman" w:hAnsi="Times New Roman"/>
          <w:sz w:val="20"/>
        </w:rPr>
      </w:pPr>
      <w:r>
        <w:rPr>
          <w:rFonts w:ascii="Times New Roman" w:hAnsi="Times New Roman"/>
          <w:sz w:val="20"/>
        </w:rPr>
        <w:t xml:space="preserve">(c) Except as could not reasonably be expected to have a Material Adverse Effect, all easements, cross easements, licenses, air rights and rights-of way or other similar property interests, if any, necessary for the full utilization of the improvements for their intended purposes have been obtained and are in full force and effect. </w:t>
      </w:r>
    </w:p>
    <w:p>
      <w:pPr>
        <w:pStyle w:val="TextBody"/>
        <w:bidi w:val="0"/>
        <w:spacing w:before="240" w:after="0"/>
        <w:jc w:val="left"/>
        <w:rPr>
          <w:rFonts w:ascii="Times New Roman" w:hAnsi="Times New Roman"/>
          <w:sz w:val="20"/>
        </w:rPr>
      </w:pPr>
      <w:r>
        <w:rPr>
          <w:rFonts w:ascii="Times New Roman" w:hAnsi="Times New Roman"/>
          <w:b/>
          <w:sz w:val="20"/>
        </w:rPr>
        <w:t>5.13</w:t>
      </w:r>
      <w:r>
        <w:rPr>
          <w:rFonts w:ascii="Times New Roman" w:hAnsi="Times New Roman"/>
          <w:sz w:val="20"/>
        </w:rPr>
        <w:t xml:space="preserve"> </w:t>
      </w:r>
      <w:r>
        <w:rPr>
          <w:rFonts w:ascii="Times New Roman" w:hAnsi="Times New Roman"/>
          <w:b/>
          <w:sz w:val="20"/>
        </w:rPr>
        <w:t>Environmental Matters.</w:t>
      </w:r>
      <w:r>
        <w:rPr>
          <w:rFonts w:ascii="Times New Roman" w:hAnsi="Times New Roman"/>
          <w:sz w:val="20"/>
        </w:rPr>
        <w:t xml:space="preserve"> Except as disclosed on </w:t>
      </w:r>
      <w:r>
        <w:rPr>
          <w:rFonts w:ascii="Times New Roman" w:hAnsi="Times New Roman"/>
          <w:sz w:val="20"/>
          <w:u w:val="single"/>
        </w:rPr>
        <w:t>Schedule 5.13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could not reasonably be expected to have a Material Adverse Effect, (i) each of the facilities and properties owned, leased or operated by any of the Borrower and its Subsidiaries (the “</w:t>
      </w:r>
      <w:r>
        <w:rPr>
          <w:rFonts w:ascii="Times New Roman" w:hAnsi="Times New Roman"/>
          <w:sz w:val="20"/>
          <w:u w:val="single"/>
        </w:rPr>
        <w:t>Subject Properties</w:t>
      </w:r>
      <w:r>
        <w:rPr>
          <w:rFonts w:ascii="Times New Roman" w:hAnsi="Times New Roman"/>
          <w:sz w:val="20"/>
        </w:rPr>
        <w:t>”), (ii) all operations at the Subject Properties are in compliance with all applicable Environmental Laws, (iii) there is no violation of any Environmental Law by the Borrower or any of its Subsidiaries with respect to the Subject Properties or the businesses operated by them (the “</w:t>
      </w:r>
      <w:r>
        <w:rPr>
          <w:rFonts w:ascii="Times New Roman" w:hAnsi="Times New Roman"/>
          <w:sz w:val="20"/>
          <w:u w:val="single"/>
        </w:rPr>
        <w:t>Businesses</w:t>
      </w:r>
      <w:r>
        <w:rPr>
          <w:rFonts w:ascii="Times New Roman" w:hAnsi="Times New Roman"/>
          <w:sz w:val="20"/>
        </w:rPr>
        <w:t xml:space="preserve">”), and (iv) there are no conditions relating to the Businesses or Subject Properties that could give rise to liability under any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(b) None of the Borrower or any of its Subsidiaries has received any written notice of, or inquiry from any Governmental Authority regarding, any violation, alleged violation, non-compliance, liability or potential liability regarding environmental matters or compliance with Environmental Laws with regard to any of the Subject Properties or the Businesses, other than those that have been resolved or those which could not reasonably be expected to have a Material Adverse Effect, nor does the Borrower or any of its Subsidiaries have knowledge that any such notice will be received or is being threatened with respect to any matter the resolution of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Hazardous Materials have not been transported or disposed of from the Subject Properties, or generated, treated, stored or disposed of at, on or under any of the Subject Properties or any other location, in each case by or on behalf of any of the Borrower or its Subsidiaries in violation of, or in a manner that would be reasonably likely to give rise to liability under, any applicable Environmental Law and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5.14</w:t>
      </w:r>
      <w:r>
        <w:rPr>
          <w:rFonts w:ascii="Times New Roman" w:hAnsi="Times New Roman"/>
          <w:sz w:val="20"/>
        </w:rPr>
        <w:t xml:space="preserve"> </w:t>
      </w:r>
      <w:r>
        <w:rPr>
          <w:rFonts w:ascii="Times New Roman" w:hAnsi="Times New Roman"/>
          <w:b/>
          <w:sz w:val="20"/>
        </w:rPr>
        <w:t>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Security Agreement is effective to create in favor of the Administrative Agent, for the benefit of the Secured Parties, a legal, valid and enforceable first priority security interest (subject to Permitted Liens) in the Collateral identified therein owned by each Loan Party who is a party thereto, and, based upon the financing statements listed on </w:t>
      </w:r>
      <w:r>
        <w:rPr>
          <w:rFonts w:ascii="Times New Roman" w:hAnsi="Times New Roman"/>
          <w:sz w:val="20"/>
          <w:u w:val="single"/>
        </w:rPr>
        <w:t>Schedule 5.14</w:t>
      </w:r>
      <w:r>
        <w:rPr>
          <w:rFonts w:ascii="Times New Roman" w:hAnsi="Times New Roman"/>
          <w:sz w:val="20"/>
        </w:rPr>
        <w:t xml:space="preserve"> hereto (as such schedule may be supplemented or otherwise modified from time to time) and filed with the filing offices indicated on such Schedule, constitute a fully perfected Lien on, and security interest in, all right, title and interest of the grantors thereunder in such Collateral that may be perfected by filing, recording or registering a financing statement under the UCC, in each case prior and superior in right to any other Lien on any Collateral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Pledge Agreement is effective to create in favor of the Administrative Agent, for the benefit of the Secured Parties, a legal, valid and enforceable security interest in the Pledged Equity Interests and Pledged Notes (each as defined in the Pledge Agreement) identified therein, and, when such Pledged Equity Interests which are certificated securities and such Pledged Notes are delivered to the Administrative Agent (and so long as they continue to be properly held by the Administrative Agent), the Pledge Agreement shall constitute a fully perfected first priority Lien on, and security interest in, all right, title and interest of the pledgors thereunder in such Pledged Equity Interests and Pledged Notes (each as defined in the Pledge Agreement), in each case subject to no other Lien. </w:t>
      </w:r>
    </w:p>
    <w:p>
      <w:pPr>
        <w:pStyle w:val="TextBody"/>
        <w:bidi w:val="0"/>
        <w:spacing w:before="240" w:after="0"/>
        <w:jc w:val="left"/>
        <w:rPr>
          <w:rFonts w:ascii="Times New Roman" w:hAnsi="Times New Roman"/>
          <w:sz w:val="20"/>
        </w:rPr>
      </w:pPr>
      <w:r>
        <w:rPr>
          <w:rFonts w:ascii="Times New Roman" w:hAnsi="Times New Roman"/>
          <w:b/>
          <w:sz w:val="20"/>
        </w:rPr>
        <w:t>5.15</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Each of the Borrower and its Subsidiaries maintains, with financially sound and reputable insurance companies not Affiliates of the Borrower or any of its Subsidiaries, insurance (including liability insurance and casualty insurance), with respect to its properties and business against loss or damage of the kinds customarily insured against by Persons engaged in the same or similar businesses and owning similar properties in localities where the Borrower or any of its Subsidiaries operates, of such types and in such amounts, with such deductibles and covering such risks, as are customarily carried under similar circumstances by such other Persons (or otherwise required in the Collateral Documents) or with self-insurance programs in the ordinary course of business that are customary for companies in similar businesses and of similar size. </w:t>
      </w:r>
    </w:p>
    <w:p>
      <w:pPr>
        <w:pStyle w:val="TextBody"/>
        <w:bidi w:val="0"/>
        <w:spacing w:before="240" w:after="0"/>
        <w:jc w:val="left"/>
        <w:rPr>
          <w:rFonts w:ascii="Times New Roman" w:hAnsi="Times New Roman"/>
          <w:b/>
          <w:sz w:val="20"/>
        </w:rPr>
      </w:pPr>
      <w:r>
        <w:rPr>
          <w:rFonts w:ascii="Times New Roman" w:hAnsi="Times New Roman"/>
          <w:b/>
          <w:sz w:val="20"/>
        </w:rPr>
        <w:t xml:space="preserve">5.16 [Reserved]. </w:t>
      </w:r>
    </w:p>
    <w:p>
      <w:pPr>
        <w:pStyle w:val="TextBody"/>
        <w:bidi w:val="0"/>
        <w:spacing w:before="240" w:after="0"/>
        <w:jc w:val="left"/>
        <w:rPr>
          <w:rFonts w:ascii="Times New Roman" w:hAnsi="Times New Roman"/>
          <w:sz w:val="20"/>
        </w:rPr>
      </w:pPr>
      <w:r>
        <w:rPr>
          <w:rFonts w:ascii="Times New Roman" w:hAnsi="Times New Roman"/>
          <w:b/>
          <w:sz w:val="20"/>
        </w:rPr>
        <w:t>5.17</w:t>
      </w:r>
      <w:r>
        <w:rPr>
          <w:rFonts w:ascii="Times New Roman" w:hAnsi="Times New Roman"/>
          <w:sz w:val="20"/>
        </w:rPr>
        <w:t xml:space="preserve"> </w:t>
      </w:r>
      <w:r>
        <w:rPr>
          <w:rFonts w:ascii="Times New Roman" w:hAnsi="Times New Roman"/>
          <w:b/>
          <w:sz w:val="20"/>
        </w:rPr>
        <w:t xml:space="preserve">Taxes. </w:t>
      </w:r>
      <w:r>
        <w:rPr>
          <w:rFonts w:ascii="Times New Roman" w:hAnsi="Times New Roman"/>
          <w:sz w:val="20"/>
        </w:rPr>
        <w:t xml:space="preserve">Except as could not reasonably be expected to have a Material Adverse Effect, each of the Borrower and its Subsidiaries has timely filed all U.S. federal, state and other material tax returns and reports required to be filed, and have timely paid all U.S. federal, state and other material taxes, assessments, fees and other governmental charges levied or imposed upon them or their properties, income or assets otherwise due and payable, whether or not shown on any tax return, except those that are being contested in good faith by appropriate actions or proceedings reasonably conducted and for which adequate reserves have been provided in accordance with GAAP. There is no proposed tax assessment against the Borrower or any of its Subsidiaries that would, if made, have a Material Adverse Effect. As of the Closing Date, neither any Loan Party nor any Subsidiary thereof is a party to any tax sharing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5.18 ERISA Compliance. </w:t>
      </w:r>
    </w:p>
    <w:p>
      <w:pPr>
        <w:pStyle w:val="TextBody"/>
        <w:bidi w:val="0"/>
        <w:spacing w:before="240" w:after="0"/>
        <w:jc w:val="left"/>
        <w:rPr>
          <w:rFonts w:ascii="Times New Roman" w:hAnsi="Times New Roman"/>
          <w:sz w:val="20"/>
        </w:rPr>
      </w:pPr>
      <w:r>
        <w:rPr>
          <w:rFonts w:ascii="Times New Roman" w:hAnsi="Times New Roman"/>
          <w:sz w:val="20"/>
        </w:rPr>
        <w:t xml:space="preserve">(a) Except as could not reasonably be expected to have a Material Adverse Effect: (i) each Plan is in compliance in all material respects with the applicable provisions of ERISA, the Code and other Federal or state Laws; (ii) each Plan that is intended to be a qualified plan under Section 401(a) of the Code has received a favorable determination letter (or, to the extent that such Plan qualifies as a prototype or volume submitter plan, as classified by the Code, ERISA and applicable guidance promulgated thereunder, an advisory opinion letter) from the IRS to the effect that the form of such Plan is qualified or acceptable under Section 401 of the Code, or an application for such a letter is currently being processed by the IRS with respect thereto, and, to the knowledge of the Borrower, nothing has occurred which would prevent, or cause the loss of, such tax-qualified status; and (iii) each of the Borrower and its Subsidiaries and each of their respective ERISA Affiliates have made all required contributions to each Pension Plan subject to Section 412 of the Code, and no application for a funding waiver or an extension of any amortization period pursuant to Section 412 of the Code has been made with respect to any Pension Plan.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could not reasonably be expected to have a Material Adverse Effect: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due and not delinquent under Section 4007 of ERISA);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 </w:t>
      </w:r>
    </w:p>
    <w:p>
      <w:pPr>
        <w:pStyle w:val="TextBody"/>
        <w:bidi w:val="0"/>
        <w:spacing w:before="240" w:after="0"/>
        <w:jc w:val="left"/>
        <w:rPr>
          <w:rFonts w:ascii="Times New Roman" w:hAnsi="Times New Roman"/>
          <w:sz w:val="20"/>
        </w:rPr>
      </w:pPr>
      <w:r>
        <w:rPr>
          <w:rFonts w:ascii="Times New Roman" w:hAnsi="Times New Roman"/>
          <w:sz w:val="20"/>
        </w:rPr>
        <w:t xml:space="preserve">(d) Neither the Borrower or any ERISA Affiliate maintains or contributes to, or has any unsatisfied obligation to contribute to, or liability under, any active or terminated Pension Plan on the Closing Date, other than those listed on </w:t>
      </w:r>
      <w:r>
        <w:rPr>
          <w:rFonts w:ascii="Times New Roman" w:hAnsi="Times New Roman"/>
          <w:sz w:val="20"/>
          <w:u w:val="single"/>
        </w:rPr>
        <w:t>Schedule 5.18</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b/>
          <w:sz w:val="20"/>
        </w:rPr>
        <w:t>5.19</w:t>
      </w:r>
      <w:r>
        <w:rPr>
          <w:rFonts w:ascii="Times New Roman" w:hAnsi="Times New Roman"/>
          <w:sz w:val="20"/>
        </w:rPr>
        <w:t xml:space="preserve"> </w:t>
      </w:r>
      <w:r>
        <w:rPr>
          <w:rFonts w:ascii="Times New Roman" w:hAnsi="Times New Roman"/>
          <w:b/>
          <w:sz w:val="20"/>
        </w:rPr>
        <w:t xml:space="preserve">Purpose of Loans and Letters of Credit. </w:t>
      </w:r>
      <w:r>
        <w:rPr>
          <w:rFonts w:ascii="Times New Roman" w:hAnsi="Times New Roman"/>
          <w:sz w:val="20"/>
        </w:rPr>
        <w:t xml:space="preserve">The proceeds of any Loans borrowed on the Closing Date are to be used solely for the Transactions set forth in the recitals to this Agreement. The proceeds of any Revolving Credit Loans borrowed from time to time after the Closing Date are to be used to provide for working capital and for other general corporate purposes of the Borrower and its Subsidiaries not in contravention of any Laws or of any Loan Document. </w:t>
      </w:r>
    </w:p>
    <w:p>
      <w:pPr>
        <w:pStyle w:val="TextBody"/>
        <w:bidi w:val="0"/>
        <w:spacing w:before="240" w:after="0"/>
        <w:jc w:val="left"/>
        <w:rPr>
          <w:rFonts w:ascii="Times New Roman" w:hAnsi="Times New Roman"/>
          <w:sz w:val="20"/>
        </w:rPr>
      </w:pPr>
      <w:r>
        <w:rPr>
          <w:rFonts w:ascii="Times New Roman" w:hAnsi="Times New Roman"/>
          <w:b/>
          <w:sz w:val="20"/>
        </w:rPr>
        <w:t>5.20</w:t>
      </w:r>
      <w:r>
        <w:rPr>
          <w:rFonts w:ascii="Times New Roman" w:hAnsi="Times New Roman"/>
          <w:sz w:val="20"/>
        </w:rPr>
        <w:t xml:space="preserve"> </w:t>
      </w:r>
      <w:r>
        <w:rPr>
          <w:rFonts w:ascii="Times New Roman" w:hAnsi="Times New Roman"/>
          <w:b/>
          <w:sz w:val="20"/>
        </w:rPr>
        <w:t>Margin Regulations; 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None of the Borrower or any of its Subsidiaries is engaged and will engage, principally or as one of its important activities, in the business of purchasing or carrying margin stock (within the meaning of Regulation U issued by the FRB), or extending credit for the purpose of purchasing or carrying margin stock, and (ii) no proceeds of any Loans or drawings under any Letter of Credit will be used to purchase or carry any margin stock or to extend credit to others for the purpose of purchasing or carrying margin stock in violation of the provisions of Regulation U issued by the FRB. </w:t>
      </w:r>
    </w:p>
    <w:p>
      <w:pPr>
        <w:pStyle w:val="TextBody"/>
        <w:bidi w:val="0"/>
        <w:spacing w:before="240" w:after="0"/>
        <w:jc w:val="left"/>
        <w:rPr>
          <w:rFonts w:ascii="Times New Roman" w:hAnsi="Times New Roman"/>
          <w:sz w:val="20"/>
        </w:rPr>
      </w:pPr>
      <w:r>
        <w:rPr>
          <w:rFonts w:ascii="Times New Roman" w:hAnsi="Times New Roman"/>
          <w:sz w:val="20"/>
        </w:rPr>
        <w:t xml:space="preserve">(b) None of the Borrower or any of its Subsidiaries is or is required to be registered as an “investment company” under the Investment Company Act of 1940. Neither the making of the Loans, nor the issuance of the Letters of Credit or the application of the proceeds or repayment thereof by the Borrower, nor the consummation of other transactions contemplated hereunder, will violate any provision of any such Act or any rule, regulation or order of the SEC. </w:t>
      </w:r>
    </w:p>
    <w:p>
      <w:pPr>
        <w:pStyle w:val="TextBody"/>
        <w:bidi w:val="0"/>
        <w:spacing w:before="240" w:after="0"/>
        <w:jc w:val="left"/>
        <w:rPr>
          <w:rFonts w:ascii="Times New Roman" w:hAnsi="Times New Roman"/>
          <w:sz w:val="20"/>
        </w:rPr>
      </w:pPr>
      <w:r>
        <w:rPr>
          <w:rFonts w:ascii="Times New Roman" w:hAnsi="Times New Roman"/>
          <w:b/>
          <w:sz w:val="20"/>
        </w:rPr>
        <w:t>5.21</w:t>
      </w:r>
      <w:r>
        <w:rPr>
          <w:rFonts w:ascii="Times New Roman" w:hAnsi="Times New Roman"/>
          <w:sz w:val="20"/>
        </w:rPr>
        <w:t xml:space="preserve"> </w:t>
      </w:r>
      <w:r>
        <w:rPr>
          <w:rFonts w:ascii="Times New Roman" w:hAnsi="Times New Roman"/>
          <w:b/>
          <w:sz w:val="20"/>
        </w:rPr>
        <w:t xml:space="preserve">Disclosure. </w:t>
      </w:r>
      <w:r>
        <w:rPr>
          <w:rFonts w:ascii="Times New Roman" w:hAnsi="Times New Roman"/>
          <w:sz w:val="20"/>
        </w:rPr>
        <w:t xml:space="preserve">As of the Closing Date, each of the Borrower and its Subsidiaries has disclosed to the Administrative Agent and the Lenders all agreements, instruments and corporate or other restrictions to which it or any of its Subsidiaries is subject, and all other matters known to it, that, individually or in the aggregate, are material to the business of the Borrower and its Subsidiaries or could reasonably be expected to result in a Material Adverse Effect. No written report, financial statement, certificate or other information furnished by or, to the knowledge of Borrower, on behalf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of its Subsidiaries to the Administrative Agent or any Lender in connection with the transactions contemplated hereby and the negotiation of this Agreement and the other Loan Documents or delivered hereunder or thereunder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Times New Roman" w:hAnsi="Times New Roman"/>
          <w:sz w:val="20"/>
          <w:u w:val="single"/>
        </w:rPr>
        <w:t>provided</w:t>
      </w:r>
      <w:r>
        <w:rPr>
          <w:rFonts w:ascii="Times New Roman" w:hAnsi="Times New Roman"/>
          <w:sz w:val="20"/>
        </w:rPr>
        <w:t xml:space="preserve"> that with respect to projected financial information, the Borrower represents only that such information was prepared in good faith based upon assumptions believed to be reasonable at the time. </w:t>
      </w:r>
    </w:p>
    <w:p>
      <w:pPr>
        <w:pStyle w:val="TextBody"/>
        <w:bidi w:val="0"/>
        <w:spacing w:before="240" w:after="0"/>
        <w:jc w:val="left"/>
        <w:rPr>
          <w:rFonts w:ascii="Times New Roman" w:hAnsi="Times New Roman"/>
          <w:sz w:val="20"/>
        </w:rPr>
      </w:pPr>
      <w:r>
        <w:rPr>
          <w:rFonts w:ascii="Times New Roman" w:hAnsi="Times New Roman"/>
          <w:b/>
          <w:sz w:val="20"/>
        </w:rPr>
        <w:t>5.22</w:t>
      </w:r>
      <w:r>
        <w:rPr>
          <w:rFonts w:ascii="Times New Roman" w:hAnsi="Times New Roman"/>
          <w:sz w:val="20"/>
        </w:rPr>
        <w:t xml:space="preserve"> </w:t>
      </w:r>
      <w:r>
        <w:rPr>
          <w:rFonts w:ascii="Times New Roman" w:hAnsi="Times New Roman"/>
          <w:b/>
          <w:sz w:val="20"/>
        </w:rPr>
        <w:t xml:space="preserve">Compliance with Laws. </w:t>
      </w:r>
      <w:r>
        <w:rPr>
          <w:rFonts w:ascii="Times New Roman" w:hAnsi="Times New Roman"/>
          <w:sz w:val="20"/>
        </w:rPr>
        <w:t xml:space="preserve">Each of the Borrower and its Subsidiaries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actions or proceedings reasonably conducted or (b) the failure to comply therewith, either individually or in the aggregate,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5.23</w:t>
      </w:r>
      <w:r>
        <w:rPr>
          <w:rFonts w:ascii="Times New Roman" w:hAnsi="Times New Roman"/>
          <w:sz w:val="20"/>
        </w:rPr>
        <w:t xml:space="preserve"> </w:t>
      </w:r>
      <w:r>
        <w:rPr>
          <w:rFonts w:ascii="Times New Roman" w:hAnsi="Times New Roman"/>
          <w:b/>
          <w:sz w:val="20"/>
        </w:rPr>
        <w:t xml:space="preserve">Labor Matters. </w:t>
      </w:r>
      <w:r>
        <w:rPr>
          <w:rFonts w:ascii="Times New Roman" w:hAnsi="Times New Roman"/>
          <w:sz w:val="20"/>
        </w:rPr>
        <w:t xml:space="preserve">Except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There are no strikes or lockouts against the Borrower or any of its Subsidiaries pending or, to the knowledge of the Borrower, threatened. </w:t>
      </w:r>
    </w:p>
    <w:p>
      <w:pPr>
        <w:pStyle w:val="TextBody"/>
        <w:bidi w:val="0"/>
        <w:spacing w:before="120" w:after="0"/>
        <w:jc w:val="left"/>
        <w:rPr>
          <w:rFonts w:ascii="Times New Roman" w:hAnsi="Times New Roman"/>
          <w:sz w:val="20"/>
        </w:rPr>
      </w:pPr>
      <w:r>
        <w:rPr>
          <w:rFonts w:ascii="Times New Roman" w:hAnsi="Times New Roman"/>
          <w:sz w:val="20"/>
        </w:rPr>
        <w:t xml:space="preserve">(b) The hours worked by and payments made to employees of the Borrower and its Subsidiaries have not been in violation of the Fair Labor Standards Act or any other applicable federal, state, local or foreign Law dealing with such matters in any case where a Material Adverse Effect would reasonably be expected to occur as a result of the violation thereof. </w:t>
      </w:r>
    </w:p>
    <w:p>
      <w:pPr>
        <w:pStyle w:val="TextBody"/>
        <w:bidi w:val="0"/>
        <w:spacing w:before="120" w:after="0"/>
        <w:jc w:val="left"/>
        <w:rPr>
          <w:rFonts w:ascii="Times New Roman" w:hAnsi="Times New Roman"/>
          <w:sz w:val="20"/>
        </w:rPr>
      </w:pPr>
      <w:r>
        <w:rPr>
          <w:rFonts w:ascii="Times New Roman" w:hAnsi="Times New Roman"/>
          <w:sz w:val="20"/>
        </w:rPr>
        <w:t xml:space="preserve">(c) All payments due from the Borrower or any of its Subsidiaries, or for which any claim may be made against the Borrower or any of its Subsidiaries, on account of wages and employee health and welfare insurance and other benefits, have been paid or accrued as a liability on the books of the Borrower or such Subsidiary to the extent required by GAAP.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Schedule 5.23</w:t>
      </w:r>
      <w:r>
        <w:rPr>
          <w:rFonts w:ascii="Times New Roman" w:hAnsi="Times New Roman"/>
          <w:sz w:val="20"/>
        </w:rPr>
        <w:t xml:space="preserve"> none of the Borrower or any of its Subsidiaries is a party to a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Set forth on </w:t>
      </w:r>
      <w:r>
        <w:rPr>
          <w:rFonts w:ascii="Times New Roman" w:hAnsi="Times New Roman"/>
          <w:sz w:val="20"/>
          <w:u w:val="single"/>
        </w:rPr>
        <w:t>Schedule 5.23</w:t>
      </w:r>
      <w:r>
        <w:rPr>
          <w:rFonts w:ascii="Times New Roman" w:hAnsi="Times New Roman"/>
          <w:sz w:val="20"/>
        </w:rPr>
        <w:t xml:space="preserve"> is a summary of all material labor matters to the knowledge of the Borrower pending before any Governmental Authority or threatened by or against the Borrower or any of its Subsidiaries, and none of such labor matters, individually or in the aggregate,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5.24</w:t>
      </w:r>
      <w:r>
        <w:rPr>
          <w:rFonts w:ascii="Times New Roman" w:hAnsi="Times New Roman"/>
          <w:sz w:val="20"/>
        </w:rPr>
        <w:t xml:space="preserve"> </w:t>
      </w:r>
      <w:r>
        <w:rPr>
          <w:rFonts w:ascii="Times New Roman" w:hAnsi="Times New Roman"/>
          <w:b/>
          <w:sz w:val="20"/>
        </w:rPr>
        <w:t>Solvency.</w:t>
      </w:r>
      <w:r>
        <w:rPr>
          <w:rFonts w:ascii="Times New Roman" w:hAnsi="Times New Roman"/>
          <w:sz w:val="20"/>
        </w:rPr>
        <w:t xml:space="preserve"> Immediately after giving effect to the initial Credit Extension made on the Closing Date and any other transactions occurring on the Closing Date, (a) the fair value of the assets of the Borrower, individually, and the Loan Parties, taken as a whole, will exceed its or their respective debts and liabilities, subordinated, contingent or otherwise, (b) the present fair saleable value of the property of the Borrower, individually, and of the Loan Parties, taken as a whole, will be greater than the amount that will be required to pay the probable liability of its or their respective debts and other liabilities, subordinated, contingent or otherwise, as such debts and other liabilities become absolute and matured, and (c) neither the Borrower, individually, nor the Loan Parties, taken as a whole, will have unreasonably small capital with which to conduct its or their respective business in which Borrower is or the Loan Parties are engaged as such business is now conducted and is proposed to be conducted following the Closing Date. For purposes of this </w:t>
      </w:r>
      <w:r>
        <w:rPr>
          <w:rFonts w:ascii="Times New Roman" w:hAnsi="Times New Roman"/>
          <w:sz w:val="20"/>
          <w:u w:val="single"/>
        </w:rPr>
        <w:t>Section 5.24</w:t>
      </w:r>
      <w:r>
        <w:rPr>
          <w:rFonts w:ascii="Times New Roman" w:hAnsi="Times New Roman"/>
          <w:sz w:val="20"/>
        </w:rPr>
        <w:t xml:space="preserve">, the amount of any contingent liabilities of the Borrower, individually, and all the Loan Parties, taken as a whole (including liabilities in respect of litigation, guaranties and pension plans) shall be calculated as the amount that can reasonably be expected to become an actual or matured liability as determined by such Loan Party in good faith in light of all of the facts and circumstances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5.25</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5.26</w:t>
      </w:r>
      <w:r>
        <w:rPr>
          <w:rFonts w:ascii="Times New Roman" w:hAnsi="Times New Roman"/>
          <w:sz w:val="20"/>
        </w:rPr>
        <w:t xml:space="preserve"> </w:t>
      </w:r>
      <w:r>
        <w:rPr>
          <w:rFonts w:ascii="Times New Roman" w:hAnsi="Times New Roman"/>
          <w:b/>
          <w:sz w:val="20"/>
        </w:rPr>
        <w:t xml:space="preserve">Nature of Business. </w:t>
      </w:r>
      <w:r>
        <w:rPr>
          <w:rFonts w:ascii="Times New Roman" w:hAnsi="Times New Roman"/>
          <w:sz w:val="20"/>
        </w:rPr>
        <w:t xml:space="preserve">As of the Closing Date, the Borrower and its Subsidiaries, other than inactive Subsidiaries that are Excluded Subsidiaries, are engaged in the business of developing, manufacturing and marketing medical devices, implants and biomaterials for use in surgery or other medical treatment, or activities related, ancillary or complementary thereto. </w:t>
      </w:r>
    </w:p>
    <w:p>
      <w:pPr>
        <w:pStyle w:val="TextBody"/>
        <w:bidi w:val="0"/>
        <w:spacing w:before="240" w:after="0"/>
        <w:jc w:val="left"/>
        <w:rPr>
          <w:rFonts w:ascii="Times New Roman" w:hAnsi="Times New Roman"/>
          <w:sz w:val="20"/>
        </w:rPr>
      </w:pPr>
      <w:r>
        <w:rPr>
          <w:rFonts w:ascii="Times New Roman" w:hAnsi="Times New Roman"/>
          <w:b/>
          <w:sz w:val="20"/>
        </w:rPr>
        <w:t>5.27</w:t>
      </w:r>
      <w:r>
        <w:rPr>
          <w:rFonts w:ascii="Times New Roman" w:hAnsi="Times New Roman"/>
          <w:sz w:val="20"/>
        </w:rPr>
        <w:t xml:space="preserve"> </w:t>
      </w:r>
      <w:r>
        <w:rPr>
          <w:rFonts w:ascii="Times New Roman" w:hAnsi="Times New Roman"/>
          <w:b/>
          <w:sz w:val="20"/>
        </w:rPr>
        <w:t xml:space="preserve">Sanctions. </w:t>
      </w:r>
      <w:r>
        <w:rPr>
          <w:rFonts w:ascii="Times New Roman" w:hAnsi="Times New Roman"/>
          <w:sz w:val="20"/>
        </w:rPr>
        <w:t xml:space="preserve">Neither the Borrower, nor any of its Subsidiaries, nor, to the knowledge of the Borrower and its Subsidiaries, any director, officer, employee, agent, affiliate or representative thereof, is a Person that is, or is owned or is controlled by any Persons that are (a) currently the subject or target of any Sanctions, (b) included on OFAC’s List of Specially Designated Nationals or HMT’s Consolidated List of Financial Sanctions Targets, or any similar list enforced by any other relevant sanctions authority or (c)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 </w:t>
      </w:r>
    </w:p>
    <w:p>
      <w:pPr>
        <w:pStyle w:val="TextBody"/>
        <w:bidi w:val="0"/>
        <w:spacing w:before="240" w:after="0"/>
        <w:jc w:val="left"/>
        <w:rPr>
          <w:rFonts w:ascii="Times New Roman" w:hAnsi="Times New Roman"/>
          <w:sz w:val="20"/>
        </w:rPr>
      </w:pPr>
      <w:r>
        <w:rPr>
          <w:rFonts w:ascii="Times New Roman" w:hAnsi="Times New Roman"/>
          <w:b/>
          <w:sz w:val="20"/>
        </w:rPr>
        <w:t>5.28</w:t>
      </w:r>
      <w:r>
        <w:rPr>
          <w:rFonts w:ascii="Times New Roman" w:hAnsi="Times New Roman"/>
          <w:sz w:val="20"/>
        </w:rPr>
        <w:t xml:space="preserve"> </w:t>
      </w:r>
      <w:r>
        <w:rPr>
          <w:rFonts w:ascii="Times New Roman" w:hAnsi="Times New Roman"/>
          <w:b/>
          <w:sz w:val="20"/>
        </w:rPr>
        <w:t>Anti-Corruption Laws.</w:t>
      </w:r>
      <w:r>
        <w:rPr>
          <w:rFonts w:ascii="Times New Roman" w:hAnsi="Times New Roman"/>
          <w:sz w:val="20"/>
        </w:rPr>
        <w:t xml:space="preserve"> The Borrower and its Subsidiaries have conducted their businesses in compliance with the United States Foreign Corrupt Practices Act of 1977, the UK Bribery Act 2010, and other similar anti-corruption legislation in other jurisdictions, to the extent applicable to the Borrower and its Subsidiaries (“</w:t>
      </w:r>
      <w:r>
        <w:rPr>
          <w:rFonts w:ascii="Times New Roman" w:hAnsi="Times New Roman"/>
          <w:sz w:val="20"/>
          <w:u w:val="single"/>
        </w:rPr>
        <w:t>Anti-Corruption Laws</w:t>
      </w:r>
      <w:r>
        <w:rPr>
          <w:rFonts w:ascii="Times New Roman" w:hAnsi="Times New Roman"/>
          <w:sz w:val="20"/>
        </w:rPr>
        <w:t xml:space="preserve">”), in all material respects and have instituted and maintained policies and procedures designed to promote and achieve compliance with such laws. No part of the proceeds of any Credit Extension will be used for any payments to any government official or employee, political party, official of a political party, candidate for political office, or anyone else acting in an official capacity, in order to obtain, retain or direct business or obtain any improper advantage, in violation of any Anti-Corruptions Laws. </w:t>
      </w:r>
    </w:p>
    <w:p>
      <w:pPr>
        <w:pStyle w:val="TextBody"/>
        <w:bidi w:val="0"/>
        <w:spacing w:before="240" w:after="0"/>
        <w:jc w:val="left"/>
        <w:rPr>
          <w:rFonts w:ascii="Times New Roman" w:hAnsi="Times New Roman"/>
          <w:sz w:val="20"/>
        </w:rPr>
      </w:pPr>
      <w:r>
        <w:rPr>
          <w:rFonts w:ascii="Times New Roman" w:hAnsi="Times New Roman"/>
          <w:b/>
          <w:sz w:val="20"/>
        </w:rPr>
        <w:t>5.29</w:t>
      </w:r>
      <w:r>
        <w:rPr>
          <w:rFonts w:ascii="Times New Roman" w:hAnsi="Times New Roman"/>
          <w:sz w:val="20"/>
        </w:rPr>
        <w:t xml:space="preserve"> </w:t>
      </w:r>
      <w:r>
        <w:rPr>
          <w:rFonts w:ascii="Times New Roman" w:hAnsi="Times New Roman"/>
          <w:b/>
          <w:sz w:val="20"/>
        </w:rPr>
        <w:t>Affected Financial Institutions</w:t>
      </w:r>
      <w:r>
        <w:rPr>
          <w:rFonts w:ascii="Times New Roman" w:hAnsi="Times New Roman"/>
          <w:sz w:val="20"/>
        </w:rPr>
        <w:t xml:space="preserve">. No Loan Party is an Affected Financial Institution. </w:t>
      </w:r>
    </w:p>
    <w:p>
      <w:pPr>
        <w:pStyle w:val="TextBody"/>
        <w:bidi w:val="0"/>
        <w:spacing w:before="240" w:after="0"/>
        <w:jc w:val="left"/>
        <w:rPr>
          <w:rFonts w:ascii="Times New Roman" w:hAnsi="Times New Roman"/>
          <w:sz w:val="20"/>
        </w:rPr>
      </w:pPr>
      <w:r>
        <w:rPr>
          <w:rFonts w:ascii="Times New Roman" w:hAnsi="Times New Roman"/>
          <w:b/>
          <w:sz w:val="20"/>
        </w:rPr>
        <w:t>5.30</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The use of proceeds on the Closing Date will not violate OFAC, the Foreign Corrupt Practices Act of 1977 or any applicable anti-money laundering rules and regulations. </w:t>
      </w:r>
    </w:p>
    <w:p>
      <w:pPr>
        <w:pStyle w:val="TextBody"/>
        <w:bidi w:val="0"/>
        <w:spacing w:before="240" w:after="0"/>
        <w:jc w:val="left"/>
        <w:rPr>
          <w:rFonts w:ascii="Times New Roman" w:hAnsi="Times New Roman"/>
          <w:sz w:val="20"/>
        </w:rPr>
      </w:pPr>
      <w:r>
        <w:rPr>
          <w:rFonts w:ascii="Times New Roman" w:hAnsi="Times New Roman"/>
          <w:b/>
          <w:sz w:val="20"/>
        </w:rPr>
        <w:t>5.31</w:t>
      </w:r>
      <w:r>
        <w:rPr>
          <w:rFonts w:ascii="Times New Roman" w:hAnsi="Times New Roman"/>
          <w:sz w:val="20"/>
        </w:rPr>
        <w:t xml:space="preserve"> </w:t>
      </w:r>
      <w:r>
        <w:rPr>
          <w:rFonts w:ascii="Times New Roman" w:hAnsi="Times New Roman"/>
          <w:b/>
          <w:sz w:val="20"/>
        </w:rPr>
        <w:t>USA PATRIOT Act; Beneficial Ownership Certification</w:t>
      </w:r>
      <w:r>
        <w:rPr>
          <w:rFonts w:ascii="Times New Roman" w:hAnsi="Times New Roman"/>
          <w:sz w:val="20"/>
        </w:rPr>
        <w:t xml:space="preserve">. To the extent applicable, each of the Borrower and its Subsidiaries is in compliance, in all material respects, with the USA PATRIOT Act. As of the Closing Date, the information included in the Beneficial Ownership Certification, if applicable, is true and correct in all respects. </w:t>
      </w:r>
    </w:p>
    <w:p>
      <w:pPr>
        <w:pStyle w:val="TextBody"/>
        <w:bidi w:val="0"/>
        <w:spacing w:before="240" w:after="0"/>
        <w:jc w:val="left"/>
        <w:rPr>
          <w:rFonts w:ascii="Times New Roman" w:hAnsi="Times New Roman"/>
          <w:sz w:val="20"/>
        </w:rPr>
      </w:pPr>
      <w:r>
        <w:rPr>
          <w:rFonts w:ascii="Times New Roman" w:hAnsi="Times New Roman"/>
          <w:b/>
          <w:sz w:val="20"/>
        </w:rPr>
        <w:t>5.32</w:t>
      </w:r>
      <w:r>
        <w:rPr>
          <w:rFonts w:ascii="Times New Roman" w:hAnsi="Times New Roman"/>
          <w:sz w:val="20"/>
        </w:rPr>
        <w:t xml:space="preserve"> </w:t>
      </w:r>
      <w:r>
        <w:rPr>
          <w:rFonts w:ascii="Times New Roman" w:hAnsi="Times New Roman"/>
          <w:b/>
          <w:sz w:val="20"/>
        </w:rPr>
        <w:t>Outbound Investment Rules</w:t>
      </w:r>
      <w:r>
        <w:rPr>
          <w:rFonts w:ascii="Times New Roman" w:hAnsi="Times New Roman"/>
          <w:sz w:val="20"/>
        </w:rPr>
        <w:t xml:space="preserve">. Neither the Borrower nor any of its Subsidiaries is a “covered foreign person” as that term is used in the Outbound Investment Rules. No Loan Party currently engages, or has any present intention to engage in the future, directly or indirectly, in any activity that would cause the Administrative Agent or Lenders to be in violation of the Outbound Investment Rules or cause the Administrative Agent or Lenders to be legally prohibited by the Outbound Investment Rules from performing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Lender shall have any Commitment hereunder, any Loan or other Obligation (other than contingent indemnification obligations and obligations and liabilities under Secured Cash Management Services Agreements and Secured Swap Contracts) hereunder shall remain unpaid or unsatisfied, or any Letter of Credit shall remain outstanding (other than Letters of Credit which have been Cash Collateralized in at least the Minimum Collateral Amount), the Borrower shall, and shall (except in the case of the covenants set forth in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and </w:t>
      </w:r>
      <w:r>
        <w:rPr>
          <w:rFonts w:ascii="Times New Roman" w:hAnsi="Times New Roman"/>
          <w:sz w:val="20"/>
          <w:u w:val="single"/>
        </w:rPr>
        <w:t>6.14</w:t>
      </w:r>
      <w:r>
        <w:rPr>
          <w:rFonts w:ascii="Times New Roman" w:hAnsi="Times New Roman"/>
          <w:sz w:val="20"/>
        </w:rPr>
        <w:t xml:space="preserve">) cause each Subsidiary to: </w:t>
      </w:r>
    </w:p>
    <w:p>
      <w:pPr>
        <w:pStyle w:val="TextBody"/>
        <w:bidi w:val="0"/>
        <w:spacing w:before="120" w:after="0"/>
        <w:jc w:val="left"/>
        <w:rPr>
          <w:rFonts w:ascii="Times New Roman" w:hAnsi="Times New Roman"/>
          <w:sz w:val="20"/>
        </w:rPr>
      </w:pPr>
      <w:r>
        <w:rPr>
          <w:rFonts w:ascii="Times New Roman" w:hAnsi="Times New Roman"/>
          <w:b/>
          <w:sz w:val="20"/>
        </w:rPr>
        <w:t>6.01</w:t>
      </w:r>
      <w:r>
        <w:rPr>
          <w:rFonts w:ascii="Times New Roman" w:hAnsi="Times New Roman"/>
          <w:sz w:val="20"/>
        </w:rPr>
        <w:t xml:space="preserve"> </w:t>
      </w:r>
      <w:r>
        <w:rPr>
          <w:rFonts w:ascii="Times New Roman" w:hAnsi="Times New Roman"/>
          <w:b/>
          <w:sz w:val="20"/>
        </w:rPr>
        <w:t>Financial Statements.</w:t>
      </w:r>
      <w:r>
        <w:rPr>
          <w:rFonts w:ascii="Times New Roman" w:hAnsi="Times New Roman"/>
          <w:sz w:val="20"/>
        </w:rPr>
        <w:t xml:space="preserve"> Deliver to the Administrative Agent (for further distribution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but in any event within one hundred (100) days after the end of each fiscal year thereafter of the Borrower and its Consolidated Subsidiaries (or, if earlier, the date that is five (5) days after the reporting date for such information required by the SEC, including after giving effect to any extension pursuant to Rule 12b-25 of the Securities Exchange Act of 1934), commencing with the fiscal year ended December 31, 2026, a consolidated (but not consolidating) balance sheet of the Borrower and its Consolidated Subsidiaries as at the end of such fiscal year, and the respective related consolidated (but not consolidating) statements of income or operations, shareholders’ equity and cash flows for such fiscal year, setting forth in each case in comparative form the figures for the previous fiscal year, all in reasonable detail and prepared in accordance with GAAP, such consolidated balance sheet and statements to be audited and accompanied by (i) a report and opinion of a Registered Public Accounting Firm of nationally recognized standing, which report and opinion shall be prepared in accordance with generally accepted auditing standards and applicable Securities Laws and shall not be subject to any “going concern” or like qualification or exception (except to the extent relating to impending debt maturities occurring within 12 months of such audit) or any qualification or exception as to the scope of such audit and (ii) if required by applicable law, an attestation report of such Registered Public Accounting Firm as to the Borrower’s internal controls pursuant to Section 404 of Sarbanes-Oxley; and </w:t>
      </w:r>
    </w:p>
    <w:p>
      <w:pPr>
        <w:pStyle w:val="TextBody"/>
        <w:bidi w:val="0"/>
        <w:spacing w:before="120" w:after="0"/>
        <w:jc w:val="left"/>
        <w:rPr>
          <w:rFonts w:ascii="Times New Roman" w:hAnsi="Times New Roman"/>
          <w:sz w:val="20"/>
        </w:rPr>
      </w:pPr>
      <w:r>
        <w:rPr>
          <w:rFonts w:ascii="Times New Roman" w:hAnsi="Times New Roman"/>
          <w:sz w:val="20"/>
        </w:rPr>
        <w:t xml:space="preserve">(b) as soon as available, but in any event within fifty-five (55) days after the end of each of the first three fiscal quarters of each fiscal year of the Borrower and its Consolidated Subsidiaries (or, if earlier, the date that is five (5) days after the reporting date for such information required by the SEC, including after giving effect to any extension pursuant to Rule 12b-25 of the Securities Exchange Act of 1934), commencing with the fiscal quarter ending March 31, 2027, a consolidated (but not consolidating) balance sheet of the Borrower and its Consolidated Subsidiaries as at the end of such fiscal quarter, and the related consolidated (but not consolidating) statements of income or operations for such fiscal quarter and the portion of such fiscal year then ended, as well as shareholders’ equity and cash flows for the portion of such fiscal year then ended, setting forth in comparative form the figures for the corresponding fiscal quarter of the previous fiscal year and the corresponding portion of the previous fiscal year, as the case may be, or in the case of the balance sheet, the end of the previous fiscal year, all in reasonable detail, such consolidated balance sheet and statements to be certified by a Responsible Officer of the Borrower as fairly presenting the financial condition, results of operations, shareholders’ equity and cash flows of the Borrower and its Consolidated Subsidiaries on a consolidated (but not consolidating) basis in accordance with GAAP, subject only to normal year-end audit adjustments, formatting requirements, and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required to be delivered pursuant to Section 6.01(a) or 6.01(b) (or, to the extent expressly incorporated by reference in the Borrower’s Annual Report on Form 10-K or Quarterly Report on Form 10-Q, Section 6.02(d)) shall be deemed to have been delivered to the Administrative Agent and each Lender on the date on which the Borrower has filed such documents with the SEC and such documents are publicly available on the SEC’s EDGAR system (or any successor system), without any requirement of separate transmission or posting; provided that the Borrower shall provide notice to the Administrative Agent (which may be by email) of the filing thereof. </w:t>
      </w:r>
    </w:p>
    <w:p>
      <w:pPr>
        <w:pStyle w:val="TextBody"/>
        <w:bidi w:val="0"/>
        <w:spacing w:before="240" w:after="0"/>
        <w:jc w:val="left"/>
        <w:rPr>
          <w:rFonts w:ascii="Times New Roman" w:hAnsi="Times New Roman"/>
          <w:sz w:val="20"/>
        </w:rPr>
      </w:pPr>
      <w:r>
        <w:rPr>
          <w:rFonts w:ascii="Times New Roman" w:hAnsi="Times New Roman"/>
          <w:b/>
          <w:sz w:val="20"/>
        </w:rPr>
        <w:t>6.02</w:t>
      </w:r>
      <w:r>
        <w:rPr>
          <w:rFonts w:ascii="Times New Roman" w:hAnsi="Times New Roman"/>
          <w:sz w:val="20"/>
        </w:rPr>
        <w:t xml:space="preserve"> </w:t>
      </w:r>
      <w:r>
        <w:rPr>
          <w:rFonts w:ascii="Times New Roman" w:hAnsi="Times New Roman"/>
          <w:b/>
          <w:sz w:val="20"/>
        </w:rPr>
        <w:t>Certificates; Other Information.</w:t>
      </w:r>
      <w:r>
        <w:rPr>
          <w:rFonts w:ascii="Times New Roman" w:hAnsi="Times New Roman"/>
          <w:sz w:val="20"/>
        </w:rPr>
        <w:t xml:space="preserve"> Deliver to the Administrative Agent (for further distribution to each Lender), in form and detail reasonably satisfactory to the Administrative Agent (in consultation with the Lenders):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(b) within five (5) Business Days of the delivery of the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a duly completed Compliance Certificate signed by a Responsible Officer of the Borrower. In connection with the delivery by the Borrower of each Compliance Certificate pursuant to this </w:t>
      </w:r>
      <w:r>
        <w:rPr>
          <w:rFonts w:ascii="Times New Roman" w:hAnsi="Times New Roman"/>
          <w:sz w:val="20"/>
          <w:u w:val="single"/>
        </w:rPr>
        <w:t>Section 6.02(b)</w:t>
      </w:r>
      <w:r>
        <w:rPr>
          <w:rFonts w:ascii="Times New Roman" w:hAnsi="Times New Roman"/>
          <w:sz w:val="20"/>
        </w:rPr>
        <w:t xml:space="preserve">, the Borrower shall deliver to the Administrative Agent supplements to </w:t>
      </w:r>
      <w:r>
        <w:rPr>
          <w:rFonts w:ascii="Times New Roman" w:hAnsi="Times New Roman"/>
          <w:sz w:val="20"/>
          <w:u w:val="single"/>
        </w:rPr>
        <w:t>Schedules 5.03</w:t>
      </w:r>
      <w:r>
        <w:rPr>
          <w:rFonts w:ascii="Times New Roman" w:hAnsi="Times New Roman"/>
          <w:sz w:val="20"/>
        </w:rPr>
        <w:t xml:space="preserve">, </w:t>
      </w:r>
      <w:r>
        <w:rPr>
          <w:rFonts w:ascii="Times New Roman" w:hAnsi="Times New Roman"/>
          <w:sz w:val="20"/>
          <w:u w:val="single"/>
        </w:rPr>
        <w:t>5.08</w:t>
      </w:r>
      <w:r>
        <w:rPr>
          <w:rFonts w:ascii="Times New Roman" w:hAnsi="Times New Roman"/>
          <w:sz w:val="20"/>
        </w:rPr>
        <w:t xml:space="preserve">, </w:t>
      </w:r>
      <w:r>
        <w:rPr>
          <w:rFonts w:ascii="Times New Roman" w:hAnsi="Times New Roman"/>
          <w:sz w:val="20"/>
          <w:u w:val="single"/>
        </w:rPr>
        <w:t>5.14</w:t>
      </w:r>
      <w:r>
        <w:rPr>
          <w:rFonts w:ascii="Times New Roman" w:hAnsi="Times New Roman"/>
          <w:sz w:val="20"/>
        </w:rPr>
        <w:t xml:space="preserve"> and </w:t>
      </w:r>
      <w:r>
        <w:rPr>
          <w:rFonts w:ascii="Times New Roman" w:hAnsi="Times New Roman"/>
          <w:sz w:val="20"/>
          <w:u w:val="single"/>
        </w:rPr>
        <w:t>5.23</w:t>
      </w:r>
      <w:r>
        <w:rPr>
          <w:rFonts w:ascii="Times New Roman" w:hAnsi="Times New Roman"/>
          <w:sz w:val="20"/>
        </w:rPr>
        <w:t xml:space="preserve"> and the supplements required by Section 4.14 of the Security Agreement and Section 4.1(b) of the Pledge Agreement, together with a statement of a Responsible Officer executing the Compliance Certificate, certifying that, as of the date thereof, after giving effect to the supplements to such Schedules and such report delivered therewith, the representations and warranties in </w:t>
      </w:r>
      <w:r>
        <w:rPr>
          <w:rFonts w:ascii="Times New Roman" w:hAnsi="Times New Roman"/>
          <w:sz w:val="20"/>
          <w:u w:val="single"/>
        </w:rPr>
        <w:t>ARTICLE V</w:t>
      </w:r>
      <w:r>
        <w:rPr>
          <w:rFonts w:ascii="Times New Roman" w:hAnsi="Times New Roman"/>
          <w:sz w:val="20"/>
        </w:rPr>
        <w:t xml:space="preserve"> hereof are true and correct in all material respects, except those representations and warranties made as of a date certain which remain true and correct in all material respects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(c)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(d) promptly after the same are available to the public, (i) copies of management discussion and analysis in relationship to the financial statements delivered pursuant to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(ii) copies of each annual report, proxy or financial statement or other report or communication sent to the stockholders of the Borrower or any of its Subsidiaries, and copies of all annual, regular, periodic and special reports and registration statements which the Borrower or any of its Subsidiaries may file or be required to file with the SEC under Section 13 or 15(d) of the Securities Exchange Act of 1934, and not otherwise required to be delivered to the Administrative Agent pursuant hereto, and (iii) upon the request of the Administrative Agent, all written reports and information concerning material matters to and from the United States Environmental Protection Agency, or any state or local agency responsible for environmental matters, the United States Occupational Health and Safety Administration, or any state or local agency responsible for health and safety matters, or any successor or other agencies or authorities concerning environmental, health or safety matters; </w:t>
      </w:r>
    </w:p>
    <w:p>
      <w:pPr>
        <w:pStyle w:val="TextBody"/>
        <w:bidi w:val="0"/>
        <w:spacing w:before="120" w:after="0"/>
        <w:jc w:val="left"/>
        <w:rPr>
          <w:rFonts w:ascii="Times New Roman" w:hAnsi="Times New Roman"/>
          <w:sz w:val="20"/>
        </w:rPr>
      </w:pPr>
      <w:r>
        <w:rPr>
          <w:rFonts w:ascii="Times New Roman" w:hAnsi="Times New Roman"/>
          <w:sz w:val="20"/>
        </w:rPr>
        <w:t xml:space="preserve">(e) within forty-five (45) days following the end of each fiscal year of the Borrower, commencing with the fiscal year ended December 31, 2026, an annual consolidated business plan and forecasts and budget of the Borrower and its Subsidiaries containing, among other things, summary pro forma financial information for the next fiscal year with respect to each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(f)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promptly, such additional information regarding the business, financial or corporate affairs of the Borrower or any of its Subsidiaries, or compliance with the terms of the Loan Documents, as the Administrative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6.01(a)</w:t>
      </w:r>
      <w:r>
        <w:rPr>
          <w:rFonts w:ascii="Times New Roman" w:hAnsi="Times New Roman"/>
          <w:sz w:val="20"/>
        </w:rPr>
        <w:t xml:space="preserve">, </w:t>
      </w:r>
      <w:r>
        <w:rPr>
          <w:rFonts w:ascii="Times New Roman" w:hAnsi="Times New Roman"/>
          <w:sz w:val="20"/>
          <w:u w:val="single"/>
        </w:rPr>
        <w:t>Section 6.01(b)</w:t>
      </w:r>
      <w:r>
        <w:rPr>
          <w:rFonts w:ascii="Times New Roman" w:hAnsi="Times New Roman"/>
          <w:sz w:val="20"/>
        </w:rPr>
        <w:t xml:space="preserve"> or </w:t>
      </w:r>
      <w:r>
        <w:rPr>
          <w:rFonts w:ascii="Times New Roman" w:hAnsi="Times New Roman"/>
          <w:sz w:val="20"/>
          <w:u w:val="single"/>
        </w:rPr>
        <w:t>Section 6.02(d)</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w:t>
        <w:br/>
      </w:r>
      <w:r>
        <w:rPr>
          <w:rFonts w:ascii="Times New Roman" w:hAnsi="Times New Roman"/>
          <w:sz w:val="20"/>
          <w:u w:val="single"/>
        </w:rPr>
        <w:t>Schedule 10.02</w:t>
      </w:r>
      <w:r>
        <w:rPr>
          <w:rFonts w:ascii="Times New Roman" w:hAnsi="Times New Roman"/>
          <w:sz w:val="20"/>
        </w:rPr>
        <w:t xml:space="preserve">; (ii) on which such documents are posted on the Borrower’s behalf on an Internet or intranet website, if any, to which each Lender, each L/C Issuer and the Administrative Agent have access (whether a commercial, third-party website or whether sponsored by the Administrative Agent); or (iii) on which such documents are publicly available on the SEC’s EDGAR system (or any successor system); </w:t>
      </w:r>
      <w:r>
        <w:rPr>
          <w:rFonts w:ascii="Times New Roman" w:hAnsi="Times New Roman"/>
          <w:sz w:val="20"/>
          <w:u w:val="single"/>
        </w:rPr>
        <w:t>provided</w:t>
      </w:r>
      <w:r>
        <w:rPr>
          <w:rFonts w:ascii="Times New Roman" w:hAnsi="Times New Roman"/>
          <w:sz w:val="20"/>
        </w:rPr>
        <w:t xml:space="preserve"> that, (i) the Borrower shall deliver paper copies of such documents to the Administrative Agent, any L/C Issuer or any Lender upon receipt by Borrower of a written request from the Administrative Agent, such L/C Issuer or such Lender (provided that no such paper copies shall be required for any documents that are publicly available on the SEC’s EDGAR system (or any successor system)), and (ii) the Borrower shall notify the Administrative Agent, each L/C Issuer and each Lender (by telecopier or electronic mail) of the posting or filing of any such documents and provide to the Administrative Agent by electronic mail electronic versions (</w:t>
      </w:r>
      <w:r>
        <w:rPr>
          <w:rFonts w:ascii="Times New Roman" w:hAnsi="Times New Roman"/>
          <w:sz w:val="20"/>
          <w:u w:val="single"/>
        </w:rPr>
        <w:t>i.e.</w:t>
      </w:r>
      <w:r>
        <w:rPr>
          <w:rFonts w:ascii="Times New Roman" w:hAnsi="Times New Roman"/>
          <w:sz w:val="20"/>
        </w:rPr>
        <w:t xml:space="preserve">, soft copies)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The Borrower hereby acknowledges that (a) the Administrative Agent and/or the Arrangers will make available to the Lenders and the L/C Issuers materials and/or information provided by or on behalf of the Borrower hereunder (collectively, “</w:t>
      </w:r>
      <w:r>
        <w:rPr>
          <w:rFonts w:ascii="Times New Roman" w:hAnsi="Times New Roman"/>
          <w:sz w:val="20"/>
          <w:u w:val="single"/>
        </w:rPr>
        <w:t>Borrower Materials</w:t>
      </w:r>
      <w:r>
        <w:rPr>
          <w:rFonts w:ascii="Times New Roman" w:hAnsi="Times New Roman"/>
          <w:sz w:val="20"/>
        </w:rPr>
        <w:t>”) by posting the Borrower Materials on IntraLinks or another similar electronic system (the “</w:t>
      </w:r>
      <w:r>
        <w:rPr>
          <w:rFonts w:ascii="Times New Roman" w:hAnsi="Times New Roman"/>
          <w:sz w:val="20"/>
          <w:u w:val="single"/>
        </w:rPr>
        <w:t>Platform</w:t>
      </w:r>
      <w:r>
        <w:rPr>
          <w:rFonts w:ascii="Times New Roman" w:hAnsi="Times New Roman"/>
          <w:sz w:val="20"/>
        </w:rPr>
        <w:t>”) and (b) certain of the Lenders may be “public-side” Lenders (</w:t>
      </w:r>
      <w:r>
        <w:rPr>
          <w:rFonts w:ascii="Times New Roman" w:hAnsi="Times New Roman"/>
          <w:sz w:val="20"/>
          <w:u w:val="single"/>
        </w:rPr>
        <w:t>i.e.</w:t>
      </w:r>
      <w:r>
        <w:rPr>
          <w:rFonts w:ascii="Times New Roman" w:hAnsi="Times New Roman"/>
          <w:sz w:val="20"/>
        </w:rPr>
        <w:t>, Lenders that do not wish to receive material non-public information with respect to the Borrower or its securities) (each, a “</w:t>
      </w:r>
      <w:r>
        <w:rPr>
          <w:rFonts w:ascii="Times New Roman" w:hAnsi="Times New Roman"/>
          <w:sz w:val="20"/>
          <w:u w:val="single"/>
        </w:rPr>
        <w:t>Public Lender</w:t>
      </w:r>
      <w:r>
        <w:rPr>
          <w:rFonts w:ascii="Times New Roman" w:hAnsi="Times New Roman"/>
          <w:sz w:val="20"/>
        </w:rPr>
        <w:t>”). The Borrower hereby agrees that (i) all Borrower Materials that are to be made available to Public Lenders shall be clearly and conspicuously marked “PUBLIC” which, at a minimum, shall mean that the word “PUBLIC” shall appear prominently on the first page thereof; (ii) by marking Borrower Materials “PUBLIC,” the Borrower shall be deemed to have authorized the Administrative Agent, the Arrangers, the L/C Issuers and the Lenders to treat the Borrower Materials as not containing any material non-public information (although it may be sensitive and proprietary) with respect to the Borrower or its securities for purposes of United States Federal and state securities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the Borrower Materials constitute Information, they shall be treated as set forth in </w:t>
      </w:r>
      <w:r>
        <w:rPr>
          <w:rFonts w:ascii="Times New Roman" w:hAnsi="Times New Roman"/>
          <w:sz w:val="20"/>
          <w:u w:val="single"/>
        </w:rPr>
        <w:t>Section 10.07</w:t>
      </w:r>
      <w:r>
        <w:rPr>
          <w:rFonts w:ascii="Times New Roman" w:hAnsi="Times New Roman"/>
          <w:sz w:val="20"/>
        </w:rPr>
        <w:t xml:space="preserve">); (iii) all Borrower Materials marked “PUBLIC” are permitted to be made available through a portion of the Platform designated “Public Side Information;” and (iv)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p>
    <w:p>
      <w:pPr>
        <w:pStyle w:val="TextBody"/>
        <w:bidi w:val="0"/>
        <w:spacing w:before="240" w:after="0"/>
        <w:jc w:val="left"/>
        <w:rPr>
          <w:rFonts w:ascii="Times New Roman" w:hAnsi="Times New Roman"/>
          <w:sz w:val="20"/>
        </w:rPr>
      </w:pPr>
      <w:r>
        <w:rPr>
          <w:rFonts w:ascii="Times New Roman" w:hAnsi="Times New Roman"/>
          <w:b/>
          <w:sz w:val="20"/>
        </w:rPr>
        <w:t>6.03</w:t>
      </w:r>
      <w:r>
        <w:rPr>
          <w:rFonts w:ascii="Times New Roman" w:hAnsi="Times New Roman"/>
          <w:sz w:val="20"/>
        </w:rPr>
        <w:t xml:space="preserve"> </w:t>
      </w:r>
      <w:r>
        <w:rPr>
          <w:rFonts w:ascii="Times New Roman" w:hAnsi="Times New Roman"/>
          <w:b/>
          <w:sz w:val="20"/>
        </w:rPr>
        <w:t xml:space="preserve">Notices. </w:t>
      </w:r>
      <w:r>
        <w:rPr>
          <w:rFonts w:ascii="Times New Roman" w:hAnsi="Times New Roman"/>
          <w:sz w:val="20"/>
        </w:rPr>
        <w:t xml:space="preserve">Promptly notify the Administrative Agent upon knowledge of an Executive Officer of any Loan Party: </w:t>
      </w:r>
    </w:p>
    <w:p>
      <w:pPr>
        <w:pStyle w:val="TextBody"/>
        <w:bidi w:val="0"/>
        <w:spacing w:before="120" w:after="0"/>
        <w:jc w:val="left"/>
        <w:rPr>
          <w:rFonts w:ascii="Times New Roman" w:hAnsi="Times New Roman"/>
          <w:sz w:val="20"/>
        </w:rPr>
      </w:pPr>
      <w:r>
        <w:rPr>
          <w:rFonts w:ascii="Times New Roman" w:hAnsi="Times New Roman"/>
          <w:sz w:val="20"/>
        </w:rPr>
        <w:t xml:space="preserve">(a) of the occurrence of any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of any matter that has resulted or could reasonably be expected to result in a Material Adverse Effect, including (i) any dispute, action, litigation, investigation, proceeding or suspension between the Borrower or any of its Subsidiaries and any Governmental Authority, or (ii) the commencement of, or any material development in, any action, litigation, investigation or proceeding affecting the Borrower or any of its Subsidiaries, including pursuant to any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(c) of the occurrence of any ERISA Event that, alone or together with any other ERISA Events that have occurred, could reasonably be expected to result in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(d) of any material change in accounting policies or financial reporting practices by any Loan Party that are not generally applicable to other companies (other than certain updated schedules and other currently delivered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this </w:t>
      </w:r>
      <w:r>
        <w:rPr>
          <w:rFonts w:ascii="Times New Roman" w:hAnsi="Times New Roman"/>
          <w:sz w:val="20"/>
          <w:u w:val="single"/>
        </w:rPr>
        <w:t>Section 6.03</w:t>
      </w:r>
      <w:r>
        <w:rPr>
          <w:rFonts w:ascii="Times New Roman" w:hAnsi="Times New Roman"/>
          <w:sz w:val="20"/>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hAnsi="Times New Roman"/>
          <w:sz w:val="20"/>
          <w:u w:val="single"/>
        </w:rPr>
        <w:t>Section 6.03(a)</w:t>
      </w:r>
      <w:r>
        <w:rPr>
          <w:rFonts w:ascii="Times New Roman" w:hAnsi="Times New Roman"/>
          <w:sz w:val="20"/>
        </w:rPr>
        <w:t xml:space="preserve"> shall describe with particularity any and all provisions of this Agreement and any other Loan Document that have been breached. </w:t>
      </w:r>
    </w:p>
    <w:p>
      <w:pPr>
        <w:pStyle w:val="TextBody"/>
        <w:bidi w:val="0"/>
        <w:spacing w:before="240" w:after="0"/>
        <w:jc w:val="left"/>
        <w:rPr>
          <w:rFonts w:ascii="Times New Roman" w:hAnsi="Times New Roman"/>
          <w:sz w:val="20"/>
        </w:rPr>
      </w:pPr>
      <w:r>
        <w:rPr>
          <w:rFonts w:ascii="Times New Roman" w:hAnsi="Times New Roman"/>
          <w:b/>
          <w:sz w:val="20"/>
        </w:rPr>
        <w:t>6.04</w:t>
      </w:r>
      <w:r>
        <w:rPr>
          <w:rFonts w:ascii="Times New Roman" w:hAnsi="Times New Roman"/>
          <w:sz w:val="20"/>
        </w:rPr>
        <w:t xml:space="preserve"> </w:t>
      </w:r>
      <w:r>
        <w:rPr>
          <w:rFonts w:ascii="Times New Roman" w:hAnsi="Times New Roman"/>
          <w:b/>
          <w:sz w:val="20"/>
        </w:rPr>
        <w:t>Payment of Obligations.</w:t>
      </w:r>
      <w:r>
        <w:rPr>
          <w:rFonts w:ascii="Times New Roman" w:hAnsi="Times New Roman"/>
          <w:sz w:val="20"/>
        </w:rPr>
        <w:t xml:space="preserve"> Pay and discharge, as the same shall become due and payable, all its obligations and liabilities, including (a) all Federal, state and other tax liabilities, fees, assessments and governmental charges or levies upon it or its properties or assets, unless the same are being contested in good faith by appropriate actions or proceedings reasonably conducted and adequate reserves in accordance with GAAP are being maintained by the Borrower or such Subsidiary, (b) all lawful claims which, if unpaid, would by Law become a Lien (other than a Permitted Lien) upon its property, and (c) all Indebtedness (other than Indebtedness the non-payment of which would not result in an Event of Default under </w:t>
      </w:r>
      <w:r>
        <w:rPr>
          <w:rFonts w:ascii="Times New Roman" w:hAnsi="Times New Roman"/>
          <w:sz w:val="20"/>
          <w:u w:val="single"/>
        </w:rPr>
        <w:t>Section 8.01(e)</w:t>
      </w:r>
      <w:r>
        <w:rPr>
          <w:rFonts w:ascii="Times New Roman" w:hAnsi="Times New Roman"/>
          <w:sz w:val="20"/>
        </w:rPr>
        <w:t xml:space="preserve">), as and when due and payable, but subject to any subordination provisions contained in any instrument or agreement evidencing such Indebtedness, except, in each case of this </w:t>
      </w:r>
      <w:r>
        <w:rPr>
          <w:rFonts w:ascii="Times New Roman" w:hAnsi="Times New Roman"/>
          <w:sz w:val="20"/>
          <w:u w:val="single"/>
        </w:rPr>
        <w:t>Section 6.04</w:t>
      </w:r>
      <w:r>
        <w:rPr>
          <w:rFonts w:ascii="Times New Roman" w:hAnsi="Times New Roman"/>
          <w:sz w:val="20"/>
        </w:rPr>
        <w:t xml:space="preserve">, where the failure to do so, which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6.05</w:t>
      </w:r>
      <w:r>
        <w:rPr>
          <w:rFonts w:ascii="Times New Roman" w:hAnsi="Times New Roman"/>
          <w:sz w:val="20"/>
        </w:rPr>
        <w:t xml:space="preserve"> </w:t>
      </w:r>
      <w:r>
        <w:rPr>
          <w:rFonts w:ascii="Times New Roman" w:hAnsi="Times New Roman"/>
          <w:b/>
          <w:sz w:val="20"/>
        </w:rPr>
        <w:t xml:space="preserve">Preservation of Existence, Etc. </w:t>
      </w:r>
      <w:r>
        <w:rPr>
          <w:rFonts w:ascii="Times New Roman" w:hAnsi="Times New Roman"/>
          <w:sz w:val="20"/>
        </w:rPr>
        <w:t xml:space="preserve">(a) Preserve, renew and maintain, in full force and effect its legal existence, legal structure, legal name and good standing under the Laws of the jurisdiction of its incorporation or organization, except in a transaction permitted by </w:t>
      </w:r>
      <w:r>
        <w:rPr>
          <w:rFonts w:ascii="Times New Roman" w:hAnsi="Times New Roman"/>
          <w:sz w:val="20"/>
          <w:u w:val="single"/>
        </w:rPr>
        <w:t>Section 7.04</w:t>
      </w:r>
      <w:r>
        <w:rPr>
          <w:rFonts w:ascii="Times New Roman" w:hAnsi="Times New Roman"/>
          <w:sz w:val="20"/>
        </w:rPr>
        <w:t xml:space="preserve"> or </w:t>
      </w:r>
      <w:r>
        <w:rPr>
          <w:rFonts w:ascii="Times New Roman" w:hAnsi="Times New Roman"/>
          <w:sz w:val="20"/>
          <w:u w:val="single"/>
        </w:rPr>
        <w:t>7.05</w:t>
      </w:r>
      <w:r>
        <w:rPr>
          <w:rFonts w:ascii="Times New Roman" w:hAnsi="Times New Roman"/>
          <w:sz w:val="20"/>
        </w:rPr>
        <w:t xml:space="preserve">; (b) take all reasonable action to maintain all rights, privileges, permits, licenses, approvals and franchises in each case which are necessary or desirable in the normal conduct of its business, except in a transaction permitted by </w:t>
      </w:r>
      <w:r>
        <w:rPr>
          <w:rFonts w:ascii="Times New Roman" w:hAnsi="Times New Roman"/>
          <w:sz w:val="20"/>
          <w:u w:val="single"/>
        </w:rPr>
        <w:t>Sections 7.04</w:t>
      </w:r>
      <w:r>
        <w:rPr>
          <w:rFonts w:ascii="Times New Roman" w:hAnsi="Times New Roman"/>
          <w:sz w:val="20"/>
        </w:rPr>
        <w:t xml:space="preserve"> and </w:t>
      </w:r>
      <w:r>
        <w:rPr>
          <w:rFonts w:ascii="Times New Roman" w:hAnsi="Times New Roman"/>
          <w:sz w:val="20"/>
          <w:u w:val="single"/>
        </w:rPr>
        <w:t>7.05</w:t>
      </w:r>
      <w:r>
        <w:rPr>
          <w:rFonts w:ascii="Times New Roman" w:hAnsi="Times New Roman"/>
          <w:sz w:val="20"/>
        </w:rPr>
        <w:t xml:space="preserve">; (c) preserve or renew all of its registered patents, trademarks, trade names and service marks; and (d) do all things necessary to maintain, renew, extend or continue in effect all Licenses which may at any time and from time to time be necessary for the Borrower or any of its Subsidiaries to operate its business in compliance with all Laws, except, in each case of this </w:t>
      </w:r>
      <w:r>
        <w:rPr>
          <w:rFonts w:ascii="Times New Roman" w:hAnsi="Times New Roman"/>
          <w:sz w:val="20"/>
          <w:u w:val="single"/>
        </w:rPr>
        <w:t>Section 6.05</w:t>
      </w:r>
      <w:r>
        <w:rPr>
          <w:rFonts w:ascii="Times New Roman" w:hAnsi="Times New Roman"/>
          <w:sz w:val="20"/>
        </w:rPr>
        <w:t xml:space="preserve"> (other than clause (a) above with respect to the Loan Parties), where the failure to do so, which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6.06</w:t>
      </w:r>
      <w:r>
        <w:rPr>
          <w:rFonts w:ascii="Times New Roman" w:hAnsi="Times New Roman"/>
          <w:sz w:val="20"/>
        </w:rPr>
        <w:t xml:space="preserve"> </w:t>
      </w:r>
      <w:r>
        <w:rPr>
          <w:rFonts w:ascii="Times New Roman" w:hAnsi="Times New Roman"/>
          <w:b/>
          <w:sz w:val="20"/>
        </w:rPr>
        <w:t xml:space="preserve">Maintenance of Properties. </w:t>
      </w:r>
      <w:r>
        <w:rPr>
          <w:rFonts w:ascii="Times New Roman" w:hAnsi="Times New Roman"/>
          <w:sz w:val="20"/>
        </w:rPr>
        <w:t xml:space="preserve">(a) Maintain, preserve and protect all of its material properties and equipment necessary in the operation of its business in good working order and condition except to the extent the failure to do so could not reasonably be expected to have a Material Adverse Effect, ordinary wear and tear and Casualty and Condemnation excepted; and (b) make all necessary repairs thereto and renewals and replacements thereof except where the failure to do so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6.07</w:t>
      </w:r>
      <w:r>
        <w:rPr>
          <w:rFonts w:ascii="Times New Roman" w:hAnsi="Times New Roman"/>
          <w:sz w:val="20"/>
        </w:rPr>
        <w:t xml:space="preserve"> </w:t>
      </w:r>
      <w:r>
        <w:rPr>
          <w:rFonts w:ascii="Times New Roman" w:hAnsi="Times New Roman"/>
          <w:b/>
          <w:sz w:val="20"/>
        </w:rPr>
        <w:t xml:space="preserve">Maintenance of Insurance; Certain Proceeds. </w:t>
      </w:r>
      <w:r>
        <w:rPr>
          <w:rFonts w:ascii="Times New Roman" w:hAnsi="Times New Roman"/>
          <w:sz w:val="20"/>
        </w:rPr>
        <w:t xml:space="preserve">Maintain with financially sound and reputable insurance companies, insurance (including liability insurance and casualty insurance), with respect to its properties and business against loss or damage of the kinds customarily insured against by Persons engaged in the same or similar businesses and owning similar properties in localities where such Borrower or such Subsidiary operates, of such types and in such amounts, with such deductibles and covering such risks, as are customarily carried under similar circumstances by such other Persons (or otherwise required in the Collateral Documents) or with self-insurance programs in the ordinary course of business that are customary for companies in similar businesses and of similar size. The Administrative Agent shall be an additional insured or loss payee (loss payee status only applying to first party losses greater than $20,000,000) with respect to any such insurance providing coverage in respect of any Collateral, and the Borrower or the insurance company will give the Administrative Agent thirty (30) days (or ten (10) days in the case of non-payment of premiums) prior written notice before any such policy or policies shall be materially altered or canceled. </w:t>
      </w:r>
    </w:p>
    <w:p>
      <w:pPr>
        <w:pStyle w:val="TextBody"/>
        <w:bidi w:val="0"/>
        <w:spacing w:before="240" w:after="0"/>
        <w:jc w:val="left"/>
        <w:rPr>
          <w:rFonts w:ascii="Times New Roman" w:hAnsi="Times New Roman"/>
          <w:b/>
          <w:sz w:val="20"/>
        </w:rPr>
      </w:pPr>
      <w:r>
        <w:rPr>
          <w:rFonts w:ascii="Times New Roman" w:hAnsi="Times New Roman"/>
          <w:b/>
          <w:sz w:val="20"/>
        </w:rPr>
        <w:t xml:space="preserve">6.08 Compliance with Laws. </w:t>
      </w:r>
    </w:p>
    <w:p>
      <w:pPr>
        <w:pStyle w:val="TextBody"/>
        <w:bidi w:val="0"/>
        <w:spacing w:before="240" w:after="0"/>
        <w:jc w:val="left"/>
        <w:rPr>
          <w:rFonts w:ascii="Times New Roman" w:hAnsi="Times New Roman"/>
          <w:sz w:val="20"/>
        </w:rPr>
      </w:pPr>
      <w:r>
        <w:rPr>
          <w:rFonts w:ascii="Times New Roman" w:hAnsi="Times New Roman"/>
          <w:sz w:val="20"/>
        </w:rPr>
        <w:t xml:space="preserve">(a) Comply in all material respects with the requirements of all Laws (other than Environmental Laws) and all orders, writs, injunctions and decrees applicable to it or to its business or property, except in such instances in which (a) such requirement of Law or order, writ, injunction or decree is being contested in good faith by appropriate actions or proceedings reasonably conducted or (b) the failure to comply therewith could not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represents and covenants that it will not, directly or knowingly indirectly, use the proceeds of any Credit Extension, or lend, contribute or otherwise make available such proceeds to any subsidiary, joint venture partner or other Person, to fund any activities of or business with any Person, or in any country, region or territory, that, at the time of such funding, is the subject of Sanctions, except to the extent permissible for a Person required to comply with Sanctions.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represents and covenants that it will not directly or knowingly indirectly use the proceeds of any Credit Extension in furtherance of an offer, payment, promise to pay, or authorization of the payment or giving of money, or anything else of value, to any Person in violation of any Anti-Corruption Law. </w:t>
      </w:r>
    </w:p>
    <w:p>
      <w:pPr>
        <w:pStyle w:val="TextBody"/>
        <w:bidi w:val="0"/>
        <w:spacing w:before="240" w:after="0"/>
        <w:jc w:val="left"/>
        <w:rPr>
          <w:rFonts w:ascii="Times New Roman" w:hAnsi="Times New Roman"/>
          <w:sz w:val="20"/>
        </w:rPr>
      </w:pPr>
      <w:r>
        <w:rPr>
          <w:rFonts w:ascii="Times New Roman" w:hAnsi="Times New Roman"/>
          <w:b/>
          <w:sz w:val="20"/>
        </w:rPr>
        <w:t>6.09</w:t>
      </w:r>
      <w:r>
        <w:rPr>
          <w:rFonts w:ascii="Times New Roman" w:hAnsi="Times New Roman"/>
          <w:sz w:val="20"/>
        </w:rPr>
        <w:t xml:space="preserve"> </w:t>
      </w:r>
      <w:r>
        <w:rPr>
          <w:rFonts w:ascii="Times New Roman" w:hAnsi="Times New Roman"/>
          <w:b/>
          <w:sz w:val="20"/>
        </w:rPr>
        <w:t xml:space="preserve">Books and Records. </w:t>
      </w:r>
      <w:r>
        <w:rPr>
          <w:rFonts w:ascii="Times New Roman" w:hAnsi="Times New Roman"/>
          <w:sz w:val="20"/>
        </w:rPr>
        <w:t xml:space="preserve">(a) Maintain proper books of record and account, in which full, true and correct entries in conformity with GAAP (or applicable local standards) consistently applied shall be made of all financial transactions and matters involving the assets and business of the Borrower and its Subsidiaries, as the case may be; and (b) maintain such books of record and account in material conformity with all applicable requirements of any Governmental Authority having regulatory jurisdiction over the Borrower and its Subsidiaries.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Rights. </w:t>
      </w:r>
      <w:r>
        <w:rPr>
          <w:rFonts w:ascii="Times New Roman" w:hAnsi="Times New Roman"/>
          <w:sz w:val="20"/>
        </w:rPr>
        <w:t xml:space="preserve">No more than once per year, 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Administrative Agent and at such reasonable times during normal business hours and as often as may be reasonably desired, upon reasonable advance notice to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when an Event of Default exists the Administrative Agent (or any of its representatives or independent contractors) may do any of the foregoing at the expense of the Borrower at any time during normal business hours and without advance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herein, neither the Borrower nor any Subsidiary shall be required to disclose, permit the inspection, examination or making of copies of or excerpts from, or any discussion of, any document, information, or other matter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constitutes non-financial trade secrets or non-financial proprietary information, (ii) in respect of which disclosure to the Administrative Agent (or any Lender (or its respective representatives or contractors)) is prohibited by applicable law, (iii) that is subject to attorney-client or similar privilege or constitutes attorney work product or (iv) with respect to which any Loan Party owes confidentiality obligations (to the extent not created in contemplation of such Loan Party’s Obligations under this </w:t>
      </w:r>
      <w:r>
        <w:rPr>
          <w:rFonts w:ascii="Times New Roman" w:hAnsi="Times New Roman"/>
          <w:sz w:val="20"/>
          <w:u w:val="single"/>
        </w:rPr>
        <w:t>Section 6.10</w:t>
      </w:r>
      <w:r>
        <w:rPr>
          <w:rFonts w:ascii="Times New Roman" w:hAnsi="Times New Roman"/>
          <w:sz w:val="20"/>
        </w:rPr>
        <w:t xml:space="preserve">) to any third party. Administrative Agent and such representatives and contractors shall comply with any safety or confidentiality rules adopted by Borrower.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rPr>
        <w:t>Further Assurances with Respect to Additional Loan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Notify the Administrative Agent at the time that any Person becomes a direct or indirect Subsidiary of a Loan Party or ceases to constitute an Excluded Subsidiary, (ii) promptly thereafter (and in any event within sixty (60) days), cause such Person, unless such Person is an Excluded Subsidiary, to execute and deliver a Joinder Agreement and such other documents as the Administrative Agent shall deem necessary, (iii) promptly thereafter (and in any event within sixty (60) days), unless such Person is an Excluded Subsidiary, pledge and maintain a pledge of one hundred percent (100%) of the Equity Interests of such Subsidiary (subject to no Liens), and (iv) promptly thereafter (and in any event within sixty (60) days), unless such Person is an Excluded Subsidiary, deliver, and cause such Person to deliver, to the Administrative Agent joinders to the Collateral Documents and documents of the types referred to in clauses, </w:t>
      </w:r>
      <w:r>
        <w:rPr>
          <w:rFonts w:ascii="Times New Roman" w:hAnsi="Times New Roman"/>
          <w:sz w:val="20"/>
          <w:u w:val="single"/>
        </w:rPr>
        <w:t>4.01(a)(vi)</w:t>
      </w:r>
      <w:r>
        <w:rPr>
          <w:rFonts w:ascii="Times New Roman" w:hAnsi="Times New Roman"/>
          <w:sz w:val="20"/>
        </w:rPr>
        <w:t xml:space="preserve">, </w:t>
      </w:r>
      <w:r>
        <w:rPr>
          <w:rFonts w:ascii="Times New Roman" w:hAnsi="Times New Roman"/>
          <w:sz w:val="20"/>
          <w:u w:val="single"/>
        </w:rPr>
        <w:t>4.01(a)(vii),</w:t>
      </w:r>
      <w:r>
        <w:rPr>
          <w:rFonts w:ascii="Times New Roman" w:hAnsi="Times New Roman"/>
          <w:sz w:val="20"/>
        </w:rPr>
        <w:t xml:space="preserve"> </w:t>
      </w:r>
      <w:r>
        <w:rPr>
          <w:rFonts w:ascii="Times New Roman" w:hAnsi="Times New Roman"/>
          <w:sz w:val="20"/>
          <w:u w:val="single"/>
        </w:rPr>
        <w:t>4.01(a)(viii)</w:t>
      </w:r>
      <w:r>
        <w:rPr>
          <w:rFonts w:ascii="Times New Roman" w:hAnsi="Times New Roman"/>
          <w:sz w:val="20"/>
        </w:rPr>
        <w:t xml:space="preserve">, </w:t>
      </w:r>
      <w:r>
        <w:rPr>
          <w:rFonts w:ascii="Times New Roman" w:hAnsi="Times New Roman"/>
          <w:sz w:val="20"/>
          <w:u w:val="single"/>
        </w:rPr>
        <w:t>4.01(a)(xi)</w:t>
      </w:r>
      <w:r>
        <w:rPr>
          <w:rFonts w:ascii="Times New Roman" w:hAnsi="Times New Roman"/>
          <w:sz w:val="20"/>
        </w:rPr>
        <w:t xml:space="preserve">, </w:t>
      </w:r>
      <w:r>
        <w:rPr>
          <w:rFonts w:ascii="Times New Roman" w:hAnsi="Times New Roman"/>
          <w:sz w:val="20"/>
          <w:u w:val="single"/>
        </w:rPr>
        <w:t>4.01(a)(xii)</w:t>
      </w:r>
      <w:r>
        <w:rPr>
          <w:rFonts w:ascii="Times New Roman" w:hAnsi="Times New Roman"/>
          <w:sz w:val="20"/>
        </w:rPr>
        <w:t xml:space="preserve">, </w:t>
      </w:r>
      <w:r>
        <w:rPr>
          <w:rFonts w:ascii="Times New Roman" w:hAnsi="Times New Roman"/>
          <w:sz w:val="20"/>
          <w:u w:val="single"/>
        </w:rPr>
        <w:t>4.01(a)(xiii)</w:t>
      </w:r>
      <w:r>
        <w:rPr>
          <w:rFonts w:ascii="Times New Roman" w:hAnsi="Times New Roman"/>
          <w:sz w:val="20"/>
        </w:rPr>
        <w:t xml:space="preserve">, </w:t>
      </w:r>
      <w:r>
        <w:rPr>
          <w:rFonts w:ascii="Times New Roman" w:hAnsi="Times New Roman"/>
          <w:sz w:val="20"/>
          <w:u w:val="single"/>
        </w:rPr>
        <w:t>4.01(a)(xiv)</w:t>
      </w:r>
      <w:r>
        <w:rPr>
          <w:rFonts w:ascii="Times New Roman" w:hAnsi="Times New Roman"/>
          <w:sz w:val="20"/>
        </w:rPr>
        <w:t xml:space="preserve">, </w:t>
      </w:r>
      <w:r>
        <w:rPr>
          <w:rFonts w:ascii="Times New Roman" w:hAnsi="Times New Roman"/>
          <w:sz w:val="20"/>
          <w:u w:val="single"/>
        </w:rPr>
        <w:t>4.01(a)(xv)</w:t>
      </w:r>
      <w:r>
        <w:rPr>
          <w:rFonts w:ascii="Times New Roman" w:hAnsi="Times New Roman"/>
          <w:sz w:val="20"/>
        </w:rPr>
        <w:t xml:space="preserve"> and </w:t>
      </w:r>
      <w:r>
        <w:rPr>
          <w:rFonts w:ascii="Times New Roman" w:hAnsi="Times New Roman"/>
          <w:sz w:val="20"/>
          <w:u w:val="single"/>
        </w:rPr>
        <w:t>4.01(a)(xv)</w:t>
      </w:r>
      <w:r>
        <w:rPr>
          <w:rFonts w:ascii="Times New Roman" w:hAnsi="Times New Roman"/>
          <w:sz w:val="20"/>
        </w:rPr>
        <w:t xml:space="preserve"> of </w:t>
      </w:r>
      <w:r>
        <w:rPr>
          <w:rFonts w:ascii="Times New Roman" w:hAnsi="Times New Roman"/>
          <w:sz w:val="20"/>
          <w:u w:val="single"/>
        </w:rPr>
        <w:t>Section 4.01(a)</w:t>
      </w:r>
      <w:r>
        <w:rPr>
          <w:rFonts w:ascii="Times New Roman" w:hAnsi="Times New Roman"/>
          <w:sz w:val="20"/>
        </w:rPr>
        <w:t xml:space="preserve"> and favorable opinions of counsel to the Borrower and such Subsidiary (which shall cover, among other things, the legality, validity, binding effect and enforceability of the documentation referred to in subsection (a) of </w:t>
      </w:r>
      <w:r>
        <w:rPr>
          <w:rFonts w:ascii="Times New Roman" w:hAnsi="Times New Roman"/>
          <w:sz w:val="20"/>
          <w:u w:val="single"/>
        </w:rPr>
        <w:t>Section 4.01</w:t>
      </w:r>
      <w:r>
        <w:rPr>
          <w:rFonts w:ascii="Times New Roman" w:hAnsi="Times New Roman"/>
          <w:sz w:val="20"/>
        </w:rPr>
        <w:t xml:space="preserve">), all in form, content and scope reasonably satisfactory to the Administrative Agent. It is understood and agreed that Property acquired (x) in a Permitted Acquisition that secures Indebtedness permitted pursuant to </w:t>
      </w:r>
      <w:r>
        <w:rPr>
          <w:rFonts w:ascii="Times New Roman" w:hAnsi="Times New Roman"/>
          <w:sz w:val="20"/>
          <w:u w:val="single"/>
        </w:rPr>
        <w:t>Section 7.03(g)(x)</w:t>
      </w:r>
      <w:r>
        <w:rPr>
          <w:rFonts w:ascii="Times New Roman" w:hAnsi="Times New Roman"/>
          <w:sz w:val="20"/>
        </w:rPr>
        <w:t xml:space="preserve"> or (y) with purchase money Indebtedness permitted pursuant to </w:t>
      </w:r>
      <w:r>
        <w:rPr>
          <w:rFonts w:ascii="Times New Roman" w:hAnsi="Times New Roman"/>
          <w:sz w:val="20"/>
          <w:u w:val="single"/>
        </w:rPr>
        <w:t>Section 7.03(g)(y)</w:t>
      </w:r>
      <w:r>
        <w:rPr>
          <w:rFonts w:ascii="Times New Roman" w:hAnsi="Times New Roman"/>
          <w:sz w:val="20"/>
        </w:rPr>
        <w:t xml:space="preserve"> (collectively, “</w:t>
      </w:r>
      <w:r>
        <w:rPr>
          <w:rFonts w:ascii="Times New Roman" w:hAnsi="Times New Roman"/>
          <w:sz w:val="20"/>
          <w:u w:val="single"/>
        </w:rPr>
        <w:t>Liened Property</w:t>
      </w:r>
      <w:r>
        <w:rPr>
          <w:rFonts w:ascii="Times New Roman" w:hAnsi="Times New Roman"/>
          <w:sz w:val="20"/>
        </w:rPr>
        <w:t xml:space="preserve">”), that is not permitted to be pledged pursuant to the agreements governing such permitted Indebtedness, is not required to be Collateral for the Obligations until the date that is thirty (30) days following the date the Indebtedness that the Liened Property secures is repaid, refinanced or otherwise replaced. </w:t>
      </w:r>
    </w:p>
    <w:p>
      <w:pPr>
        <w:pStyle w:val="TextBody"/>
        <w:bidi w:val="0"/>
        <w:spacing w:before="240" w:after="0"/>
        <w:jc w:val="left"/>
        <w:rPr>
          <w:rFonts w:ascii="Times New Roman" w:hAnsi="Times New Roman"/>
          <w:sz w:val="20"/>
        </w:rPr>
      </w:pPr>
      <w:r>
        <w:rPr>
          <w:rFonts w:ascii="Times New Roman" w:hAnsi="Times New Roman"/>
          <w:sz w:val="20"/>
        </w:rPr>
        <w:t xml:space="preserve">(b) If at the time of delivery of a Compliance Certificate in accordance with </w:t>
      </w:r>
      <w:r>
        <w:rPr>
          <w:rFonts w:ascii="Times New Roman" w:hAnsi="Times New Roman"/>
          <w:sz w:val="20"/>
          <w:u w:val="single"/>
        </w:rPr>
        <w:t>Section 6.02(b)</w:t>
      </w:r>
      <w:r>
        <w:rPr>
          <w:rFonts w:ascii="Times New Roman" w:hAnsi="Times New Roman"/>
          <w:sz w:val="20"/>
        </w:rPr>
        <w:t xml:space="preserve"> the Consolidated EBITDA for the four consecutive fiscal quarters then ended of all Excluded Subsidiaries that are Domestic Subsidiaries exceeds ten percent (10.0%) of the Consolidated EBITDA for such period of the Borrower and its Domestic Subsidiaries, the Borrower shall deliver notice to the Administrative Agent within five (5) Business Days of such date designating one or more Domestic Subsidiaries qualified as Excluded Subsidiaries pursuant to clause (d) of the definition thereof that will be removed as Excluded Subsidiaries so that the Consolidated EBITDA of all remaining Excluded Subsidiaries that are Domestic Subsidiaries does not exceed ten percent (10.0%) of the Consolidated EBITDA for such period of the Borrower and its Domestic Subsidiaries; provided that the Borrower shall be deemed to have complied with this proviso if after removing all Subsidiaries qualified as Excluded Subsidiaries pursuant to clause (d) of the definition thereof as Excluded Subsidiaries, the remaining Excluded Subsidiaries still exceed ten percent (10.0%) of the Consolidated EBITDA for such period of the Borrower and its Domestic Subsidiaries. In addition, Borrower, at its option at any time from time to time, may deliver notice to the Administrative Agent that it is designating a Domestic Subsidiary as an Excluded Subsidiary or discontinuing the designation of a Domestic Subsidiary as an Excluded Subsidiary so long as, after giving effect to such designations or discontinuation of designations, the Consolidated EBITDA for the consecutive four quarter period most recently ended of all Excluded Subsidiaries that are Domestic Subsidiaries does not exceed ten percent (10.0%) of the Consolidated EBITDA for such period of the Borrower and its Domestic Subsidiaries, calculated on a Pro Forma Basis as of such date. The removal of the designation of any Domestic Subsidiary as an Excluded Subsidiary at any time in accordance 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to the extent such removal of designation must be effective to permit the designation of another Domestic Subsidiary as an Excluded Subsidiary in accordance herewith, such designation) only shall become effective on the date that the Borrower has complied with </w:t>
      </w:r>
      <w:r>
        <w:rPr>
          <w:rFonts w:ascii="Times New Roman" w:hAnsi="Times New Roman"/>
          <w:sz w:val="20"/>
          <w:u w:val="single"/>
        </w:rPr>
        <w:t>Section 6.11(a)</w:t>
      </w:r>
      <w:r>
        <w:rPr>
          <w:rFonts w:ascii="Times New Roman" w:hAnsi="Times New Roman"/>
          <w:sz w:val="20"/>
        </w:rPr>
        <w:t xml:space="preserve"> with respect to such Domestic Subsidiary. For the avoidance of doubt, designation of a Domestic Subsidiary as an Excluded Subsidiary in accordance herewith may be used to effect a cure of any Default or Event of Default arising solely with respect to such Domestic Subsidiary (so long as the event giving rise to such Default or Event of Default would not constitute, and the designation of such Domestic Subsidiary as an Excluded Subsidiary would not otherwise give rise to, a Default or Event of Default with respect to Excluded Subsidiaries).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rPr>
        <w:t xml:space="preserve">Further Assurances with Respect to Collateral. </w:t>
      </w:r>
      <w:r>
        <w:rPr>
          <w:rFonts w:ascii="Times New Roman" w:hAnsi="Times New Roman"/>
          <w:sz w:val="20"/>
        </w:rPr>
        <w:t xml:space="preserve">Execute, any and all further documents, financing statements, Intellectual Property Security Agreements, agreements and instruments, and take all such further actions (including the filing and recording of financing statements and other documents), which may be required under any applicable Law, or which the Administrative Agent or the Required Lenders may reasonably request, to comply with the terms of this Agreement and the other Loan Documents, including causing, to the fullest extent permitted by Law, (i) the Collateral to be subject to a first priority security interest in favor of the Administrative Agent (subject to the Permitted Liens) and (ii) the pledge of the Equity Interests of the Borrower and its Subsidiaries which is subject to a pledge pursuant to the Pledge Agreement, in each case to secure all the Obligations, all at the expense of the Borrower. The Borrower also agrees to provide to the Administrative Agent, from time to time upon the Administrative Agent’s reasonable request, evidence reasonably satisfactory to the Administrative Agent as to the validity, perfection and priority of the Liens created or intended to be created by the Loan Documents. It is understood and agreed that Liened Property that is not permitted to be pledged pursuant to the agreements governing such permitted Indebtedness is not required to be Collateral for the Obligations until the date that is thirty (30) days following the date the Indebtedness that the Liened Property secures is repaid, refinanced or otherwise replaced.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(A) control agreements or similar arrangements be required with respect to any Collateral (including, without limitation, deposit or securities accounts), (B) any Loan Party be required to (1) take any action or grant or perfect any security interest in any asset located outside of the U.S. or conduct any foreign lien search, (2) execute any foreign law guarantee, security agreement, pledge agreement, mortgage, deed or charge or (3) make any foreign Intellectual Property filing, conduct any foreign Intellectual Property search or prepare any foreign Intellectual Property schedule with respect to any assets of any Loan Party or (C) any Loan Party be required to seek any landlord lien waiver, bailee letter, estoppel, warehouseman waiver or other collateral access or similar letter or agreement. </w:t>
      </w:r>
    </w:p>
    <w:p>
      <w:pPr>
        <w:pStyle w:val="TextBody"/>
        <w:bidi w:val="0"/>
        <w:spacing w:before="240" w:after="0"/>
        <w:jc w:val="left"/>
        <w:rPr>
          <w:rFonts w:ascii="Times New Roman" w:hAnsi="Times New Roman"/>
          <w:sz w:val="20"/>
        </w:rPr>
      </w:pPr>
      <w:r>
        <w:rPr>
          <w:rFonts w:ascii="Times New Roman" w:hAnsi="Times New Roman"/>
          <w:b/>
          <w:sz w:val="20"/>
        </w:rPr>
        <w:t>6.13</w:t>
      </w:r>
      <w:r>
        <w:rPr>
          <w:rFonts w:ascii="Times New Roman" w:hAnsi="Times New Roman"/>
          <w:sz w:val="20"/>
        </w:rPr>
        <w:t xml:space="preserve"> </w:t>
      </w:r>
      <w:r>
        <w:rPr>
          <w:rFonts w:ascii="Times New Roman" w:hAnsi="Times New Roman"/>
          <w:b/>
          <w:sz w:val="20"/>
        </w:rPr>
        <w:t>Post-Closing Actions</w:t>
      </w:r>
      <w:r>
        <w:rPr>
          <w:rFonts w:ascii="Times New Roman" w:hAnsi="Times New Roman"/>
          <w:sz w:val="20"/>
        </w:rPr>
        <w:t xml:space="preserve">. The Borrower agrees that it will, or will cause its relevant Subsidiaries to, complete each of the actions described on </w:t>
      </w:r>
      <w:r>
        <w:rPr>
          <w:rFonts w:ascii="Times New Roman" w:hAnsi="Times New Roman"/>
          <w:sz w:val="20"/>
          <w:u w:val="single"/>
        </w:rPr>
        <w:t>Schedule 6.13</w:t>
      </w:r>
      <w:r>
        <w:rPr>
          <w:rFonts w:ascii="Times New Roman" w:hAnsi="Times New Roman"/>
          <w:sz w:val="20"/>
        </w:rPr>
        <w:t xml:space="preserve"> as soon as commercially reasonable and by no later than the date set forth in </w:t>
      </w:r>
      <w:r>
        <w:rPr>
          <w:rFonts w:ascii="Times New Roman" w:hAnsi="Times New Roman"/>
          <w:sz w:val="20"/>
          <w:u w:val="single"/>
        </w:rPr>
        <w:t>Schedule 6.13</w:t>
      </w:r>
      <w:r>
        <w:rPr>
          <w:rFonts w:ascii="Times New Roman" w:hAnsi="Times New Roman"/>
          <w:sz w:val="20"/>
        </w:rPr>
        <w:t xml:space="preserve"> with respect to such action or such later date as the Administrative Agent may reasonably agree. </w:t>
      </w:r>
    </w:p>
    <w:p>
      <w:pPr>
        <w:pStyle w:val="TextBody"/>
        <w:bidi w:val="0"/>
        <w:spacing w:before="240" w:after="0"/>
        <w:jc w:val="left"/>
        <w:rPr>
          <w:rFonts w:ascii="Times New Roman" w:hAnsi="Times New Roman"/>
          <w:sz w:val="20"/>
        </w:rPr>
      </w:pPr>
      <w:r>
        <w:rPr>
          <w:rFonts w:ascii="Times New Roman" w:hAnsi="Times New Roman"/>
          <w:b/>
          <w:sz w:val="20"/>
        </w:rPr>
        <w:t>6.14</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Use the proceeds of the Loans solely for the purposes set forth in </w:t>
      </w:r>
      <w:r>
        <w:rPr>
          <w:rFonts w:ascii="Times New Roman" w:hAnsi="Times New Roman"/>
          <w:sz w:val="20"/>
          <w:u w:val="single"/>
        </w:rPr>
        <w:t>Section 5.19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6.15</w:t>
      </w:r>
      <w:r>
        <w:rPr>
          <w:rFonts w:ascii="Times New Roman" w:hAnsi="Times New Roman"/>
          <w:sz w:val="20"/>
        </w:rPr>
        <w:t xml:space="preserve"> </w:t>
      </w:r>
      <w:r>
        <w:rPr>
          <w:rFonts w:ascii="Times New Roman" w:hAnsi="Times New Roman"/>
          <w:b/>
          <w:sz w:val="20"/>
        </w:rPr>
        <w:t>Environmental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reasonable written request of the Administrative Agent following the occurrence of any event or the discovery of any condition that the Administrative Agent or the Required Lenders reasonably believe has caused (or could be reasonably expected to cause) the representations and warranties set forth in </w:t>
      </w:r>
      <w:r>
        <w:rPr>
          <w:rFonts w:ascii="Times New Roman" w:hAnsi="Times New Roman"/>
          <w:sz w:val="20"/>
          <w:u w:val="single"/>
        </w:rPr>
        <w:t>Section 5.13</w:t>
      </w:r>
      <w:r>
        <w:rPr>
          <w:rFonts w:ascii="Times New Roman" w:hAnsi="Times New Roman"/>
          <w:sz w:val="20"/>
        </w:rPr>
        <w:t xml:space="preserve"> to be untrue in any material respect, furnish or cause to be furnished to the Administrative Agent, at the Borrower’s expense, a report of an environmental assessment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scope, form and depth, (including, where required by applicable Laws, invasive soil or groundwater sampling) by a consultant reasonably acceptable to the Administrative Agent as to the nature and extent of the presence of Hazardous Materials on the applicable Subject Property and as to the compliance by the Borrower and its Subsidiaries with Environmental Laws at such Subject Property; provided that if Borrower is in the process of working with a Governmental Authority to address such event or condition, Borrower shall provide Administrative Agent with copies of all assessments, reports and other materials being provided to such Governmental Authority in lieu of the environmental assessments required above. </w:t>
      </w:r>
    </w:p>
    <w:p>
      <w:pPr>
        <w:pStyle w:val="TextBody"/>
        <w:bidi w:val="0"/>
        <w:spacing w:before="240" w:after="0"/>
        <w:jc w:val="left"/>
        <w:rPr>
          <w:rFonts w:ascii="Times New Roman" w:hAnsi="Times New Roman"/>
          <w:sz w:val="20"/>
        </w:rPr>
      </w:pPr>
      <w:r>
        <w:rPr>
          <w:rFonts w:ascii="Times New Roman" w:hAnsi="Times New Roman"/>
          <w:sz w:val="20"/>
        </w:rPr>
        <w:t xml:space="preserve">(b) Conduct and complete all investigations, studies, sampling, and testing and all remedial, removal, and other actions necessary to address all Hazardous Materials on, from or affecting any of the Subject Properties to the extent necessary to be in compliance with all Environmental Laws and with the validly issued orders and directives of all Governmental Authorities with jurisdiction over such Subject Properties to the extent any failure could have a Material Adverse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Lender shall have any Commitment hereunder, any Loan or other Obligation (other than contingent indemnification obligations and obligations and liabilities under Secured Cash Management Service Agreements and Secured Swap Contracts) hereunder shall remain unpaid or unsatisfied, or any Letter of Credit shall remain outstanding (other than Letters of Credit which have been Cash Collateralized in at least the Minimum Collateral Amount), the Borrower shall not, directly or indirectly, nor shall it permit any Subsidiary to, directly or indirectly: </w:t>
      </w:r>
    </w:p>
    <w:p>
      <w:pPr>
        <w:pStyle w:val="TextBody"/>
        <w:bidi w:val="0"/>
        <w:spacing w:before="240" w:after="0"/>
        <w:jc w:val="left"/>
        <w:rPr>
          <w:rFonts w:ascii="Times New Roman" w:hAnsi="Times New Roman"/>
          <w:sz w:val="20"/>
        </w:rPr>
      </w:pPr>
      <w:r>
        <w:rPr>
          <w:rFonts w:ascii="Times New Roman" w:hAnsi="Times New Roman"/>
          <w:b/>
          <w:sz w:val="20"/>
        </w:rPr>
        <w:t>7.01</w:t>
      </w:r>
      <w:r>
        <w:rPr>
          <w:rFonts w:ascii="Times New Roman" w:hAnsi="Times New Roman"/>
          <w:sz w:val="20"/>
        </w:rPr>
        <w:t xml:space="preserve"> </w:t>
      </w:r>
      <w:r>
        <w:rPr>
          <w:rFonts w:ascii="Times New Roman" w:hAnsi="Times New Roman"/>
          <w:b/>
          <w:sz w:val="20"/>
        </w:rPr>
        <w:t>Liens.</w:t>
      </w:r>
      <w:r>
        <w:rPr>
          <w:rFonts w:ascii="Times New Roman" w:hAnsi="Times New Roman"/>
          <w:sz w:val="20"/>
        </w:rPr>
        <w:t xml:space="preserve"> Create, incur or assume any Lien upon any of its property, assets or revenues, whether now owned or hereafter acquired, other than the following (with such Liens described below being referred to herein as “</w:t>
      </w:r>
      <w:r>
        <w:rPr>
          <w:rFonts w:ascii="Times New Roman" w:hAnsi="Times New Roman"/>
          <w:sz w:val="20"/>
          <w:u w:val="single"/>
        </w:rPr>
        <w:t>Permitted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Liens pursuant to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(b) Liens existing on the Closing Date and listed on </w:t>
      </w:r>
      <w:r>
        <w:rPr>
          <w:rFonts w:ascii="Times New Roman" w:hAnsi="Times New Roman"/>
          <w:sz w:val="20"/>
          <w:u w:val="single"/>
        </w:rPr>
        <w:t>Schedule 7.01</w:t>
      </w:r>
      <w:r>
        <w:rPr>
          <w:rFonts w:ascii="Times New Roman" w:hAnsi="Times New Roman"/>
          <w:sz w:val="20"/>
        </w:rPr>
        <w:t xml:space="preserve"> and any renewals or extensions thereof; </w:t>
      </w:r>
      <w:r>
        <w:rPr>
          <w:rFonts w:ascii="Times New Roman" w:hAnsi="Times New Roman"/>
          <w:sz w:val="20"/>
          <w:u w:val="single"/>
        </w:rPr>
        <w:t>provided</w:t>
      </w:r>
      <w:r>
        <w:rPr>
          <w:rFonts w:ascii="Times New Roman" w:hAnsi="Times New Roman"/>
          <w:sz w:val="20"/>
        </w:rPr>
        <w:t xml:space="preserve"> that (i) the property covered thereby is not broadened, (ii) the amount secured or benefited thereby is not increased, (iii) the direct or any contingent obligor with respect thereto is not changed, and (iv) any renewal or extension of the obligations secured or benefited thereby is permitted by </w:t>
      </w:r>
      <w:r>
        <w:rPr>
          <w:rFonts w:ascii="Times New Roman" w:hAnsi="Times New Roman"/>
          <w:sz w:val="20"/>
          <w:u w:val="single"/>
        </w:rPr>
        <w:t>Section 7.03(k)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Liens for taxes, fees, assessments or other governmental charges that (i) do not exceed, $40,000,000 in the aggregate at any time or (ii) are not yet due or which are not delinquent or remain payable without penalty, or to the extent non-payment thereof is permitted by </w:t>
      </w:r>
      <w:r>
        <w:rPr>
          <w:rFonts w:ascii="Times New Roman" w:hAnsi="Times New Roman"/>
          <w:sz w:val="20"/>
          <w:u w:val="single"/>
        </w:rPr>
        <w:t>Section 6.04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no notice of lien has been filed or recorded under the Code or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carriers’, warehousemen’s, mechanics’, materialmen’s, repairmen’s, landlord’s or other like Liens arising in the ordinary course of business that are not delinquent or which are being contested in good faith and by appropriate actions or proceedings which proceedings have the effect of preventing the forfeiture or sale of the property subject thereto and for which adequate reserves with respect thereto are maintained on the books of the applicable person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pledges or deposits made by the Borrower or any of its Subsidiaries in the ordinary course of business in connection with workers’ compensation, unemployment insurance and other social security legislation, other than any Lien imposed by ERISA; </w:t>
      </w:r>
    </w:p>
    <w:p>
      <w:pPr>
        <w:pStyle w:val="TextBody"/>
        <w:bidi w:val="0"/>
        <w:spacing w:before="120" w:after="0"/>
        <w:jc w:val="left"/>
        <w:rPr>
          <w:rFonts w:ascii="Times New Roman" w:hAnsi="Times New Roman"/>
          <w:sz w:val="20"/>
        </w:rPr>
      </w:pPr>
      <w:r>
        <w:rPr>
          <w:rFonts w:ascii="Times New Roman" w:hAnsi="Times New Roman"/>
          <w:sz w:val="20"/>
        </w:rPr>
        <w:t xml:space="preserve">(f) deposits to secure the performance of bids, trade contracts and leases (other than Indebtedness, excluding balancing payments), commercial letters of credit, letters of credit for the account of a Foreign Subsidiary (where the amount of such deposits do not exceed, when added to the amount of all Guarantees issued and outstanding at such time pursuant to </w:t>
      </w:r>
      <w:r>
        <w:rPr>
          <w:rFonts w:ascii="Times New Roman" w:hAnsi="Times New Roman"/>
          <w:sz w:val="20"/>
          <w:u w:val="single"/>
        </w:rPr>
        <w:t>Section 7.03(c)(i)(B)</w:t>
      </w:r>
      <w:r>
        <w:rPr>
          <w:rFonts w:ascii="Times New Roman" w:hAnsi="Times New Roman"/>
          <w:sz w:val="20"/>
        </w:rPr>
        <w:t xml:space="preserve">, $40,000,000), statutory obligations, surety and appeal bonds, performance bonds and other obligations of a like nature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easements, rights-of-way, restrictions and other similar encumbrances affecting real property of the Borrower or any of its Subsidiaries which do not materially interfere with the ordinary conduct of the business of the applicable Person; </w:t>
      </w:r>
    </w:p>
    <w:p>
      <w:pPr>
        <w:pStyle w:val="TextBody"/>
        <w:bidi w:val="0"/>
        <w:spacing w:before="120" w:after="0"/>
        <w:jc w:val="left"/>
        <w:rPr>
          <w:rFonts w:ascii="Times New Roman" w:hAnsi="Times New Roman"/>
          <w:sz w:val="20"/>
        </w:rPr>
      </w:pPr>
      <w:r>
        <w:rPr>
          <w:rFonts w:ascii="Times New Roman" w:hAnsi="Times New Roman"/>
          <w:sz w:val="20"/>
        </w:rPr>
        <w:t xml:space="preserve">(h) Liens securing judgments for the payment of money not constituting an Event of Default under </w:t>
      </w:r>
      <w:r>
        <w:rPr>
          <w:rFonts w:ascii="Times New Roman" w:hAnsi="Times New Roman"/>
          <w:sz w:val="20"/>
          <w:u w:val="single"/>
        </w:rPr>
        <w:t>Section 8.01(h)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Liens securing Indebtedness permitted under </w:t>
      </w:r>
      <w:r>
        <w:rPr>
          <w:rFonts w:ascii="Times New Roman" w:hAnsi="Times New Roman"/>
          <w:sz w:val="20"/>
          <w:u w:val="single"/>
        </w:rPr>
        <w:t>Section 7.03(d)</w:t>
      </w:r>
      <w:r>
        <w:rPr>
          <w:rFonts w:ascii="Times New Roman" w:hAnsi="Times New Roman"/>
          <w:sz w:val="20"/>
        </w:rPr>
        <w:t xml:space="preserve">, </w:t>
      </w:r>
      <w:r>
        <w:rPr>
          <w:rFonts w:ascii="Times New Roman" w:hAnsi="Times New Roman"/>
          <w:sz w:val="20"/>
          <w:u w:val="single"/>
        </w:rPr>
        <w:t>Section 7.03(g)</w:t>
      </w:r>
      <w:r>
        <w:rPr>
          <w:rFonts w:ascii="Times New Roman" w:hAnsi="Times New Roman"/>
          <w:sz w:val="20"/>
        </w:rPr>
        <w:t xml:space="preserve">, </w:t>
      </w:r>
      <w:r>
        <w:rPr>
          <w:rFonts w:ascii="Times New Roman" w:hAnsi="Times New Roman"/>
          <w:sz w:val="20"/>
          <w:u w:val="single"/>
        </w:rPr>
        <w:t>Section 7.03(l)</w:t>
      </w:r>
      <w:r>
        <w:rPr>
          <w:rFonts w:ascii="Times New Roman" w:hAnsi="Times New Roman"/>
          <w:sz w:val="20"/>
        </w:rPr>
        <w:t xml:space="preserve"> and </w:t>
      </w:r>
      <w:r>
        <w:rPr>
          <w:rFonts w:ascii="Times New Roman" w:hAnsi="Times New Roman"/>
          <w:sz w:val="20"/>
          <w:u w:val="single"/>
        </w:rPr>
        <w:t>Section 7.03(u)</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Liens arising from precautionary UCC financing statement filings with respect to operating leases entered into by the Borrower or any of its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customary rights of lien and setoff with respect to deposits with banks or other depository institutions and with respect to securities and cash held by brokers and dealers; </w:t>
      </w:r>
    </w:p>
    <w:p>
      <w:pPr>
        <w:pStyle w:val="TextBody"/>
        <w:bidi w:val="0"/>
        <w:spacing w:before="120" w:after="0"/>
        <w:jc w:val="left"/>
        <w:rPr>
          <w:rFonts w:ascii="Times New Roman" w:hAnsi="Times New Roman"/>
          <w:sz w:val="20"/>
        </w:rPr>
      </w:pPr>
      <w:r>
        <w:rPr>
          <w:rFonts w:ascii="Times New Roman" w:hAnsi="Times New Roman"/>
          <w:sz w:val="20"/>
        </w:rPr>
        <w:t xml:space="preserve">(l) Liens in favor of customs and revenue authorities arising as a matter of law to secure payment of customs duties in connection with the importation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(m) landlords’ liens on fixtures located on premises leased by the Borrower or a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Liens arising from any conditional sale or other title retention agreement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(o) Liens solely on any cash earnest money deposits made by the Borrower or any Subsidiary in connection with any letter of intent or purchase agreement in respect of any Investment by the Borrower or any Subsidiary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(p) any interest or title of a lessor or secured by a lessor’s interest under any lease; </w:t>
      </w:r>
    </w:p>
    <w:p>
      <w:pPr>
        <w:pStyle w:val="TextBody"/>
        <w:bidi w:val="0"/>
        <w:spacing w:before="120" w:after="0"/>
        <w:jc w:val="left"/>
        <w:rPr>
          <w:rFonts w:ascii="Times New Roman" w:hAnsi="Times New Roman"/>
          <w:sz w:val="20"/>
        </w:rPr>
      </w:pPr>
      <w:r>
        <w:rPr>
          <w:rFonts w:ascii="Times New Roman" w:hAnsi="Times New Roman"/>
          <w:sz w:val="20"/>
        </w:rPr>
        <w:t xml:space="preserve">(q) pledges or deposits made by the Borrower or any of its Subsidiaries in the ordinary course of business to secure financing of insurance premiums; </w:t>
      </w:r>
    </w:p>
    <w:p>
      <w:pPr>
        <w:pStyle w:val="TextBody"/>
        <w:bidi w:val="0"/>
        <w:spacing w:before="120" w:after="0"/>
        <w:jc w:val="left"/>
        <w:rPr>
          <w:rFonts w:ascii="Times New Roman" w:hAnsi="Times New Roman"/>
          <w:sz w:val="20"/>
        </w:rPr>
      </w:pPr>
      <w:r>
        <w:rPr>
          <w:rFonts w:ascii="Times New Roman" w:hAnsi="Times New Roman"/>
          <w:sz w:val="20"/>
        </w:rPr>
        <w:t xml:space="preserve">(r) licensing (including sublicensing) of Intellectual Property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Liens in respect of Permitted Receivables Financings that extend only to the receivables subject thereto, the agreements governing the receivables included in such Permitted Receivables Financings, the rights under any such agreements, the proceeds thereof and the accounts of any Special Purpose Receivables Subsidiary into which such proceeds are paid; </w:t>
      </w:r>
    </w:p>
    <w:p>
      <w:pPr>
        <w:pStyle w:val="TextBody"/>
        <w:bidi w:val="0"/>
        <w:spacing w:before="120" w:after="0"/>
        <w:jc w:val="left"/>
        <w:rPr>
          <w:rFonts w:ascii="Times New Roman" w:hAnsi="Times New Roman"/>
          <w:sz w:val="20"/>
        </w:rPr>
      </w:pPr>
      <w:r>
        <w:rPr>
          <w:rFonts w:ascii="Times New Roman" w:hAnsi="Times New Roman"/>
          <w:sz w:val="20"/>
        </w:rPr>
        <w:t xml:space="preserve">(t) other Liens securing Indebtedness in an aggregate principal amount at any time outstanding not to exceed $25,000,000; </w:t>
      </w:r>
    </w:p>
    <w:p>
      <w:pPr>
        <w:pStyle w:val="TextBody"/>
        <w:bidi w:val="0"/>
        <w:spacing w:before="120" w:after="0"/>
        <w:jc w:val="left"/>
        <w:rPr>
          <w:rFonts w:ascii="Times New Roman" w:hAnsi="Times New Roman"/>
          <w:sz w:val="20"/>
        </w:rPr>
      </w:pPr>
      <w:r>
        <w:rPr>
          <w:rFonts w:ascii="Times New Roman" w:hAnsi="Times New Roman"/>
          <w:sz w:val="20"/>
        </w:rPr>
        <w:t xml:space="preserve">(u) Liens on assets constituting Collateral securing Indebtedness issued or incurred in accordance with </w:t>
      </w:r>
      <w:r>
        <w:rPr>
          <w:rFonts w:ascii="Times New Roman" w:hAnsi="Times New Roman"/>
          <w:sz w:val="20"/>
          <w:u w:val="single"/>
        </w:rPr>
        <w:t>Section 2.17</w:t>
      </w:r>
      <w:r>
        <w:rPr>
          <w:rFonts w:ascii="Times New Roman" w:hAnsi="Times New Roman"/>
          <w:sz w:val="20"/>
        </w:rPr>
        <w:t xml:space="preserve">, </w:t>
      </w:r>
      <w:r>
        <w:rPr>
          <w:rFonts w:ascii="Times New Roman" w:hAnsi="Times New Roman"/>
          <w:sz w:val="20"/>
          <w:u w:val="single"/>
        </w:rPr>
        <w:t>Section 7.03(j)</w:t>
      </w:r>
      <w:r>
        <w:rPr>
          <w:rFonts w:ascii="Times New Roman" w:hAnsi="Times New Roman"/>
          <w:sz w:val="20"/>
        </w:rPr>
        <w:t xml:space="preserve">, or </w:t>
      </w:r>
      <w:r>
        <w:rPr>
          <w:rFonts w:ascii="Times New Roman" w:hAnsi="Times New Roman"/>
          <w:sz w:val="20"/>
          <w:u w:val="single"/>
        </w:rPr>
        <w:t>Section 7.03(s)</w:t>
      </w:r>
      <w:r>
        <w:rPr>
          <w:rFonts w:ascii="Times New Roman" w:hAnsi="Times New Roman"/>
          <w:sz w:val="20"/>
        </w:rPr>
        <w:t xml:space="preserve"> and permitted to be secured thereunder and any Permitted Refinancing in respect thereof; </w:t>
      </w:r>
      <w:r>
        <w:rPr>
          <w:rFonts w:ascii="Times New Roman" w:hAnsi="Times New Roman"/>
          <w:i/>
          <w:sz w:val="20"/>
        </w:rPr>
        <w:t>provided</w:t>
      </w:r>
      <w:r>
        <w:rPr>
          <w:rFonts w:ascii="Times New Roman" w:hAnsi="Times New Roman"/>
          <w:sz w:val="20"/>
        </w:rPr>
        <w:t xml:space="preserve"> that, in the case of any Permitted Refinancing, such Liens are limited to the same assets constituting Collateral to the same extent as the Indebtedness being refinanced; </w:t>
      </w:r>
    </w:p>
    <w:p>
      <w:pPr>
        <w:pStyle w:val="TextBody"/>
        <w:bidi w:val="0"/>
        <w:spacing w:before="120" w:after="0"/>
        <w:jc w:val="left"/>
        <w:rPr>
          <w:rFonts w:ascii="Times New Roman" w:hAnsi="Times New Roman"/>
          <w:sz w:val="20"/>
        </w:rPr>
      </w:pPr>
      <w:r>
        <w:rPr>
          <w:rFonts w:ascii="Times New Roman" w:hAnsi="Times New Roman"/>
          <w:sz w:val="20"/>
        </w:rPr>
        <w:t xml:space="preserve">(v) (i) Liens that are </w:t>
      </w:r>
      <w:r>
        <w:rPr>
          <w:rFonts w:ascii="Times New Roman" w:hAnsi="Times New Roman"/>
          <w:i/>
          <w:sz w:val="20"/>
        </w:rPr>
        <w:t>pari passu</w:t>
      </w:r>
      <w:r>
        <w:rPr>
          <w:rFonts w:ascii="Times New Roman" w:hAnsi="Times New Roman"/>
          <w:sz w:val="20"/>
        </w:rPr>
        <w:t xml:space="preserve"> with the Liens securing the Obligations; </w:t>
      </w:r>
      <w:r>
        <w:rPr>
          <w:rFonts w:ascii="Times New Roman" w:hAnsi="Times New Roman"/>
          <w:i/>
          <w:sz w:val="20"/>
        </w:rPr>
        <w:t>provided</w:t>
      </w:r>
      <w:r>
        <w:rPr>
          <w:rFonts w:ascii="Times New Roman" w:hAnsi="Times New Roman"/>
          <w:sz w:val="20"/>
        </w:rPr>
        <w:t xml:space="preserve"> that the Consolidated Senior Secured Net Leverage Ratio as of the last day of the most recently ended Reference Period does not exceed 3.75 to 1.00 on a Pro Forma Basis (or, to the extent such Liens are incurred in connection with a Permitted Acquisition, the Consolidated Senior Secured Net Leverage Ratio as of the last day of the most recently ended Reference Period does not exceed the greater of 3.75 to 1.00 and the Consolidated Senior Secured Net Leverage Ratio immediately prior to such Permitted Acquisition, in each case on a Pro Forma Basis) and (ii) Liens that are junior to the Liens securing the Obligations; </w:t>
      </w:r>
      <w:r>
        <w:rPr>
          <w:rFonts w:ascii="Times New Roman" w:hAnsi="Times New Roman"/>
          <w:i/>
          <w:sz w:val="20"/>
        </w:rPr>
        <w:t>provided</w:t>
      </w:r>
      <w:r>
        <w:rPr>
          <w:rFonts w:ascii="Times New Roman" w:hAnsi="Times New Roman"/>
          <w:sz w:val="20"/>
        </w:rPr>
        <w:t xml:space="preserve"> that the Consolidated Total Leverage Ratio as of the last day of the most recently ended Reference Period does not exceed 4.50 to 1.00 on a Pro Forma Basis (or, to the extent such Liens are incurred in connection with a Permitted Acquisition, the Consolidated Total Leverage Ratio as of the last day of the most recently ended Reference Period does not exceed the greater of 4.50 to 1.00 and the Consolidated Total Leverage Ratio immediately prior to such Permitted Acquisition, in each case on a Pro Forma Basis);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each case any Indebtedness secured by such Liens shall be subject to customary intercreditor terms reasonably agreed between the Borrower and the Administrative Agent; and </w:t>
      </w:r>
    </w:p>
    <w:p>
      <w:pPr>
        <w:pStyle w:val="TextBody"/>
        <w:bidi w:val="0"/>
        <w:spacing w:before="240" w:after="0"/>
        <w:jc w:val="left"/>
        <w:rPr>
          <w:rFonts w:ascii="Times New Roman" w:hAnsi="Times New Roman"/>
          <w:sz w:val="20"/>
        </w:rPr>
      </w:pPr>
      <w:r>
        <w:rPr>
          <w:rFonts w:ascii="Times New Roman" w:hAnsi="Times New Roman"/>
          <w:sz w:val="20"/>
        </w:rPr>
        <w:t xml:space="preserve">(w) Liens on assets constituting Collateral securing obligations under Indebtedness outstanding pursuant to </w:t>
      </w:r>
      <w:r>
        <w:rPr>
          <w:rFonts w:ascii="Times New Roman" w:hAnsi="Times New Roman"/>
          <w:sz w:val="20"/>
          <w:u w:val="single"/>
        </w:rPr>
        <w:t>Section 7.03(v)</w:t>
      </w:r>
      <w:r>
        <w:rPr>
          <w:rFonts w:ascii="Times New Roman" w:hAnsi="Times New Roman"/>
          <w:sz w:val="20"/>
        </w:rPr>
        <w:t xml:space="preserve">, so long as any such Liens on Collateral are subject to the terms of the First Lien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else to the contrary herein, the Borrower will not, and will not permit any of its Subsidiaries to grant a Lien securing Indebtedness for borrowed money in favor of any Person on any fee owned Real Property Asset (other than any Liens granted to secure all of the Obligations and other than Liens described in clause (g), (u) and (v) of the definition of “Permitted Liens”; </w:t>
      </w:r>
      <w:r>
        <w:rPr>
          <w:rFonts w:ascii="Times New Roman" w:hAnsi="Times New Roman"/>
          <w:sz w:val="20"/>
          <w:u w:val="single"/>
        </w:rPr>
        <w:t>provided</w:t>
      </w:r>
      <w:r>
        <w:rPr>
          <w:rFonts w:ascii="Times New Roman" w:hAnsi="Times New Roman"/>
          <w:sz w:val="20"/>
        </w:rPr>
        <w:t xml:space="preserve"> that the Liens described in clauses (u) and (v) shall rank </w:t>
      </w:r>
      <w:r>
        <w:rPr>
          <w:rFonts w:ascii="Times New Roman" w:hAnsi="Times New Roman"/>
          <w:i/>
          <w:sz w:val="20"/>
        </w:rPr>
        <w:t xml:space="preserve">pari passu </w:t>
      </w:r>
      <w:r>
        <w:rPr>
          <w:rFonts w:ascii="Times New Roman" w:hAnsi="Times New Roman"/>
          <w:sz w:val="20"/>
        </w:rPr>
        <w:t xml:space="preserve">or junior in right of payment and priority to the Liens securing the Obligations and any Indebtedness secured by such Liens shall be subject to customary intercreditor terms reasonably agreed between the Borrower and the Administrative Agent. </w:t>
      </w:r>
    </w:p>
    <w:p>
      <w:pPr>
        <w:pStyle w:val="TextBody"/>
        <w:bidi w:val="0"/>
        <w:spacing w:before="240" w:after="0"/>
        <w:jc w:val="left"/>
        <w:rPr>
          <w:rFonts w:ascii="Times New Roman" w:hAnsi="Times New Roman"/>
          <w:sz w:val="20"/>
        </w:rPr>
      </w:pPr>
      <w:r>
        <w:rPr>
          <w:rFonts w:ascii="Times New Roman" w:hAnsi="Times New Roman"/>
          <w:b/>
          <w:sz w:val="20"/>
        </w:rPr>
        <w:t>7.02</w:t>
      </w:r>
      <w:r>
        <w:rPr>
          <w:rFonts w:ascii="Times New Roman" w:hAnsi="Times New Roman"/>
          <w:sz w:val="20"/>
        </w:rPr>
        <w:t xml:space="preserve"> </w:t>
      </w:r>
      <w:r>
        <w:rPr>
          <w:rFonts w:ascii="Times New Roman" w:hAnsi="Times New Roman"/>
          <w:b/>
          <w:sz w:val="20"/>
        </w:rPr>
        <w:t xml:space="preserve">Investments. </w:t>
      </w:r>
      <w:r>
        <w:rPr>
          <w:rFonts w:ascii="Times New Roman" w:hAnsi="Times New Roman"/>
          <w:sz w:val="20"/>
        </w:rPr>
        <w:t xml:space="preserve">Make any Investments in any Person, except: </w:t>
      </w:r>
    </w:p>
    <w:p>
      <w:pPr>
        <w:pStyle w:val="TextBody"/>
        <w:bidi w:val="0"/>
        <w:spacing w:before="120" w:after="0"/>
        <w:jc w:val="left"/>
        <w:rPr>
          <w:rFonts w:ascii="Times New Roman" w:hAnsi="Times New Roman"/>
          <w:sz w:val="20"/>
        </w:rPr>
      </w:pPr>
      <w:r>
        <w:rPr>
          <w:rFonts w:ascii="Times New Roman" w:hAnsi="Times New Roman"/>
          <w:sz w:val="20"/>
        </w:rPr>
        <w:t xml:space="preserve">(a) Investments held in the form of cash 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(b) Investments made prior to the Closing Date set forth in </w:t>
      </w:r>
      <w:r>
        <w:rPr>
          <w:rFonts w:ascii="Times New Roman" w:hAnsi="Times New Roman"/>
          <w:sz w:val="20"/>
          <w:u w:val="single"/>
        </w:rPr>
        <w:t>Schedule 7.02</w:t>
      </w:r>
      <w:r>
        <w:rPr>
          <w:rFonts w:ascii="Times New Roman" w:hAnsi="Times New Roman"/>
          <w:sz w:val="20"/>
        </w:rPr>
        <w:t xml:space="preserve"> and any renewals or extensions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advances to directors, officers, employees and consultants of the Borrower or any other Subsidiary for payroll, travel and to cover similar matters, each of which is expected at the time of such advance to be treated as an expense for accounting purposes and that are made in the ordinary course of business and loans to directors, officers, employees and consultants of the Borrower or any Subsidiary Guarantor in the ordinary course of business as presently conducted, such advances and loans in an aggregate principal amount not to exceed $5,000,000 in the aggregate at any one time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advances or loans to directors or executive officers shall only be permitted to the extent allowable under Sarbanes-Oxley; </w:t>
      </w:r>
    </w:p>
    <w:p>
      <w:pPr>
        <w:pStyle w:val="TextBody"/>
        <w:bidi w:val="0"/>
        <w:spacing w:before="120" w:after="0"/>
        <w:jc w:val="left"/>
        <w:rPr>
          <w:rFonts w:ascii="Times New Roman" w:hAnsi="Times New Roman"/>
          <w:sz w:val="20"/>
        </w:rPr>
      </w:pPr>
      <w:r>
        <w:rPr>
          <w:rFonts w:ascii="Times New Roman" w:hAnsi="Times New Roman"/>
          <w:sz w:val="20"/>
        </w:rPr>
        <w:t xml:space="preserve">(d) Investments by any Loan Party in and to the Borrower or any other Loan Party in the form of contributions to capital or loans or advances; </w:t>
      </w:r>
      <w:r>
        <w:rPr>
          <w:rFonts w:ascii="Times New Roman" w:hAnsi="Times New Roman"/>
          <w:sz w:val="20"/>
          <w:u w:val="single"/>
        </w:rPr>
        <w:t>provided</w:t>
      </w:r>
      <w:r>
        <w:rPr>
          <w:rFonts w:ascii="Times New Roman" w:hAnsi="Times New Roman"/>
          <w:sz w:val="20"/>
        </w:rPr>
        <w:t xml:space="preserve"> that (i) immediately before and after giving effect thereto, no Event of Default exists or would result therefrom, (ii) each such item of intercompany Indebtedness shall be unsecured and (iii) each such item of intercompany Indebtedness owed to the Borrower from another Loan Party shall be evidenced by an Intercompany Note which shall be pledged as security for the Obligations of the holder thereof under the Loan Documents and delivered to the Administrative Agent pursuant to the terms of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(e) Investments by any Excluded Subsidiary in and to the Borrower or any other Subsidiary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(f) other than Investments permitted pursuant to clause (g) below, (1) Investments by any Loan Party in and to Excluded Subsidiaries in an amount not to exceed the greater of (i) $40,000,000 and (ii) 10% of Consolidated EBITDA of the Borrower and its consolidated Subsidiaries in the aggregate in each fiscal year, so long as after giving pro forma effect to each such Investment under this clause (f) and any related transactions, the Consolidated Total Leverage Ratio as of the last day of the most recently ended Reference Period does not exceed 3.50 to 1.00 on a Pro Forma Basis; </w:t>
      </w:r>
      <w:r>
        <w:rPr>
          <w:rFonts w:ascii="Times New Roman" w:hAnsi="Times New Roman"/>
          <w:sz w:val="20"/>
          <w:u w:val="single"/>
        </w:rPr>
        <w:t>provided</w:t>
      </w:r>
      <w:r>
        <w:rPr>
          <w:rFonts w:ascii="Times New Roman" w:hAnsi="Times New Roman"/>
          <w:sz w:val="20"/>
        </w:rPr>
        <w:t xml:space="preserve"> that, within any fiscal year if any portion of an Investment made pursuant to this clause (f) is repaid to a Loan Party, then such repaid amount may be reinvested under this clause (f) during such fiscal year as long as the amount of Investments in all Excluded Subsidiaries in such fiscal year does not exceed the greater of (x) $40,000,000 and (y) 10% of Consolidated EBITDA of the Borrower and its consolidated Subsidiaries and the Consolidated Total Leverage Ratio as of the last day of the most recently ended Reference Period does not exceed 3.50 to 1.00 on a Pro Forma Basis after giving pro forma effect to each such Investment and any related transactions under this clause (f) and (2) Investments by any Loan Party in and to Excluded Subsidiaries in connection with any intracompany tax restructuring that, after giving effect to such tax restructuring, do not result in a net increase in the aggregate amount of assets held by the Excluded Subsidiaries taken as a whole (other than any de minimis increases) or materially impair the value of the Collateral taken as a whole (as reasonably determined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(g) (i) Investments that constitute Permitted Acquisitions (including Investments in Foreign Subsidiaries for the purpose of effecting a Permitted Acquisition) (x) at all times starting with the first fiscal quarter of the Borrower ending after the Closing Date until the last day of the fiscal quarter period ending September 30, 2028, unlimited for so long as the Consolidated Total Leverage Ratio as of the last day of the most recently ended Reference Period does not exceed 3.50 to 1.00 on a Pro Forma Basis and (y) thereafter: (A) in an aggregate amount not to exceed $50,000,000, </w:t>
      </w:r>
      <w:r>
        <w:rPr>
          <w:rFonts w:ascii="Times New Roman" w:hAnsi="Times New Roman"/>
          <w:i/>
          <w:sz w:val="20"/>
        </w:rPr>
        <w:t>plus</w:t>
      </w:r>
      <w:r>
        <w:rPr>
          <w:rFonts w:ascii="Times New Roman" w:hAnsi="Times New Roman"/>
          <w:sz w:val="20"/>
        </w:rPr>
        <w:t xml:space="preserve"> (B) an unlimited amount so long as, in the case of this sub-clause (B), after giving pro forma effect to each such Permitted Acquisition under this clause (g)(i) and any related transactions the Borrower and its Consolidated Subsidiaries shall be in compliance on a Pro Forma Basis with </w:t>
      </w:r>
      <w:r>
        <w:rPr>
          <w:rFonts w:ascii="Times New Roman" w:hAnsi="Times New Roman"/>
          <w:sz w:val="20"/>
          <w:u w:val="single"/>
        </w:rPr>
        <w:t>Section 7.17</w:t>
      </w:r>
      <w:r>
        <w:rPr>
          <w:rFonts w:ascii="Times New Roman" w:hAnsi="Times New Roman"/>
          <w:sz w:val="20"/>
        </w:rPr>
        <w:t xml:space="preserve"> after giving effect to such transaction, and (ii) Investments in Minority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Investments in Swap Contracts permitted under </w:t>
      </w:r>
      <w:r>
        <w:rPr>
          <w:rFonts w:ascii="Times New Roman" w:hAnsi="Times New Roman"/>
          <w:sz w:val="20"/>
          <w:u w:val="single"/>
        </w:rPr>
        <w:t>Section 7.03(d)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Guarantees permitted by </w:t>
      </w:r>
      <w:r>
        <w:rPr>
          <w:rFonts w:ascii="Times New Roman" w:hAnsi="Times New Roman"/>
          <w:sz w:val="20"/>
          <w:u w:val="single"/>
        </w:rPr>
        <w:t>Section 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Investments made as a result of the receipt of non-cash consideration from a Disposition that was made pursuant to and in compliance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no time shall Investments of this type exceed $40,000,000 in the aggregate (it being understood that earn-outs negotiated in the ordinary course of business as part of a Disposition shall not be considered “non-cash consideration” for purposes of this </w:t>
      </w:r>
      <w:r>
        <w:rPr>
          <w:rFonts w:ascii="Times New Roman" w:hAnsi="Times New Roman"/>
          <w:sz w:val="20"/>
          <w:u w:val="single"/>
        </w:rPr>
        <w:t>Section 7.02(j)</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Extensions of credit to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Investments made out of the proceeds of an issuance of Qualified Equity Interests of the Borrower substantially concurrent with such issuance; </w:t>
      </w:r>
      <w:r>
        <w:rPr>
          <w:rFonts w:ascii="Times New Roman" w:hAnsi="Times New Roman"/>
          <w:sz w:val="20"/>
          <w:u w:val="single"/>
        </w:rPr>
        <w:t>provided</w:t>
      </w:r>
      <w:r>
        <w:rPr>
          <w:rFonts w:ascii="Times New Roman" w:hAnsi="Times New Roman"/>
          <w:sz w:val="20"/>
        </w:rPr>
        <w:t xml:space="preserve"> that, (A) the Property acquired (or the Property of the Person acquired) in such transaction shall be used or useful in the same or similar line of business as the Loan Parties on the Closing Date, including activities ancillary, related or complementary thereto, (B) after giving effect to such transaction on a Pro Forma Basis, the total equity and debt investments of the Borrower and its Domestic Subsidiaries in the Foreign Subsidiaries does not exceed fifty percent (50%) of the aggregate book value of the total assets of the Borrower and its Domestic Subsidiaries, all as determined in accordance with GAAP, (C) in the case of an Acquisition of the Equity Interests of another Person, (i) the board of directors (or other comparable governing body) of such other Person shall have duly approved such Acquisition and (ii) with respect to any Acquisition in excess of $50,000,000, the Borrower shall have delivered to the Administrative Agent, a Compliance Certificate signed by a Responsible Officer of the Borrower demonstrating compliance with </w:t>
      </w:r>
      <w:r>
        <w:rPr>
          <w:rFonts w:ascii="Times New Roman" w:hAnsi="Times New Roman"/>
          <w:sz w:val="20"/>
          <w:u w:val="single"/>
        </w:rPr>
        <w:t>Section 7.17</w:t>
      </w:r>
      <w:r>
        <w:rPr>
          <w:rFonts w:ascii="Times New Roman" w:hAnsi="Times New Roman"/>
          <w:sz w:val="20"/>
        </w:rPr>
        <w:t xml:space="preserve"> after giving effect to the transaction on a Pro Forma Basis, and reaffirming that the representations are true and correct in all material respects as of the date of the purchase agreement executed in connection with such Acquisition, (D) at the time of the execution and delivery of the purchase agreement related to such Acquisition, no Event of Default has occurred and is continuing or would result therefrom, and after giving effect to such Acquisition, no Event of Default under </w:t>
      </w:r>
      <w:r>
        <w:rPr>
          <w:rFonts w:ascii="Times New Roman" w:hAnsi="Times New Roman"/>
          <w:sz w:val="20"/>
          <w:u w:val="single"/>
        </w:rPr>
        <w:t>Section 8.01(f)</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8.01(i)</w:t>
      </w:r>
      <w:r>
        <w:rPr>
          <w:rFonts w:ascii="Times New Roman" w:hAnsi="Times New Roman"/>
          <w:sz w:val="20"/>
        </w:rPr>
        <w:t xml:space="preserve"> has occurred and is continuing or would result therefrom; (E) the Borrower and its Consolidated Subsidiaries shall be in compliance on a Pro Forma Basis with </w:t>
      </w:r>
      <w:r>
        <w:rPr>
          <w:rFonts w:ascii="Times New Roman" w:hAnsi="Times New Roman"/>
          <w:sz w:val="20"/>
          <w:u w:val="single"/>
        </w:rPr>
        <w:t>Section 7.17</w:t>
      </w:r>
      <w:r>
        <w:rPr>
          <w:rFonts w:ascii="Times New Roman" w:hAnsi="Times New Roman"/>
          <w:sz w:val="20"/>
        </w:rPr>
        <w:t xml:space="preserve"> after giving effect to such transaction, (F) the transaction shall not involve the acquisition of an interest in a general partnership or joint venture or have a requirement that any Loan Party be a general or joint venture partner, (G) after giving pro forma effect to each such Investment and any related transactions, the Consolidated Total Leverage Ratio as of the last day of the most recently ended Reference Period does not exceed 3.50 to 1.00 on a Pro Forma Basis and (H) the Loan Parties shall, and shall cause the party that is the subject of the transaction to, execute and deliver such joinder and pledge agreements, security agreements and intercompany notes and take such other actions as may be necessary for compliance with the provisions of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Investments of a nature not contemplated in the foregoing subsections (A) in an amount not to exceed $25,000,000 in the aggregate at any time outstanding </w:t>
      </w:r>
      <w:r>
        <w:rPr>
          <w:rFonts w:ascii="Times New Roman" w:hAnsi="Times New Roman"/>
          <w:sz w:val="20"/>
          <w:u w:val="single"/>
        </w:rPr>
        <w:t>plus</w:t>
      </w:r>
      <w:r>
        <w:rPr>
          <w:rFonts w:ascii="Times New Roman" w:hAnsi="Times New Roman"/>
          <w:sz w:val="20"/>
        </w:rPr>
        <w:t xml:space="preserve"> (B) in an amount not to exceed the greater of (i) $100,000,000 and (ii) 25% of Consolidated EBITDA of the Borrower and its consolidated Subsidiaries in the aggregate at any time outstanding, so long as after giving pro forma effect to each such Investment under this sub-clause (B) and any related transactions, the Consolidated Total Leverage Ratio as of the last day of the most recently ended Reference Period does not exceed 3.50 to 1.00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Investments made by Excluded Subsidiaries in an amount not to exceed the greater of (i) $100,000,000 and (ii) 25% of Consolidated EBITDA of the Borrower and its consolidated Subsidiaries in the aggregate at any time outstanding, so long as after giving pro forma effect to each such Investment under this clause (n), the Consolidated Total Leverage Ratio as of the last day of the most recently ended Reference Period does not exceed 3.50 to 1.00 on a Pro Forma Basis; </w:t>
      </w:r>
    </w:p>
    <w:p>
      <w:pPr>
        <w:pStyle w:val="TextBody"/>
        <w:bidi w:val="0"/>
        <w:spacing w:before="120" w:after="0"/>
        <w:jc w:val="left"/>
        <w:rPr>
          <w:rFonts w:ascii="Times New Roman" w:hAnsi="Times New Roman"/>
          <w:sz w:val="20"/>
        </w:rPr>
      </w:pPr>
      <w:r>
        <w:rPr>
          <w:rFonts w:ascii="Times New Roman" w:hAnsi="Times New Roman"/>
          <w:sz w:val="20"/>
        </w:rPr>
        <w:t xml:space="preserve">(o) Investments consisting of extensions of credit in the nature of accounts receivable or notes receivable arising from the grant of trade credit in the ordinary course of business, and Investments (including equity interests) received (i) in connection with the bankruptcy workout, recapitalization or reorganization of suppliers and customers or in settlement of delinquent obligations of, or other disputes with or judgments against, customers and suppliers arising in the ordinary course of business, (ii) upon the foreclosure with respect to any secured Investment, (iii) as a result of the settlement, compromise or resolution of litigation, arbitration or other disputes or (iv) in settlement of debts created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(p) Investments in the form of milestone or other upfront payments made in the ordinary course in connection with the right to receive royalty or other recurring payments; </w:t>
      </w:r>
    </w:p>
    <w:p>
      <w:pPr>
        <w:pStyle w:val="TextBody"/>
        <w:bidi w:val="0"/>
        <w:spacing w:before="120" w:after="0"/>
        <w:jc w:val="left"/>
        <w:rPr>
          <w:rFonts w:ascii="Times New Roman" w:hAnsi="Times New Roman"/>
          <w:sz w:val="20"/>
        </w:rPr>
      </w:pPr>
      <w:r>
        <w:rPr>
          <w:rFonts w:ascii="Times New Roman" w:hAnsi="Times New Roman"/>
          <w:sz w:val="20"/>
        </w:rPr>
        <w:t xml:space="preserve">(q) Investments made in the ordinary course of business into suppliers or customers of the Borrower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(r) Permitted Bond Hedge Transactions and any transactions pursuant to an accelerated share repurchase program that constitute Investments; </w:t>
      </w:r>
    </w:p>
    <w:p>
      <w:pPr>
        <w:pStyle w:val="TextBody"/>
        <w:bidi w:val="0"/>
        <w:spacing w:before="120" w:after="0"/>
        <w:jc w:val="left"/>
        <w:rPr>
          <w:rFonts w:ascii="Times New Roman" w:hAnsi="Times New Roman"/>
          <w:sz w:val="20"/>
        </w:rPr>
      </w:pPr>
      <w:r>
        <w:rPr>
          <w:rFonts w:ascii="Times New Roman" w:hAnsi="Times New Roman"/>
          <w:sz w:val="20"/>
        </w:rPr>
        <w:t xml:space="preserve">(s) additional Investments; </w:t>
      </w:r>
      <w:r>
        <w:rPr>
          <w:rFonts w:ascii="Times New Roman" w:hAnsi="Times New Roman"/>
          <w:i/>
          <w:sz w:val="20"/>
        </w:rPr>
        <w:t>provided</w:t>
      </w:r>
      <w:r>
        <w:rPr>
          <w:rFonts w:ascii="Times New Roman" w:hAnsi="Times New Roman"/>
          <w:sz w:val="20"/>
        </w:rPr>
        <w:t xml:space="preserve"> that after giving pro forma effect to such Investments (x) the Consolidated Total Leverage Ratio does not exceed 3.50 to 1.00, and (y) no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(t) Investments in joint ventures in an amount not to exceed the greater of (i) $100,000,000 and (ii) 25% of Consolidated EBITDA of the Borrower and its consolidated Subsidiaries in the aggregate at any time outstanding, so long as after giving pro forma effect to each such Investment under this clause (t) and any related transactions, the Consolidated Total Leverage Ratio as of the last day of the most recently ended Reference Period does not exceed 3.50 to 1.00 on a Pro Forma Basis; </w:t>
      </w:r>
    </w:p>
    <w:p>
      <w:pPr>
        <w:pStyle w:val="TextBody"/>
        <w:bidi w:val="0"/>
        <w:spacing w:before="120" w:after="0"/>
        <w:jc w:val="left"/>
        <w:rPr>
          <w:rFonts w:ascii="Times New Roman" w:hAnsi="Times New Roman"/>
          <w:sz w:val="20"/>
        </w:rPr>
      </w:pPr>
      <w:r>
        <w:rPr>
          <w:rFonts w:ascii="Times New Roman" w:hAnsi="Times New Roman"/>
          <w:sz w:val="20"/>
        </w:rPr>
        <w:t xml:space="preserve">(u) [reserved]; and </w:t>
      </w:r>
    </w:p>
    <w:p>
      <w:pPr>
        <w:pStyle w:val="TextBody"/>
        <w:bidi w:val="0"/>
        <w:spacing w:before="120" w:after="0"/>
        <w:jc w:val="left"/>
        <w:rPr>
          <w:rFonts w:ascii="Times New Roman" w:hAnsi="Times New Roman"/>
          <w:sz w:val="20"/>
        </w:rPr>
      </w:pPr>
      <w:r>
        <w:rPr>
          <w:rFonts w:ascii="Times New Roman" w:hAnsi="Times New Roman"/>
          <w:sz w:val="20"/>
        </w:rPr>
        <w:t xml:space="preserve">(v) Investments arising as a result of Permitted Receivables Financings.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or in any other Loan Document, (x) the Borrower and the other Loan Parties shall not, directly or indirectly, sell, transfer or exclusively license (including pursuant to an Investment, Restricted Payment or otherwise but excluding any non-exclusive license or exclusive license outside of the United States to a third party) any Material Intellectual Property (or Equity Interests in any Loan Party or Subsidiary that owns any such Material Intellectual Property) to any Subsidiary of the Borrower that is not a Loan Party; provided that this clause (x) shall not be applicable so long as the Consolidated Total Leverage Ratio as of the last day of the most recently ended Reference Period does not exceed 3.25 to 1.00 on a Pro Forma Basis and (y) the Borrower and the other Loan Parties shall not designate or treat any Subsidiary that owns or exclusively licenses any Material Intellectual Property as an Excluded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7.03</w:t>
      </w:r>
      <w:r>
        <w:rPr>
          <w:rFonts w:ascii="Times New Roman" w:hAnsi="Times New Roman"/>
          <w:sz w:val="20"/>
        </w:rPr>
        <w:t xml:space="preserve"> </w:t>
      </w:r>
      <w:r>
        <w:rPr>
          <w:rFonts w:ascii="Times New Roman" w:hAnsi="Times New Roman"/>
          <w:b/>
          <w:sz w:val="20"/>
        </w:rPr>
        <w:t>Indebtedness.</w:t>
      </w:r>
      <w:r>
        <w:rPr>
          <w:rFonts w:ascii="Times New Roman" w:hAnsi="Times New Roman"/>
          <w:sz w:val="20"/>
        </w:rPr>
        <w:t xml:space="preserve"> Create, incur or assume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listed on </w:t>
      </w:r>
      <w:r>
        <w:rPr>
          <w:rFonts w:ascii="Times New Roman" w:hAnsi="Times New Roman"/>
          <w:sz w:val="20"/>
          <w:u w:val="single"/>
        </w:rPr>
        <w:t>Schedule 7.03</w:t>
      </w:r>
      <w:r>
        <w:rPr>
          <w:rFonts w:ascii="Times New Roman" w:hAnsi="Times New Roman"/>
          <w:sz w:val="20"/>
        </w:rPr>
        <w:t xml:space="preserve"> that is outstanding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Guarantees of the Borrower or any of its Subsidiaries in respect of Indebtedness of the Borrower or any of its Subsidiaries otherwise permitted hereunder; </w:t>
      </w:r>
      <w:r>
        <w:rPr>
          <w:rFonts w:ascii="Times New Roman" w:hAnsi="Times New Roman"/>
          <w:sz w:val="20"/>
          <w:u w:val="single"/>
        </w:rPr>
        <w:t>provided</w:t>
      </w:r>
      <w:r>
        <w:rPr>
          <w:rFonts w:ascii="Times New Roman" w:hAnsi="Times New Roman"/>
          <w:sz w:val="20"/>
        </w:rPr>
        <w:t xml:space="preserve"> that (i) Loan Parties may (A) issue Guarantees under this clause only in respect of Indebtedness of other Loan Parties and (B) issue Guarantees of Indebtedness of Excluded Subsidiaries that does not exceed, when added to the amount of all deposits to secure letters of credit for the account of a Foreign Subsidiary under </w:t>
      </w:r>
      <w:r>
        <w:rPr>
          <w:rFonts w:ascii="Times New Roman" w:hAnsi="Times New Roman"/>
          <w:sz w:val="20"/>
          <w:u w:val="single"/>
        </w:rPr>
        <w:t>Section 7.01(f)</w:t>
      </w:r>
      <w:r>
        <w:rPr>
          <w:rFonts w:ascii="Times New Roman" w:hAnsi="Times New Roman"/>
          <w:sz w:val="20"/>
        </w:rPr>
        <w:t xml:space="preserve">, $40,000,000 in the aggregate at any time outstanding, so long as the Consolidated Total Leverage Ratio as of the last day of the most recently ended Reference Period does not exceed 3.50 to 1.00 on a Pro Forma Basis after giving effect to such transaction and (ii) Excluded Subsidiaries may issue Guarantees of Indebtedness of other Subsidiaries so long as such Indebtedness is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(d) obligations (contingent or otherwise) existing or arising under any Swap Contract; </w:t>
      </w:r>
      <w:r>
        <w:rPr>
          <w:rFonts w:ascii="Times New Roman" w:hAnsi="Times New Roman"/>
          <w:sz w:val="20"/>
          <w:u w:val="single"/>
        </w:rPr>
        <w:t>provided</w:t>
      </w:r>
      <w:r>
        <w:rPr>
          <w:rFonts w:ascii="Times New Roman" w:hAnsi="Times New Roman"/>
          <w:sz w:val="20"/>
        </w:rPr>
        <w:t xml:space="preserve"> that (i) such obligations are (or were) entered into by such Person for the purpose of directly mitigating risks associated with liabilities, commitments, investments, assets, or property held or reasonably anticipated by such Person, or changes in the value of securities issued by such Person, and not for purposes of speculation and (ii) such Swap Contract does not contain any provision exonerating the non-defaulting party from its obligation to make payments on outstanding transactions to the defaulting party; </w:t>
      </w:r>
    </w:p>
    <w:p>
      <w:pPr>
        <w:pStyle w:val="TextBody"/>
        <w:bidi w:val="0"/>
        <w:spacing w:before="120" w:after="0"/>
        <w:jc w:val="left"/>
        <w:rPr>
          <w:rFonts w:ascii="Times New Roman" w:hAnsi="Times New Roman"/>
          <w:sz w:val="20"/>
        </w:rPr>
      </w:pPr>
      <w:r>
        <w:rPr>
          <w:rFonts w:ascii="Times New Roman" w:hAnsi="Times New Roman"/>
          <w:sz w:val="20"/>
        </w:rPr>
        <w:t xml:space="preserve">(e) intercompany Indebtedness constituting an Investment that is permitted under </w:t>
      </w:r>
      <w:r>
        <w:rPr>
          <w:rFonts w:ascii="Times New Roman" w:hAnsi="Times New Roman"/>
          <w:sz w:val="20"/>
          <w:u w:val="single"/>
        </w:rPr>
        <w:t>Section 7.02(b)</w:t>
      </w:r>
      <w:r>
        <w:rPr>
          <w:rFonts w:ascii="Times New Roman" w:hAnsi="Times New Roman"/>
          <w:sz w:val="20"/>
        </w:rPr>
        <w:t xml:space="preserve">, </w:t>
      </w:r>
      <w:r>
        <w:rPr>
          <w:rFonts w:ascii="Times New Roman" w:hAnsi="Times New Roman"/>
          <w:sz w:val="20"/>
          <w:u w:val="single"/>
        </w:rPr>
        <w:t>7.02(d)</w:t>
      </w:r>
      <w:r>
        <w:rPr>
          <w:rFonts w:ascii="Times New Roman" w:hAnsi="Times New Roman"/>
          <w:sz w:val="20"/>
        </w:rPr>
        <w:t xml:space="preserve">, </w:t>
      </w:r>
      <w:r>
        <w:rPr>
          <w:rFonts w:ascii="Times New Roman" w:hAnsi="Times New Roman"/>
          <w:sz w:val="20"/>
          <w:u w:val="single"/>
        </w:rPr>
        <w:t>7.02(e)</w:t>
      </w:r>
      <w:r>
        <w:rPr>
          <w:rFonts w:ascii="Times New Roman" w:hAnsi="Times New Roman"/>
          <w:sz w:val="20"/>
        </w:rPr>
        <w:t xml:space="preserve">, </w:t>
      </w:r>
      <w:r>
        <w:rPr>
          <w:rFonts w:ascii="Times New Roman" w:hAnsi="Times New Roman"/>
          <w:sz w:val="20"/>
          <w:u w:val="single"/>
        </w:rPr>
        <w:t>7.02(f)</w:t>
      </w:r>
      <w:r>
        <w:rPr>
          <w:rFonts w:ascii="Times New Roman" w:hAnsi="Times New Roman"/>
          <w:sz w:val="20"/>
        </w:rPr>
        <w:t xml:space="preserve">, </w:t>
      </w:r>
      <w:r>
        <w:rPr>
          <w:rFonts w:ascii="Times New Roman" w:hAnsi="Times New Roman"/>
          <w:sz w:val="20"/>
          <w:u w:val="single"/>
        </w:rPr>
        <w:t>7.02(g)</w:t>
      </w:r>
      <w:r>
        <w:rPr>
          <w:rFonts w:ascii="Times New Roman" w:hAnsi="Times New Roman"/>
          <w:sz w:val="20"/>
        </w:rPr>
        <w:t xml:space="preserve">, </w:t>
      </w:r>
      <w:r>
        <w:rPr>
          <w:rFonts w:ascii="Times New Roman" w:hAnsi="Times New Roman"/>
          <w:sz w:val="20"/>
          <w:u w:val="single"/>
        </w:rPr>
        <w:t>7.02(l),</w:t>
      </w:r>
      <w:r>
        <w:rPr>
          <w:rFonts w:ascii="Times New Roman" w:hAnsi="Times New Roman"/>
          <w:sz w:val="20"/>
        </w:rPr>
        <w:t xml:space="preserve"> or </w:t>
      </w:r>
      <w:r>
        <w:rPr>
          <w:rFonts w:ascii="Times New Roman" w:hAnsi="Times New Roman"/>
          <w:sz w:val="20"/>
          <w:u w:val="single"/>
        </w:rPr>
        <w:t>7.02(m)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unsecured Indebtedness of any Loan Party; </w:t>
      </w:r>
      <w:r>
        <w:rPr>
          <w:rFonts w:ascii="Times New Roman" w:hAnsi="Times New Roman"/>
          <w:sz w:val="20"/>
          <w:u w:val="single"/>
        </w:rPr>
        <w:t>provided</w:t>
      </w:r>
      <w:r>
        <w:rPr>
          <w:rFonts w:ascii="Times New Roman" w:hAnsi="Times New Roman"/>
          <w:sz w:val="20"/>
        </w:rPr>
        <w:t xml:space="preserve"> that (i) after giving effect to such Indebtedness, the Consolidated Total Leverage Ratio calculated on a Pro Forma Basis shall be less than or equal to the then current maximum ratio set forth in </w:t>
      </w:r>
      <w:r>
        <w:rPr>
          <w:rFonts w:ascii="Times New Roman" w:hAnsi="Times New Roman"/>
          <w:sz w:val="20"/>
          <w:u w:val="single"/>
        </w:rPr>
        <w:t>Section 7.17(a)</w:t>
      </w:r>
      <w:r>
        <w:rPr>
          <w:rFonts w:ascii="Times New Roman" w:hAnsi="Times New Roman"/>
          <w:sz w:val="20"/>
        </w:rPr>
        <w:t xml:space="preserve">, (ii) the scheduled maturity date of such Indebtedness is no earlier than three (3) months after the Maturity Date and such Indebtedness does not contain any provisions providing for a holder put right or mandatory repurchase obligation of any Loan Party prior to such date (other than customary asset sale and change of control repurchase obligations or, with respect to Convertible Indebtedness, customary fundamental change obligations), (iii) the financial covenants and other negative covenants in the definitive documentation for such Indebtedness shall be no more materially restrictive (taken as a whole) than the financial and other negative covenants set forth herein in the reasonable determination of the Borrower, (iv) the other terms and conditions of the definitive documentation for such Indebtedness, taken as a whole, shall be customary for definitive documentation of Indebtedness of similarly situated issuers of similar forms of Indebtedness at such time in the reasonable determination of the Borrower, and (v) no Default has occurred and is continuing or could reasonably be expected to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(g) so long as (i) no Event of Default has occurred and is continuing or would result therefrom and (ii) the Borrower and its Consolidated Subsidiaries shall be in compliance on a Pro Forma Basis with </w:t>
      </w:r>
      <w:r>
        <w:rPr>
          <w:rFonts w:ascii="Times New Roman" w:hAnsi="Times New Roman"/>
          <w:sz w:val="20"/>
          <w:u w:val="single"/>
        </w:rPr>
        <w:t>Section 7.17</w:t>
      </w:r>
      <w:r>
        <w:rPr>
          <w:rFonts w:ascii="Times New Roman" w:hAnsi="Times New Roman"/>
          <w:sz w:val="20"/>
        </w:rPr>
        <w:t xml:space="preserve"> after giving effect to such transaction, secured Indebtedness in an aggregate principal amount not to exceed, together with the aggregate amount of all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Section 7.03(u), the greater of (A) $132,000,000 and (B) 33% of Consolidated EBITDA of the Borrower and its consolidated Subsidiaries at any time outstanding; </w:t>
      </w:r>
      <w:r>
        <w:rPr>
          <w:rFonts w:ascii="Times New Roman" w:hAnsi="Times New Roman"/>
          <w:sz w:val="20"/>
          <w:u w:val="single"/>
        </w:rPr>
        <w:t>provided</w:t>
      </w:r>
      <w:r>
        <w:rPr>
          <w:rFonts w:ascii="Times New Roman" w:hAnsi="Times New Roman"/>
          <w:sz w:val="20"/>
        </w:rPr>
        <w:t xml:space="preserve"> that such Indebtedness is not contractually senior in right of payment to the payment of the Indebtedness arising under this Agreement and the Loan Documents and either (x) was assumed or existed in connection with a Permitted Acquisition and the Liens securing such Indebtedness do not at any time encumber any Property other than the Property acquired in such Permitted Acquisition, or (y) is purchase money Indebtedness (including Capitalized Leases or Off-Balance Sheet Obligations) so long as (i) such Indebtedness is created and any Lien attaches to such Property concurrently with or within forty-five (45) days of the acquisition thereof, and (ii) such Lien does not at any time encumber any Property other than the Property financed by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(h) so long as (i) no Event of Default has occurred and is continuing or would result therefrom and (ii) the Borrower and its Consolidated Subsidiaries shall be in compliance on a Pro Forma Basis with </w:t>
      </w:r>
      <w:r>
        <w:rPr>
          <w:rFonts w:ascii="Times New Roman" w:hAnsi="Times New Roman"/>
          <w:sz w:val="20"/>
          <w:u w:val="single"/>
        </w:rPr>
        <w:t>Section 7.17</w:t>
      </w:r>
      <w:r>
        <w:rPr>
          <w:rFonts w:ascii="Times New Roman" w:hAnsi="Times New Roman"/>
          <w:sz w:val="20"/>
        </w:rPr>
        <w:t xml:space="preserve"> after giving effect to such transaction, unsecured Indebtedness (including reimbursement obligations under letters of credit and obligations in respect of performance bonds and completion guarantees) of the Loan Parties in an aggregate principal amount not to exceed the greater of (x) $132,000,000 and (y) 33% of Consolidated EBITDA of the Borrower and its consolidated Subsidiaries at any time outstanding; </w:t>
      </w:r>
      <w:r>
        <w:rPr>
          <w:rFonts w:ascii="Times New Roman" w:hAnsi="Times New Roman"/>
          <w:sz w:val="20"/>
          <w:u w:val="single"/>
        </w:rPr>
        <w:t>provided</w:t>
      </w:r>
      <w:r>
        <w:rPr>
          <w:rFonts w:ascii="Times New Roman" w:hAnsi="Times New Roman"/>
          <w:sz w:val="20"/>
        </w:rPr>
        <w:t xml:space="preserve">, that such Indebtedness is not contractually senior in right of payment to the payment of the Indebtedness arising under this Agreement and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arising from any agreement entered into by the Borrower or any Subsidiary providing for customary indemnification, purchase price adjustment, contingent consideration or similar obligations, in each case, incurred or assumed in connection with an Acquisition or Disposition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(j) Indebtedness of any Loan Party in the form of notes that are (at the option of the Borrower) unsecured or secured by the Collateral on a </w:t>
      </w:r>
      <w:r>
        <w:rPr>
          <w:rFonts w:ascii="Times New Roman" w:hAnsi="Times New Roman"/>
          <w:i/>
          <w:sz w:val="20"/>
        </w:rPr>
        <w:t>pari passu</w:t>
      </w:r>
      <w:r>
        <w:rPr>
          <w:rFonts w:ascii="Times New Roman" w:hAnsi="Times New Roman"/>
          <w:sz w:val="20"/>
        </w:rPr>
        <w:t xml:space="preserve"> or junior lien basis (“</w:t>
      </w:r>
      <w:r>
        <w:rPr>
          <w:rFonts w:ascii="Times New Roman" w:hAnsi="Times New Roman"/>
          <w:sz w:val="20"/>
          <w:u w:val="single"/>
        </w:rPr>
        <w:t>Incremental Notes</w:t>
      </w:r>
      <w:r>
        <w:rPr>
          <w:rFonts w:ascii="Times New Roman" w:hAnsi="Times New Roman"/>
          <w:sz w:val="20"/>
        </w:rPr>
        <w:t xml:space="preserve">”) in an amount not to exceed, together with any Incremental Facilities incurred pursuant to </w:t>
      </w:r>
      <w:r>
        <w:rPr>
          <w:rFonts w:ascii="Times New Roman" w:hAnsi="Times New Roman"/>
          <w:sz w:val="20"/>
          <w:u w:val="single"/>
        </w:rPr>
        <w:t>Section 2.16</w:t>
      </w:r>
      <w:r>
        <w:rPr>
          <w:rFonts w:ascii="Times New Roman" w:hAnsi="Times New Roman"/>
          <w:sz w:val="20"/>
        </w:rPr>
        <w:t xml:space="preserve">, the Incremental Amount; </w:t>
      </w:r>
      <w:r>
        <w:rPr>
          <w:rFonts w:ascii="Times New Roman" w:hAnsi="Times New Roman"/>
          <w:i/>
          <w:sz w:val="20"/>
        </w:rPr>
        <w:t>provided</w:t>
      </w:r>
      <w:r>
        <w:rPr>
          <w:rFonts w:ascii="Times New Roman" w:hAnsi="Times New Roman"/>
          <w:sz w:val="20"/>
        </w:rPr>
        <w:t xml:space="preserve"> that such Incremental Notes (i) do not mature prior to the latest final maturity date of, or have a shorter weighted average life than, any class of then outstanding Loans under the Facilities, (ii) have covenants and defaults no more restrictive (excluding pricing and optional prepayment and redemption terms), when taken as a whole, than those under the Facilities (except for covenants or other provisions (x) applicable only to periods after the latest final maturity of any Class of then outstanding Loans under the Facilities or (y) reasonably satisfactory to the Administrative Agent), (iii) do not require mandatory prepayments to be made except to the extent required to be applied pro rata to the Term Loans and any first lien secured Incremental Notes, (iv) to the extent secured, shall not be secured by any lien on any asset of the Borrower or any Subsidiary that does not also secure the Facilities, or be guaranteed by any person other than the Subsidiary Guarantors and (v) to the extent secured, shall be subject to customary intercreditor terms reasonably agreed between the Borrower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(k) Indebtedness representing a refinancing, refunding, renewal or extension of Indebtedness (x) permitted by clauses (b), (f) or (j) above or clause (l) below; </w:t>
      </w:r>
      <w:r>
        <w:rPr>
          <w:rFonts w:ascii="Times New Roman" w:hAnsi="Times New Roman"/>
          <w:sz w:val="20"/>
          <w:u w:val="single"/>
        </w:rPr>
        <w:t>provided</w:t>
      </w:r>
      <w:r>
        <w:rPr>
          <w:rFonts w:ascii="Times New Roman" w:hAnsi="Times New Roman"/>
          <w:sz w:val="20"/>
        </w:rPr>
        <w:t xml:space="preserve">, that (i) the principal amount of such Indebtedness is not increased at the time of such refinancing, refunding, renewal or extension (except in an amount not to exceed all fees, costs and other expenses incurred in connection with such refinancing, refunding, renewal or extension), (ii)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shall be consistent with market conditions at the time such refinancing, refunding, renewal or extension is consummated, (iii) with respect to any debt incurred pursuant to </w:t>
      </w:r>
      <w:r>
        <w:rPr>
          <w:rFonts w:ascii="Times New Roman" w:hAnsi="Times New Roman"/>
          <w:sz w:val="20"/>
          <w:u w:val="single"/>
        </w:rPr>
        <w:t>Section 7.03(f)</w:t>
      </w:r>
      <w:r>
        <w:rPr>
          <w:rFonts w:ascii="Times New Roman" w:hAnsi="Times New Roman"/>
          <w:sz w:val="20"/>
        </w:rPr>
        <w:t xml:space="preserve">, the maturity date is no earlier than three (3) months after the Maturity Date, (iv) with respect to any Indebtedness that refinances, replaces, refunds, renews or extends Indebtedness incurred pursuant to </w:t>
      </w:r>
      <w:r>
        <w:rPr>
          <w:rFonts w:ascii="Times New Roman" w:hAnsi="Times New Roman"/>
          <w:sz w:val="20"/>
          <w:u w:val="single"/>
        </w:rPr>
        <w:t>Section 7.03(j)</w:t>
      </w:r>
      <w:r>
        <w:rPr>
          <w:rFonts w:ascii="Times New Roman" w:hAnsi="Times New Roman"/>
          <w:sz w:val="20"/>
        </w:rPr>
        <w:t xml:space="preserve">, the stated maturity is no earlier than the maturity date of the Indebtedness being refinanced and (v) with respect to any Indebtedness incurred pursuant to </w:t>
      </w:r>
      <w:r>
        <w:rPr>
          <w:rFonts w:ascii="Times New Roman" w:hAnsi="Times New Roman"/>
          <w:sz w:val="20"/>
          <w:u w:val="single"/>
        </w:rPr>
        <w:t>Section 7.03(f)</w:t>
      </w:r>
      <w:r>
        <w:rPr>
          <w:rFonts w:ascii="Times New Roman" w:hAnsi="Times New Roman"/>
          <w:sz w:val="20"/>
        </w:rPr>
        <w:t xml:space="preserve"> above as long as the conditions to the incurrence thereof as set forth in clause (f) remain true and correct at the time of and after giving effect to such refinancing, renewal or extension, and (y) permitted by clause (h) above, as long as the conditions to the incurrence thereof remain true and correct at the time of and after giving effect to such refinancing, renewal or extensions; </w:t>
      </w:r>
    </w:p>
    <w:p>
      <w:pPr>
        <w:pStyle w:val="TextBody"/>
        <w:bidi w:val="0"/>
        <w:spacing w:before="120" w:after="0"/>
        <w:jc w:val="left"/>
        <w:rPr>
          <w:rFonts w:ascii="Times New Roman" w:hAnsi="Times New Roman"/>
          <w:sz w:val="20"/>
        </w:rPr>
      </w:pPr>
      <w:r>
        <w:rPr>
          <w:rFonts w:ascii="Times New Roman" w:hAnsi="Times New Roman"/>
          <w:sz w:val="20"/>
        </w:rPr>
        <w:t xml:space="preserve">(l) Indebtedness of Excluded Subsidiaries in an aggregate principal amount not to exceed $100,000,000 at any time outstanding, so long as the Consolidated Total Leverage Ratio as of the last day of the most recently ended Reference Period does not exceed 3.50 to 1.00 on a Pro Forma Basis after giving effect to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(m) obligations (including in respect of letters of credit, bank guarantees, bankers’ acceptances, warehouse receipts or similar instruments issued or created in the ordinary course of business) in respect of bids, tenders, trade contracts, governmental contracts and leases, construction contracts, statutory obligations, surety, stay, customs, bid, and appeal bonds, performance and return of money bonds, performance and completion guarantees, agreements with utilities and other obligations of a like nature (including those to secure health, safety and environmental obligations), in each case in the ordinary course of business and either (i) consistent with past practices or (ii) reasonably necessary for the operation of the business of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(n) Indebtedness consisting of the financing of insurance premiums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(o) customary Indebtedness under or in respect of Cash Management Services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(p) Indebtedness representing deferred compensation, severance, pension and health and welfare retirement benefits or the equivalent to current or former officers, directors, managers, employees, members of management and consultants of the Borrower and the Subsidiaries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(q) Indebtedness arising in connection with judgments against Borrower or its Subsidiaries to the extent such judgment is not an Event of Default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such Indebtedness under this clause (q) shall not exceed the Threshold Amount; </w:t>
      </w:r>
    </w:p>
    <w:p>
      <w:pPr>
        <w:pStyle w:val="TextBody"/>
        <w:bidi w:val="0"/>
        <w:spacing w:before="120" w:after="0"/>
        <w:jc w:val="left"/>
        <w:rPr>
          <w:rFonts w:ascii="Times New Roman" w:hAnsi="Times New Roman"/>
          <w:sz w:val="20"/>
        </w:rPr>
      </w:pPr>
      <w:r>
        <w:rPr>
          <w:rFonts w:ascii="Times New Roman" w:hAnsi="Times New Roman"/>
          <w:sz w:val="20"/>
        </w:rPr>
        <w:t xml:space="preserve">(r) Permitted Warrant Transactions that constitute Indebtedness; </w:t>
      </w:r>
    </w:p>
    <w:p>
      <w:pPr>
        <w:pStyle w:val="TextBody"/>
        <w:bidi w:val="0"/>
        <w:spacing w:before="120" w:after="0"/>
        <w:jc w:val="left"/>
        <w:rPr>
          <w:rFonts w:ascii="Times New Roman" w:hAnsi="Times New Roman"/>
          <w:sz w:val="20"/>
        </w:rPr>
      </w:pPr>
      <w:r>
        <w:rPr>
          <w:rFonts w:ascii="Times New Roman" w:hAnsi="Times New Roman"/>
          <w:sz w:val="20"/>
        </w:rPr>
        <w:t xml:space="preserve">(s) Refinancing Notes permitted by </w:t>
      </w:r>
      <w:r>
        <w:rPr>
          <w:rFonts w:ascii="Times New Roman" w:hAnsi="Times New Roman"/>
          <w:sz w:val="20"/>
          <w:u w:val="single"/>
        </w:rPr>
        <w:t>Section 2.17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 Indebtedness in connection with Permitted Receivables Financings;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so long as (i) no Event of Default has occurred and is continuing or would result therefrom and (ii) the Borrower and its Consolidated Subsidiaries shall be in compliance on a Pro Forma Basis with </w:t>
      </w:r>
      <w:r>
        <w:rPr>
          <w:rFonts w:ascii="Times New Roman" w:hAnsi="Times New Roman"/>
          <w:sz w:val="20"/>
          <w:u w:val="single"/>
        </w:rPr>
        <w:t>Section 7.17</w:t>
      </w:r>
      <w:r>
        <w:rPr>
          <w:rFonts w:ascii="Times New Roman" w:hAnsi="Times New Roman"/>
          <w:sz w:val="20"/>
        </w:rPr>
        <w:t xml:space="preserve"> after giving effect to such transaction, secured Indebtedness in an aggregate principal amount not to exceed, together with the aggregate amount of all Indebtedness under Section 7.03(g), the greater of (A) $132,000,000 and (B) 33% of Consolidated EBITDA of the Borrower and its consolidated Subsidiaries at any time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(v) Indebtedness in respect of the Senior Secured Notes in an aggregate principal amount not to exceed $450,000,000 and any Permitted Refinancing thereof. </w:t>
      </w:r>
    </w:p>
    <w:p>
      <w:pPr>
        <w:pStyle w:val="TextBody"/>
        <w:bidi w:val="0"/>
        <w:spacing w:before="240" w:after="0"/>
        <w:jc w:val="left"/>
        <w:rPr>
          <w:rFonts w:ascii="Times New Roman" w:hAnsi="Times New Roman"/>
          <w:sz w:val="20"/>
        </w:rPr>
      </w:pPr>
      <w:r>
        <w:rPr>
          <w:rFonts w:ascii="Times New Roman" w:hAnsi="Times New Roman"/>
          <w:b/>
          <w:sz w:val="20"/>
        </w:rPr>
        <w:t>7.04</w:t>
      </w:r>
      <w:r>
        <w:rPr>
          <w:rFonts w:ascii="Times New Roman" w:hAnsi="Times New Roman"/>
          <w:sz w:val="20"/>
        </w:rPr>
        <w:t xml:space="preserve"> </w:t>
      </w:r>
      <w:r>
        <w:rPr>
          <w:rFonts w:ascii="Times New Roman" w:hAnsi="Times New Roman"/>
          <w:b/>
          <w:sz w:val="20"/>
        </w:rPr>
        <w:t>Fundamental Changes and Acquisitions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Merge, dissolve, liquidate, consolidate with or into another Person, or Dispose of (whether in one transaction or in a series of transactions) all or substantially all of its assets (whether now owned or hereafter acquired) to or in favor of any Person, except that, so long as (x) no Default or Event of Default has occurred and is continuing or would result therefrom (except that in the case of a Permitted Acquisition, no Default or Event of Default has occurred and is continuing as of the date the applicable purchase agreement became effective, and as of the date of the consummation of such Permitted Acquisition no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8.01(f)</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8.01(i)</w:t>
      </w:r>
      <w:r>
        <w:rPr>
          <w:rFonts w:ascii="Times New Roman" w:hAnsi="Times New Roman"/>
          <w:sz w:val="20"/>
        </w:rPr>
        <w:t xml:space="preserve"> shall have occurred and be continuing or would result therefrom), and (y) the Borrower and its Consolidated Subsidiaries shall be in compliance with </w:t>
      </w:r>
      <w:r>
        <w:rPr>
          <w:rFonts w:ascii="Times New Roman" w:hAnsi="Times New Roman"/>
          <w:sz w:val="20"/>
          <w:u w:val="single"/>
        </w:rPr>
        <w:t>Section 7.17</w:t>
      </w:r>
      <w:r>
        <w:rPr>
          <w:rFonts w:ascii="Times New Roman" w:hAnsi="Times New Roman"/>
          <w:sz w:val="20"/>
        </w:rPr>
        <w:t xml:space="preserve"> after giving effect to such transaction on a Pro Forma Basis: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may merge or consolidate with any of its Wholly-Owned Subsidiaries; </w:t>
      </w:r>
      <w:r>
        <w:rPr>
          <w:rFonts w:ascii="Times New Roman" w:hAnsi="Times New Roman"/>
          <w:sz w:val="20"/>
          <w:u w:val="single"/>
        </w:rPr>
        <w:t>provided</w:t>
      </w:r>
      <w:r>
        <w:rPr>
          <w:rFonts w:ascii="Times New Roman" w:hAnsi="Times New Roman"/>
          <w:sz w:val="20"/>
        </w:rPr>
        <w:t xml:space="preserve"> that (A) the Borrower shall be the continuing or surviving Person, and (B) the Loan Parties shall cause to be delivered such documents, instruments and certificates as to cause the Loan Parties to be in compliance with the terms of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Wholly-Owned Subsidiary of the Borrower may be party to a transaction of merger or consolidation with a Wholly-Owned Subsidiary of the Borrower; </w:t>
      </w:r>
      <w:r>
        <w:rPr>
          <w:rFonts w:ascii="Times New Roman" w:hAnsi="Times New Roman"/>
          <w:sz w:val="20"/>
          <w:u w:val="single"/>
        </w:rPr>
        <w:t>provided</w:t>
      </w:r>
      <w:r>
        <w:rPr>
          <w:rFonts w:ascii="Times New Roman" w:hAnsi="Times New Roman"/>
          <w:sz w:val="20"/>
        </w:rPr>
        <w:t xml:space="preserve"> that (A) if one of such Subsidiaries is a Loan Party, such Loan Party shall be the continuing or surviving Person, and (B) the Loan Parties shall cause to be delivered such documents, instruments and certificates as to cause the Loan Parties to be in compliance with the terms of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a Subsidiary may be a party to a transaction of merger or consolidation with a Person other than the Borrower or any Subsidiary of the Borrower; </w:t>
      </w:r>
      <w:r>
        <w:rPr>
          <w:rFonts w:ascii="Times New Roman" w:hAnsi="Times New Roman"/>
          <w:sz w:val="20"/>
          <w:u w:val="single"/>
        </w:rPr>
        <w:t>provided</w:t>
      </w:r>
      <w:r>
        <w:rPr>
          <w:rFonts w:ascii="Times New Roman" w:hAnsi="Times New Roman"/>
          <w:sz w:val="20"/>
        </w:rPr>
        <w:t xml:space="preserve"> that (A) the surviving entity shall be such Subsidiary of the Borrower, and (B) the transaction shall otherwise constitute a Permitted Acquisition;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may be a party to a transaction of merger or consolidation with a Person other than a Subsidiary of the Borrower in order to effect an Acquisition;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 the surviving entity shall be the Borrower and (B) such Acquisition shall otherwise comply with clauses (a), (b), (c), (d), (e) and (f) of the definition of “Permitted Acquisitions.” </w:t>
      </w:r>
    </w:p>
    <w:p>
      <w:pPr>
        <w:pStyle w:val="TextBody"/>
        <w:bidi w:val="0"/>
        <w:spacing w:before="120" w:after="0"/>
        <w:jc w:val="left"/>
        <w:rPr>
          <w:rFonts w:ascii="Times New Roman" w:hAnsi="Times New Roman"/>
          <w:sz w:val="20"/>
        </w:rPr>
      </w:pPr>
      <w:r>
        <w:rPr>
          <w:rFonts w:ascii="Times New Roman" w:hAnsi="Times New Roman"/>
          <w:sz w:val="20"/>
        </w:rPr>
        <w:t xml:space="preserve">(v) a Subsidiary may enter into a Disposition permitted under </w:t>
      </w:r>
      <w:r>
        <w:rPr>
          <w:rFonts w:ascii="Times New Roman" w:hAnsi="Times New Roman"/>
          <w:sz w:val="20"/>
          <w:u w:val="single"/>
        </w:rPr>
        <w:t>Sections 7.05(d)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and </w:t>
      </w:r>
      <w:r>
        <w:rPr>
          <w:rFonts w:ascii="Times New Roman" w:hAnsi="Times New Roman"/>
          <w:sz w:val="20"/>
          <w:u w:val="single"/>
        </w:rPr>
        <w:t>(p)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the Borrower may enter into a Disposition permitted under </w:t>
      </w:r>
      <w:r>
        <w:rPr>
          <w:rFonts w:ascii="Times New Roman" w:hAnsi="Times New Roman"/>
          <w:sz w:val="20"/>
          <w:u w:val="single"/>
        </w:rPr>
        <w:t>Sections 7.05(d)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and </w:t>
      </w:r>
      <w:r>
        <w:rPr>
          <w:rFonts w:ascii="Times New Roman" w:hAnsi="Times New Roman"/>
          <w:sz w:val="20"/>
          <w:u w:val="single"/>
        </w:rPr>
        <w:t>(p)</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 Excluded Subsidiary may be voluntarily dissolved or liquidated into any other Subsidiary; </w:t>
      </w:r>
    </w:p>
    <w:p>
      <w:pPr>
        <w:pStyle w:val="TextBody"/>
        <w:bidi w:val="0"/>
        <w:spacing w:before="120" w:after="0"/>
        <w:jc w:val="left"/>
        <w:rPr>
          <w:rFonts w:ascii="Times New Roman" w:hAnsi="Times New Roman"/>
          <w:sz w:val="20"/>
        </w:rPr>
      </w:pPr>
      <w:r>
        <w:rPr>
          <w:rFonts w:ascii="Times New Roman" w:hAnsi="Times New Roman"/>
          <w:sz w:val="20"/>
        </w:rPr>
        <w:t xml:space="preserve">(viii) a Loan Party (other than the Borrower) may be voluntarily dissolved or liquidated into any other Loan Party; </w:t>
      </w:r>
    </w:p>
    <w:p>
      <w:pPr>
        <w:pStyle w:val="TextBody"/>
        <w:bidi w:val="0"/>
        <w:spacing w:before="120" w:after="0"/>
        <w:jc w:val="left"/>
        <w:rPr>
          <w:rFonts w:ascii="Times New Roman" w:hAnsi="Times New Roman"/>
          <w:sz w:val="20"/>
        </w:rPr>
      </w:pPr>
      <w:r>
        <w:rPr>
          <w:rFonts w:ascii="Times New Roman" w:hAnsi="Times New Roman"/>
          <w:sz w:val="20"/>
        </w:rPr>
        <w:t xml:space="preserve">(ix) any domestic Excluded Subsidiary may merge or consolidate into any other domestic Excluded Subsidiary; </w:t>
      </w:r>
    </w:p>
    <w:p>
      <w:pPr>
        <w:pStyle w:val="TextBody"/>
        <w:bidi w:val="0"/>
        <w:spacing w:before="120" w:after="0"/>
        <w:jc w:val="left"/>
        <w:rPr>
          <w:rFonts w:ascii="Times New Roman" w:hAnsi="Times New Roman"/>
          <w:sz w:val="20"/>
        </w:rPr>
      </w:pPr>
      <w:r>
        <w:rPr>
          <w:rFonts w:ascii="Times New Roman" w:hAnsi="Times New Roman"/>
          <w:sz w:val="20"/>
        </w:rPr>
        <w:t xml:space="preserve">(x) any Foreign Subsidiary may merge or consolidate into any other Foreign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(xi) any Subsidiary of the Borrower may transfer a Foreign Subsidiary to any other Subsidiary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Make or permit any Subsidiary to make any Acquisition other than (i) a Permitted Acquisition, (ii) an Acquisition permitted by </w:t>
      </w:r>
      <w:r>
        <w:rPr>
          <w:rFonts w:ascii="Times New Roman" w:hAnsi="Times New Roman"/>
          <w:sz w:val="20"/>
          <w:u w:val="single"/>
        </w:rPr>
        <w:t>Section 7.04(a)</w:t>
      </w:r>
      <w:r>
        <w:rPr>
          <w:rFonts w:ascii="Times New Roman" w:hAnsi="Times New Roman"/>
          <w:sz w:val="20"/>
        </w:rPr>
        <w:t xml:space="preserve">, (iii) an Investment permitted by </w:t>
      </w:r>
      <w:r>
        <w:rPr>
          <w:rFonts w:ascii="Times New Roman" w:hAnsi="Times New Roman"/>
          <w:sz w:val="20"/>
          <w:u w:val="single"/>
        </w:rPr>
        <w:t>Section 7.02(l)</w:t>
      </w:r>
      <w:r>
        <w:rPr>
          <w:rFonts w:ascii="Times New Roman" w:hAnsi="Times New Roman"/>
          <w:sz w:val="20"/>
        </w:rPr>
        <w:t xml:space="preserve"> or </w:t>
      </w:r>
      <w:r>
        <w:rPr>
          <w:rFonts w:ascii="Times New Roman" w:hAnsi="Times New Roman"/>
          <w:sz w:val="20"/>
          <w:u w:val="single"/>
        </w:rPr>
        <w:t>7.02(m)</w:t>
      </w:r>
      <w:r>
        <w:rPr>
          <w:rFonts w:ascii="Times New Roman" w:hAnsi="Times New Roman"/>
          <w:sz w:val="20"/>
        </w:rPr>
        <w:t xml:space="preserve"> that constitutes an Acquisition or (iv) the acquisition of Intellectual Property in the ordinary course of business that constitutes an Acquisition. </w:t>
      </w:r>
    </w:p>
    <w:p>
      <w:pPr>
        <w:pStyle w:val="TextBody"/>
        <w:bidi w:val="0"/>
        <w:spacing w:before="240" w:after="0"/>
        <w:jc w:val="left"/>
        <w:rPr>
          <w:rFonts w:ascii="Times New Roman" w:hAnsi="Times New Roman"/>
          <w:sz w:val="20"/>
        </w:rPr>
      </w:pPr>
      <w:r>
        <w:rPr>
          <w:rFonts w:ascii="Times New Roman" w:hAnsi="Times New Roman"/>
          <w:b/>
          <w:sz w:val="20"/>
        </w:rPr>
        <w:t>7.05</w:t>
      </w:r>
      <w:r>
        <w:rPr>
          <w:rFonts w:ascii="Times New Roman" w:hAnsi="Times New Roman"/>
          <w:sz w:val="20"/>
        </w:rPr>
        <w:t xml:space="preserve"> </w:t>
      </w:r>
      <w:r>
        <w:rPr>
          <w:rFonts w:ascii="Times New Roman" w:hAnsi="Times New Roman"/>
          <w:b/>
          <w:sz w:val="20"/>
        </w:rPr>
        <w:t>Dispositions.</w:t>
      </w:r>
      <w:r>
        <w:rPr>
          <w:rFonts w:ascii="Times New Roman" w:hAnsi="Times New Roman"/>
          <w:sz w:val="20"/>
        </w:rPr>
        <w:t xml:space="preserve"> Make any Disposition (other than any Casualty or Condemnation), except: </w:t>
      </w:r>
    </w:p>
    <w:p>
      <w:pPr>
        <w:pStyle w:val="TextBody"/>
        <w:bidi w:val="0"/>
        <w:spacing w:before="120" w:after="0"/>
        <w:jc w:val="left"/>
        <w:rPr>
          <w:rFonts w:ascii="Times New Roman" w:hAnsi="Times New Roman"/>
          <w:sz w:val="20"/>
        </w:rPr>
      </w:pPr>
      <w:r>
        <w:rPr>
          <w:rFonts w:ascii="Times New Roman" w:hAnsi="Times New Roman"/>
          <w:sz w:val="20"/>
        </w:rPr>
        <w:t xml:space="preserve">(a) Dispositions of surplus, obsolete, used or worn out property, whether now owned or hereafter acquired, that, in the reasonable judgment of the Borrower, is no longer used or useful in its business (or in the business of any of its Subsidiaries) or is otherwise economically impracticable to maintain; </w:t>
      </w:r>
    </w:p>
    <w:p>
      <w:pPr>
        <w:pStyle w:val="TextBody"/>
        <w:bidi w:val="0"/>
        <w:spacing w:before="120" w:after="0"/>
        <w:jc w:val="left"/>
        <w:rPr>
          <w:rFonts w:ascii="Times New Roman" w:hAnsi="Times New Roman"/>
          <w:sz w:val="20"/>
        </w:rPr>
      </w:pPr>
      <w:r>
        <w:rPr>
          <w:rFonts w:ascii="Times New Roman" w:hAnsi="Times New Roman"/>
          <w:sz w:val="20"/>
        </w:rPr>
        <w:t xml:space="preserve">(b) Dispositions of inventory or equipment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(c) Dispositions of real property in the ordinary course of business to the extent that (i) such property is exchanged for credit against the purchase price of similar replacement property or (ii) the proceeds of such Disposition are reasonably applied to the purchase price of similar replacement property within 180 days of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(d) Dispositions of property (i) by the Borrower or a Subsidiary of the Borrower to the Borrower or a Subsidiary Guarantor and (ii) by an Excluded Subsidiary to the Borrower or another Subsidiary; </w:t>
      </w:r>
    </w:p>
    <w:p>
      <w:pPr>
        <w:pStyle w:val="TextBody"/>
        <w:bidi w:val="0"/>
        <w:spacing w:before="120" w:after="0"/>
        <w:jc w:val="left"/>
        <w:rPr>
          <w:rFonts w:ascii="Times New Roman" w:hAnsi="Times New Roman"/>
          <w:sz w:val="20"/>
        </w:rPr>
      </w:pPr>
      <w:r>
        <w:rPr>
          <w:rFonts w:ascii="Times New Roman" w:hAnsi="Times New Roman"/>
          <w:sz w:val="20"/>
        </w:rPr>
        <w:t xml:space="preserve">(e) Dispositions that constitute Investments permitted by </w:t>
      </w:r>
      <w:r>
        <w:rPr>
          <w:rFonts w:ascii="Times New Roman" w:hAnsi="Times New Roman"/>
          <w:sz w:val="20"/>
          <w:u w:val="single"/>
        </w:rPr>
        <w:t>Section 7.02</w:t>
      </w:r>
      <w:r>
        <w:rPr>
          <w:rFonts w:ascii="Times New Roman" w:hAnsi="Times New Roman"/>
          <w:sz w:val="20"/>
        </w:rPr>
        <w:t xml:space="preserve"> or Restricted Payments permitted by </w:t>
      </w:r>
      <w:r>
        <w:rPr>
          <w:rFonts w:ascii="Times New Roman" w:hAnsi="Times New Roman"/>
          <w:sz w:val="20"/>
          <w:u w:val="single"/>
        </w:rPr>
        <w:t>Section 7.06</w:t>
      </w:r>
      <w:r>
        <w:rPr>
          <w:rFonts w:ascii="Times New Roman" w:hAnsi="Times New Roman"/>
          <w:sz w:val="20"/>
        </w:rPr>
        <w:t xml:space="preserve"> and Dispositions made in connection with transactions permitted by </w:t>
      </w:r>
      <w:r>
        <w:rPr>
          <w:rFonts w:ascii="Times New Roman" w:hAnsi="Times New Roman"/>
          <w:sz w:val="20"/>
          <w:u w:val="single"/>
        </w:rPr>
        <w:t>Section 7.04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other Dispositions (including charitable donations) for fair market value (other than charitable donations made pursuant thereto) as long as the aggregate proceeds of all such Dispositions made pursuant to this clause (f) by the Borrower and its Subsidiaries during the term of this Agreement does not exceed, in the aggregate, an amount equal to the greater of (x) $30,000,000 and (y) 7.5% of Consolidated EBITDA of the Borrower and its Subsidiaries as of the date of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(g) licensing (including sublicensing) of Intellectual Property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lease or sublease of real property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exchanges of Cash Equivalents for other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(j) assignments of contract rights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Dispositions of Minority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(l) the settlement or early termination of any Permitted Bond Hedge Transaction and/or any Permitted Warrant Transaction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(m) the write-off, discount, sale or Disposition of defaulted or past due receivables and similar obligations in the ordinary course of business and not as part of an accounts receivable financing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(n) abandon, allow to lapse, or fail to maintain Intellectual Property that is not material to the business; </w:t>
      </w:r>
    </w:p>
    <w:p>
      <w:pPr>
        <w:pStyle w:val="TextBody"/>
        <w:bidi w:val="0"/>
        <w:spacing w:before="120" w:after="0"/>
        <w:jc w:val="left"/>
        <w:rPr>
          <w:rFonts w:ascii="Times New Roman" w:hAnsi="Times New Roman"/>
          <w:sz w:val="20"/>
        </w:rPr>
      </w:pPr>
      <w:r>
        <w:rPr>
          <w:rFonts w:ascii="Times New Roman" w:hAnsi="Times New Roman"/>
          <w:sz w:val="20"/>
        </w:rPr>
        <w:t xml:space="preserve">(o) Dispositions of Receivables Assets or interests therein to a Special Purpose Receivables Subsidiary; </w:t>
      </w:r>
    </w:p>
    <w:p>
      <w:pPr>
        <w:pStyle w:val="TextBody"/>
        <w:bidi w:val="0"/>
        <w:spacing w:before="120" w:after="0"/>
        <w:jc w:val="left"/>
        <w:rPr>
          <w:rFonts w:ascii="Times New Roman" w:hAnsi="Times New Roman"/>
          <w:sz w:val="20"/>
        </w:rPr>
      </w:pPr>
      <w:r>
        <w:rPr>
          <w:rFonts w:ascii="Times New Roman" w:hAnsi="Times New Roman"/>
          <w:sz w:val="20"/>
        </w:rPr>
        <w:t xml:space="preserve">(p) Dispositions for fair market value; </w:t>
      </w:r>
      <w:r>
        <w:rPr>
          <w:rFonts w:ascii="Times New Roman" w:hAnsi="Times New Roman"/>
          <w:sz w:val="20"/>
          <w:u w:val="single"/>
        </w:rPr>
        <w:t>provided</w:t>
      </w:r>
      <w:r>
        <w:rPr>
          <w:rFonts w:ascii="Times New Roman" w:hAnsi="Times New Roman"/>
          <w:sz w:val="20"/>
        </w:rPr>
        <w:t xml:space="preserve"> that at least 75.0% of the consideration for such Disposition shall consist of cash and Cash Equivalents (</w:t>
      </w:r>
      <w:r>
        <w:rPr>
          <w:rFonts w:ascii="Times New Roman" w:hAnsi="Times New Roman"/>
          <w:sz w:val="20"/>
          <w:u w:val="single"/>
        </w:rPr>
        <w:t>provided</w:t>
      </w:r>
      <w:r>
        <w:rPr>
          <w:rFonts w:ascii="Times New Roman" w:hAnsi="Times New Roman"/>
          <w:sz w:val="20"/>
        </w:rPr>
        <w:t xml:space="preserve"> that for purposes of the 75.0% consideration requirement the amount of any Indebtedness or other liabilities (other than Indebtedness or other liabilities that are subordinated to the Obligations, that are owed to the Borrower or a Subsidiary or that are secured by the assets disposed of) of the Borrower or any Subsidiary (as shown on such person’s most recent balance sheet or in the notes thereto) that are assumed by the transferee of any such assets and for which the Borrower and its Subsidiaries shall have been validly released by all applicable creditors, (y) any Equity Interests received by the Borrower or any Subsidiary from such transferee that are converted by such person into Cash Equivalents within 180 days following the closing of the applicable sale or disposition and (z) any Designated Noncash Consideration received in respect of such sale or disposition having an aggregate fair market value, taken together with all other Designated Noncash Consideration received pursuant to this clause (z) not to exceed the greater of $20,000,000 and 5.0% of Consolidated EBITDA of the Borrower and its Subsidiaries for the most recently ended four fiscal quarter period of for which internal financial statements are available, in each case, shall be deemed to be Cash Equivalents);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value of retained licenses, licenses back to the Borrower or any Subsidiary (as a licensee) and covenants not-to-sue with respect to software or Intellectual Property that are incidental to such sale or other disposition and received in the ordinary course for such transactions shall be excluded in determining whether 75.0% of the consideration consists of cash and Cash Equivalents; and </w:t>
      </w:r>
    </w:p>
    <w:p>
      <w:pPr>
        <w:pStyle w:val="TextBody"/>
        <w:bidi w:val="0"/>
        <w:spacing w:before="120" w:after="0"/>
        <w:jc w:val="left"/>
        <w:rPr>
          <w:rFonts w:ascii="Times New Roman" w:hAnsi="Times New Roman"/>
          <w:sz w:val="20"/>
        </w:rPr>
      </w:pPr>
      <w:r>
        <w:rPr>
          <w:rFonts w:ascii="Times New Roman" w:hAnsi="Times New Roman"/>
          <w:sz w:val="20"/>
        </w:rPr>
        <w:t xml:space="preserve">(q) Dispositions pursuant to an accelerated share repurchase program and any stock buybacks using the proceeds of Convertible Indebtedness. </w:t>
      </w:r>
    </w:p>
    <w:p>
      <w:pPr>
        <w:pStyle w:val="TextBody"/>
        <w:bidi w:val="0"/>
        <w:spacing w:before="240" w:after="0"/>
        <w:jc w:val="left"/>
        <w:rPr>
          <w:rFonts w:ascii="Times New Roman" w:hAnsi="Times New Roman"/>
          <w:sz w:val="20"/>
        </w:rPr>
      </w:pPr>
      <w:r>
        <w:rPr>
          <w:rFonts w:ascii="Times New Roman" w:hAnsi="Times New Roman"/>
          <w:b/>
          <w:sz w:val="20"/>
        </w:rPr>
        <w:t>7.06</w:t>
      </w:r>
      <w:r>
        <w:rPr>
          <w:rFonts w:ascii="Times New Roman" w:hAnsi="Times New Roman"/>
          <w:sz w:val="20"/>
        </w:rPr>
        <w:t xml:space="preserve"> </w:t>
      </w:r>
      <w:r>
        <w:rPr>
          <w:rFonts w:ascii="Times New Roman" w:hAnsi="Times New Roman"/>
          <w:b/>
          <w:sz w:val="20"/>
        </w:rPr>
        <w:t xml:space="preserve">Restricted Payments. </w:t>
      </w:r>
      <w:r>
        <w:rPr>
          <w:rFonts w:ascii="Times New Roman" w:hAnsi="Times New Roman"/>
          <w:sz w:val="20"/>
        </w:rPr>
        <w:t xml:space="preserve">Declare or make any Restricted Payment,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or any of its Subsidiaries may declare and pay dividends and distributions payable solely in Qualified Equity Interests of the Borrower or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Subsidiary of the Borrower may declare and pay dividends (i) to the Borrower or any Subsidiary of the Borrower or (ii) on a pro rata basis to its equity holders;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may make payments to employees in the ordinary course of business related to equity-based compensation issued to employees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may at any time, and from time to time after the Closing Date, make Restricted Payments (i) in an aggregate amount not to exceed $125,000,000 in any fiscal year, so long as after giving pro forma effect to each such Restricted Payment under this clause (d)(i) and any related transactions, the Consolidated Total Leverage Ratio as of the last day of the most recently ended Reference Period does not exceed 3.25 to 1.00 on a Pro Forma Basis; or (ii) so long as no Default shall have occurred and be continuing at the time thereof or would result therefrom, if, after giving effect thereto as of the date of such Restricted Payment, the Borrower’s Consolidated Total Leverage Ratio does not exceed 3.25 to 1.00; provided, that, in either case, it is understood that the Borrower may make Restricted Payments in the form of (1) the repurchase, redemption or retirement of any outstanding Equity Interest of the Borrower with the proceeds of subordinated indebtedness, the issuance of which is permitted pursuant to </w:t>
      </w:r>
      <w:r>
        <w:rPr>
          <w:rFonts w:ascii="Times New Roman" w:hAnsi="Times New Roman"/>
          <w:sz w:val="20"/>
          <w:u w:val="single"/>
        </w:rPr>
        <w:t>Sections 7.03(f)</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(k)</w:t>
      </w:r>
      <w:r>
        <w:rPr>
          <w:rFonts w:ascii="Times New Roman" w:hAnsi="Times New Roman"/>
          <w:sz w:val="20"/>
        </w:rPr>
        <w:t xml:space="preserve">, (2) the withholding, repurchase, redemption or retirement of any restricted Qualified Equity Interests issued to employees, directors and consultants of the Loan Parties, pursuant to the Borrower’s equity incentive plans approved by the Borrower’s Board of Directors and withheld by the Borrower to satisfy tax obligations of such employees, directors and/or consultants at the time such tax obligation arises or otherwise at the time the forfeiture and transferability restrictions cease, and (3) a purchase of Permitted Bond Hedge Transactions as provided in subclause (i) below, and in the case of each of clauses (1), (2), and (3) above, without regard to, and without decreasing the availability of, the baskets set forth in subclauses (i) and (ii) above;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may issue or sell (x) Qualified Equity Interests so long as such issuance or sale does not result in a Change of Control and (y) so long as immediately before and after giving effect to any of the following the Loan Parties shall be in compliance with </w:t>
      </w:r>
      <w:r>
        <w:rPr>
          <w:rFonts w:ascii="Times New Roman" w:hAnsi="Times New Roman"/>
          <w:sz w:val="20"/>
          <w:u w:val="single"/>
        </w:rPr>
        <w:t>Section 7.17</w:t>
      </w:r>
      <w:r>
        <w:rPr>
          <w:rFonts w:ascii="Times New Roman" w:hAnsi="Times New Roman"/>
          <w:sz w:val="20"/>
        </w:rPr>
        <w:t xml:space="preserve">, other Equity Interests to the extent permitted by </w:t>
      </w:r>
      <w:r>
        <w:rPr>
          <w:rFonts w:ascii="Times New Roman" w:hAnsi="Times New Roman"/>
          <w:sz w:val="20"/>
          <w:u w:val="single"/>
        </w:rPr>
        <w:t>Section 7.03(f)</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or </w:t>
      </w:r>
      <w:r>
        <w:rPr>
          <w:rFonts w:ascii="Times New Roman" w:hAnsi="Times New Roman"/>
          <w:sz w:val="20"/>
          <w:u w:val="single"/>
        </w:rPr>
        <w:t>(m)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and its Subsidiaries may issue Qualified Equity Interests in connection with a transaction permitted by </w:t>
      </w:r>
      <w:r>
        <w:rPr>
          <w:rFonts w:ascii="Times New Roman" w:hAnsi="Times New Roman"/>
          <w:sz w:val="20"/>
          <w:u w:val="single"/>
        </w:rPr>
        <w:t>Section 7.04</w:t>
      </w:r>
      <w:r>
        <w:rPr>
          <w:rFonts w:ascii="Times New Roman" w:hAnsi="Times New Roman"/>
          <w:sz w:val="20"/>
        </w:rPr>
        <w:t xml:space="preserve"> or </w:t>
      </w:r>
      <w:r>
        <w:rPr>
          <w:rFonts w:ascii="Times New Roman" w:hAnsi="Times New Roman"/>
          <w:sz w:val="20"/>
          <w:u w:val="single"/>
        </w:rPr>
        <w:t>7.05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so long as immediately before and after giving effect to any of the following the Loan Parties shall be in compliance with </w:t>
      </w:r>
      <w:r>
        <w:rPr>
          <w:rFonts w:ascii="Times New Roman" w:hAnsi="Times New Roman"/>
          <w:sz w:val="20"/>
          <w:u w:val="single"/>
        </w:rPr>
        <w:t>Section 7.17</w:t>
      </w:r>
      <w:r>
        <w:rPr>
          <w:rFonts w:ascii="Times New Roman" w:hAnsi="Times New Roman"/>
          <w:sz w:val="20"/>
        </w:rPr>
        <w:t xml:space="preserve">, the Borrower may repurchase or refinance (x) its outstanding Equity Interests out of the proceeds of a substantially concurrent issue of, or an exchange for, Qualified Equity Interests and (y) Equity Interests or Indebtedness issued pursuant to </w:t>
      </w:r>
      <w:r>
        <w:rPr>
          <w:rFonts w:ascii="Times New Roman" w:hAnsi="Times New Roman"/>
          <w:sz w:val="20"/>
          <w:u w:val="single"/>
        </w:rPr>
        <w:t>Section 7.03(f)</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or </w:t>
      </w:r>
      <w:r>
        <w:rPr>
          <w:rFonts w:ascii="Times New Roman" w:hAnsi="Times New Roman"/>
          <w:sz w:val="20"/>
          <w:u w:val="single"/>
        </w:rPr>
        <w:t>(l)</w:t>
      </w:r>
      <w:r>
        <w:rPr>
          <w:rFonts w:ascii="Times New Roman" w:hAnsi="Times New Roman"/>
          <w:sz w:val="20"/>
        </w:rPr>
        <w:t xml:space="preserve"> with the proceeds of the issuance of Qualified Equity Interests or other Indebtedness permitted by </w:t>
      </w:r>
      <w:r>
        <w:rPr>
          <w:rFonts w:ascii="Times New Roman" w:hAnsi="Times New Roman"/>
          <w:sz w:val="20"/>
          <w:u w:val="single"/>
        </w:rPr>
        <w:t>Section 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so long as immediately before and after giving effect to any of the following the Loan Parties shall be in compliance with </w:t>
      </w:r>
      <w:r>
        <w:rPr>
          <w:rFonts w:ascii="Times New Roman" w:hAnsi="Times New Roman"/>
          <w:sz w:val="20"/>
          <w:u w:val="single"/>
        </w:rPr>
        <w:t>Section 7.17</w:t>
      </w:r>
      <w:r>
        <w:rPr>
          <w:rFonts w:ascii="Times New Roman" w:hAnsi="Times New Roman"/>
          <w:sz w:val="20"/>
        </w:rPr>
        <w:t xml:space="preserve">, the Borrower may repurchase or refinance Equity Interests that evidence Indebtedness issued pursuant to </w:t>
      </w:r>
      <w:r>
        <w:rPr>
          <w:rFonts w:ascii="Times New Roman" w:hAnsi="Times New Roman"/>
          <w:sz w:val="20"/>
          <w:u w:val="single"/>
        </w:rPr>
        <w:t>Section 7.03(f)</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or </w:t>
      </w:r>
      <w:r>
        <w:rPr>
          <w:rFonts w:ascii="Times New Roman" w:hAnsi="Times New Roman"/>
          <w:sz w:val="20"/>
          <w:u w:val="single"/>
        </w:rPr>
        <w:t>(k)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may purchase Permitted Bond Hedge Transactions, enter into any related Permitted Warrant Transactions in connection with the issuance of Convertible Indebtedness permitted hereunder and make any payments and/or issue common stock in connection with the settlement or early termination of any such Permitted Bond Hedge Transactions or Permitted Warrant Transactions in accordance with its terms, </w:t>
      </w:r>
      <w:r>
        <w:rPr>
          <w:rFonts w:ascii="Times New Roman" w:hAnsi="Times New Roman"/>
          <w:sz w:val="20"/>
          <w:u w:val="single"/>
        </w:rPr>
        <w:t>provided</w:t>
      </w:r>
      <w:r>
        <w:rPr>
          <w:rFonts w:ascii="Times New Roman" w:hAnsi="Times New Roman"/>
          <w:sz w:val="20"/>
        </w:rPr>
        <w:t xml:space="preserve"> that if such settlement or early termination is elected in the discretion of the Borrower, immediately before and after giving effect to any of the foregoing the Loan Parties shall be in compliance with </w:t>
      </w:r>
      <w:r>
        <w:rPr>
          <w:rFonts w:ascii="Times New Roman" w:hAnsi="Times New Roman"/>
          <w:sz w:val="20"/>
          <w:u w:val="single"/>
        </w:rPr>
        <w:t>Section 7.17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Borrower may issue common stock upon conversion of any Convertible Indebtedness; </w:t>
      </w:r>
    </w:p>
    <w:p>
      <w:pPr>
        <w:pStyle w:val="TextBody"/>
        <w:bidi w:val="0"/>
        <w:spacing w:before="120" w:after="0"/>
        <w:jc w:val="left"/>
        <w:rPr>
          <w:rFonts w:ascii="Times New Roman" w:hAnsi="Times New Roman"/>
          <w:sz w:val="20"/>
        </w:rPr>
      </w:pPr>
      <w:r>
        <w:rPr>
          <w:rFonts w:ascii="Times New Roman" w:hAnsi="Times New Roman"/>
          <w:sz w:val="20"/>
        </w:rPr>
        <w:t xml:space="preserve">(k) the Borrower or any Subsidiary may make cash payments in lieu of issuing fractional shares in connection with any exercise of stock options or warrants otherwise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(l) the Subsidiaries may make Restricted Payments to any direct or indirect parent thereof the proceeds of which are used solely to purchase, repurchase, retire, redeem or otherwise acquire the Equity Interests of such direct or indirect parent or of the Borrower (including related stock appreciation rights or similar securities) held by any future, present or former employee, director, officer, manager or consultant or the Borrower any of its Subsidiaries or any of its direct or indirect parent companies pursuant to any management equity plan or stock option plan or any other management or employee benefit plan or agreement, or any stock subscription or shareholder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(m) the Borrower may make Restricted Payments in the form of repurchases of common Equity Interests of the Borrower in an aggregate amount not to exceed $150,000,000, so long as after giving pro forma effect to each such Restricted Payment under this clause (m) and any related transactions, the Consolidated Total Leverage Ratio as of the last day of the most recently ended Reference Period does not exceed 3.25 to 1.00 on a Pro Forma Basis. </w:t>
      </w:r>
    </w:p>
    <w:p>
      <w:pPr>
        <w:pStyle w:val="TextBody"/>
        <w:bidi w:val="0"/>
        <w:spacing w:before="240" w:after="0"/>
        <w:jc w:val="left"/>
        <w:rPr>
          <w:rFonts w:ascii="Times New Roman" w:hAnsi="Times New Roman"/>
          <w:b/>
          <w:sz w:val="20"/>
        </w:rPr>
      </w:pPr>
      <w:r>
        <w:rPr>
          <w:rFonts w:ascii="Times New Roman" w:hAnsi="Times New Roman"/>
          <w:b/>
          <w:sz w:val="20"/>
        </w:rPr>
        <w:t xml:space="preserve">7.07 [Reserved]. </w:t>
      </w:r>
    </w:p>
    <w:p>
      <w:pPr>
        <w:pStyle w:val="TextBody"/>
        <w:bidi w:val="0"/>
        <w:spacing w:before="240" w:after="0"/>
        <w:jc w:val="left"/>
        <w:rPr>
          <w:rFonts w:ascii="Times New Roman" w:hAnsi="Times New Roman"/>
          <w:sz w:val="20"/>
        </w:rPr>
      </w:pPr>
      <w:r>
        <w:rPr>
          <w:rFonts w:ascii="Times New Roman" w:hAnsi="Times New Roman"/>
          <w:b/>
          <w:sz w:val="20"/>
        </w:rPr>
        <w:t>7.08</w:t>
      </w:r>
      <w:r>
        <w:rPr>
          <w:rFonts w:ascii="Times New Roman" w:hAnsi="Times New Roman"/>
          <w:sz w:val="20"/>
        </w:rPr>
        <w:t xml:space="preserve"> </w:t>
      </w:r>
      <w:r>
        <w:rPr>
          <w:rFonts w:ascii="Times New Roman" w:hAnsi="Times New Roman"/>
          <w:b/>
          <w:sz w:val="20"/>
        </w:rPr>
        <w:t>Change in Nature of Business.</w:t>
      </w:r>
      <w:r>
        <w:rPr>
          <w:rFonts w:ascii="Times New Roman" w:hAnsi="Times New Roman"/>
          <w:sz w:val="20"/>
        </w:rPr>
        <w:t xml:space="preserve"> Make any material change in the nature of its business as carried on at the Closing Date; provided that (i) the Borrower and its Subsidiaries may engage in activities ancillary, related or complementary to the business currently carried on at the Closing Date and (ii) any Special Purpose Receivables Subsidiary may engage in Permitted Receivables Financings. </w:t>
      </w:r>
    </w:p>
    <w:p>
      <w:pPr>
        <w:pStyle w:val="TextBody"/>
        <w:bidi w:val="0"/>
        <w:spacing w:before="240" w:after="0"/>
        <w:jc w:val="left"/>
        <w:rPr>
          <w:rFonts w:ascii="Times New Roman" w:hAnsi="Times New Roman"/>
          <w:sz w:val="20"/>
        </w:rPr>
      </w:pPr>
      <w:r>
        <w:rPr>
          <w:rFonts w:ascii="Times New Roman" w:hAnsi="Times New Roman"/>
          <w:b/>
          <w:sz w:val="20"/>
        </w:rPr>
        <w:t>7.09</w:t>
      </w:r>
      <w:r>
        <w:rPr>
          <w:rFonts w:ascii="Times New Roman" w:hAnsi="Times New Roman"/>
          <w:sz w:val="20"/>
        </w:rPr>
        <w:t xml:space="preserve"> </w:t>
      </w:r>
      <w:r>
        <w:rPr>
          <w:rFonts w:ascii="Times New Roman" w:hAnsi="Times New Roman"/>
          <w:b/>
          <w:sz w:val="20"/>
        </w:rPr>
        <w:t xml:space="preserve">Transactions with Affiliates. </w:t>
      </w:r>
      <w:r>
        <w:rPr>
          <w:rFonts w:ascii="Times New Roman" w:hAnsi="Times New Roman"/>
          <w:sz w:val="20"/>
        </w:rPr>
        <w:t xml:space="preserve">Engage in any transaction or series of transactions with Affiliates (other than the Borrower and its Subsidiaries or any person that becomes a Subsidiary as a result of such transaction), involving aggregate consideration in excess of $25,000,000 unless such transaction is (i) otherwise permitted (or required) under this Agreement or (ii) on terms that are substantially as favorable to the Borrower or such Subsidiary as would be obtainable by the Borrower or such Subsidiary at the time in a comparable arm’s length transaction with a Person other than an Affiliate; provided, that this Section 7.09 shall not restrict (i) customary indemnities of officers and directors consistent with Law, payment of reasonable fees to directors and the customary issuance of directors’ shares, (ii) [reserved], (iii) any issuance of securities, or other payments, awards or grants in cash or otherwise pursuant to, or the funding of, employment arrangements, equity purchase agreements, stock options and stock ownership plans approved by the Board of Directors of the Borrower, (iv) transactions for the purchase or sale of goods, equipment, products, parts and services entered into in the ordinary course of business, (v) any transaction in respect of which the Borrower delivers to the Administrative Agent a letter addressed to the Board of Directors of the Borrower from an accounting, appraisal or investment banking firm, in each case of nationally recognized standing that is in the good faith determination of the Borrower qualified to render such letter, which letter states that (x) such transaction is on terms that are substantially no less favorable to the Borrower or such Subsidiary, as applicable, than would be obtained in a comparable arm’s-length transaction with a person that is not an Affiliate or (y)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transaction is fair to the Borrower or such Subsidiary, as applicable, from a financial point of view, (vi) transactions between the Borrower or any of its Subsidiaries and any person, a director of which is also a director of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such director abstains from voting as a director of the Borrower on any matter involving such other person and (B) such person is not an Affiliate of the Borrower for any reason other than such director’s acting in such capacity, (vii) intercompany transactions undertaken in good faith for the purpose of improving the consolidated Tax efficiency of the Borrower and its Subsidiaries and not for the purpose of circumventing any covenant set forth herein, and (viii) transactions with customers, clients or suppliers, or purchasers or sellers of goods or services, in each case in the ordinary course of business. </w:t>
      </w:r>
    </w:p>
    <w:p>
      <w:pPr>
        <w:pStyle w:val="TextBody"/>
        <w:bidi w:val="0"/>
        <w:spacing w:before="24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rPr>
        <w:t>Limitations on Restricted Actions.</w:t>
      </w:r>
      <w:r>
        <w:rPr>
          <w:rFonts w:ascii="Times New Roman" w:hAnsi="Times New Roman"/>
          <w:sz w:val="20"/>
        </w:rPr>
        <w:t xml:space="preserve"> Enter into or create or otherwise cause to exist (other than by Law) or become effective any agreement or arrangement that limits the ability (i) of any Subsidiary of the Borrower to make Restricted Payments to any Loan Party, (ii) of the Borrower or any of its Subsidiaries to act as a guarantor and pledge its assets pursuant to the Loan Documents, (iii) of the Borrower or any Subsidiary to grant Liens securing Indebtedness for borrowed money on any fee owned Real Property Asset or (iv) of any Loan Party to create, incur, assume or suffer to exist Liens on property of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clauses (iii) and (iv) shall not prohibit (A) any negative pledge incurred or provided in favor of any holder of Liens permitted under </w:t>
      </w:r>
      <w:r>
        <w:rPr>
          <w:rFonts w:ascii="Times New Roman" w:hAnsi="Times New Roman"/>
          <w:sz w:val="20"/>
          <w:u w:val="single"/>
        </w:rPr>
        <w:t>Section 7.01</w:t>
      </w:r>
      <w:r>
        <w:rPr>
          <w:rFonts w:ascii="Times New Roman" w:hAnsi="Times New Roman"/>
          <w:sz w:val="20"/>
        </w:rPr>
        <w:t xml:space="preserve"> (but such negative pledge must be limited to the asset that is the subject of such Permitted Lien) and in favor of any holder of Indebtedness permitted under </w:t>
      </w:r>
      <w:r>
        <w:rPr>
          <w:rFonts w:ascii="Times New Roman" w:hAnsi="Times New Roman"/>
          <w:sz w:val="20"/>
          <w:u w:val="single"/>
        </w:rPr>
        <w:t>Section 2.17</w:t>
      </w:r>
      <w:r>
        <w:rPr>
          <w:rFonts w:ascii="Times New Roman" w:hAnsi="Times New Roman"/>
          <w:sz w:val="20"/>
        </w:rPr>
        <w:t xml:space="preserve">, </w:t>
      </w:r>
      <w:r>
        <w:rPr>
          <w:rFonts w:ascii="Times New Roman" w:hAnsi="Times New Roman"/>
          <w:sz w:val="20"/>
          <w:u w:val="single"/>
        </w:rPr>
        <w:t>Section 7.03(g)</w:t>
      </w:r>
      <w:r>
        <w:rPr>
          <w:rFonts w:ascii="Times New Roman" w:hAnsi="Times New Roman"/>
          <w:sz w:val="20"/>
        </w:rPr>
        <w:t xml:space="preserve">, </w:t>
      </w:r>
      <w:r>
        <w:rPr>
          <w:rFonts w:ascii="Times New Roman" w:hAnsi="Times New Roman"/>
          <w:sz w:val="20"/>
          <w:u w:val="single"/>
        </w:rPr>
        <w:t>Section 7.03(j)</w:t>
      </w:r>
      <w:r>
        <w:rPr>
          <w:rFonts w:ascii="Times New Roman" w:hAnsi="Times New Roman"/>
          <w:sz w:val="20"/>
        </w:rPr>
        <w:t xml:space="preserve"> or </w:t>
      </w:r>
      <w:r>
        <w:rPr>
          <w:rFonts w:ascii="Times New Roman" w:hAnsi="Times New Roman"/>
          <w:sz w:val="20"/>
          <w:u w:val="single"/>
        </w:rPr>
        <w:t>Section 7.03(u)</w:t>
      </w:r>
      <w:r>
        <w:rPr>
          <w:rFonts w:ascii="Times New Roman" w:hAnsi="Times New Roman"/>
          <w:sz w:val="20"/>
        </w:rPr>
        <w:t xml:space="preserve"> or any Permitted Refinancing thereof, solely to the extent any such negative pledge relates to the property financed by or the subject of such Indebtedness, (B) restrictions incurred or assumed in connection with the Acquisition of a Foreign Subsidiary, (C) customary non-assignment provisions in licenses, sublicenses, leases and subleases entered into in the ordinary course of business and consistent with past practices, (D) restrictions not materially more restrictive (taken as a whole) on the Borrower and its Subsidiaries (taken as a whole) than the terms of this Agreement (as conclusively determined by the Borrower in good faith), (E) restrictions and conditions contained in this Agreement, any other Loan Document, the Senior Secured Notes Indenture, any other Senior Secured Notes Document, or any Permitted Refinancing of any Indebtedness incurred under any of the foregoing, (F) restrictions and conditions contained in any agreement, instrument or other document evidencing or governing Indebtedness of any Excluded Subsidiary, in each case that apply solely to such Excluded Subsidiary and its assets, and any Permitted Refinancing of any of the foregoing, (G) restrictions and conditions contained in any Swap Contract or Cash Management Services Agreement entered into in the ordinary course of business, or (H) restrictions and conditions contained in any agreement or instrument in effect at the time any Person becomes a Subsidiary of the Borrower in connection with a Permitted Acquisition or third party Investment (so long as such agreement or instrument was not entered into in contemplation of such Person becoming a Subsidiary), which restrictions and conditions apply solely to such Subsidiary and its Subsidiaries and their respective assets, and any Permitted Refinancing of any Indebtedness containing such restrictions and conditions (so long as such restrictions and conditions are not materially expanded thereby); </w:t>
      </w:r>
      <w:r>
        <w:rPr>
          <w:rFonts w:ascii="Times New Roman" w:hAnsi="Times New Roman"/>
          <w:sz w:val="20"/>
          <w:u w:val="single"/>
        </w:rPr>
        <w:t>provided</w:t>
      </w:r>
      <w:r>
        <w:rPr>
          <w:rFonts w:ascii="Times New Roman" w:hAnsi="Times New Roman"/>
          <w:sz w:val="20"/>
        </w:rPr>
        <w:t xml:space="preserve">, this </w:t>
      </w:r>
      <w:r>
        <w:rPr>
          <w:rFonts w:ascii="Times New Roman" w:hAnsi="Times New Roman"/>
          <w:sz w:val="20"/>
          <w:u w:val="single"/>
        </w:rPr>
        <w:t>Section 7.10</w:t>
      </w:r>
      <w:r>
        <w:rPr>
          <w:rFonts w:ascii="Times New Roman" w:hAnsi="Times New Roman"/>
          <w:sz w:val="20"/>
        </w:rPr>
        <w:t xml:space="preserve"> shall not prohibit any restrictions contained in any Permitted Receivables Document with respect to any Special Purpose Receivables Subsidiary. </w:t>
      </w:r>
    </w:p>
    <w:p>
      <w:pPr>
        <w:pStyle w:val="TextBody"/>
        <w:bidi w:val="0"/>
        <w:spacing w:before="240" w:after="0"/>
        <w:jc w:val="left"/>
        <w:rPr>
          <w:rFonts w:ascii="Times New Roman" w:hAnsi="Times New Roman"/>
          <w:sz w:val="20"/>
        </w:rPr>
      </w:pPr>
      <w:r>
        <w:rPr>
          <w:rFonts w:ascii="Times New Roman" w:hAnsi="Times New Roman"/>
          <w:b/>
          <w:sz w:val="20"/>
        </w:rPr>
        <w:t>7.11</w:t>
      </w:r>
      <w:r>
        <w:rPr>
          <w:rFonts w:ascii="Times New Roman" w:hAnsi="Times New Roman"/>
          <w:sz w:val="20"/>
        </w:rPr>
        <w:t xml:space="preserve"> </w:t>
      </w:r>
      <w:r>
        <w:rPr>
          <w:rFonts w:ascii="Times New Roman" w:hAnsi="Times New Roman"/>
          <w:b/>
          <w:sz w:val="20"/>
        </w:rPr>
        <w:t xml:space="preserve">Sale-Leasebacks; Off-Balance Sheet Obligation. </w:t>
      </w:r>
      <w:r>
        <w:rPr>
          <w:rFonts w:ascii="Times New Roman" w:hAnsi="Times New Roman"/>
          <w:sz w:val="20"/>
        </w:rPr>
        <w:t xml:space="preserve">Enter into any Sale and Leaseback Transaction or Off-Balance Sheet Obligation, unless such Sale and Leaseback Transaction or Off-Balance Sheet Obligation constitutes Indebtedness permitted by </w:t>
      </w:r>
      <w:r>
        <w:rPr>
          <w:rFonts w:ascii="Times New Roman" w:hAnsi="Times New Roman"/>
          <w:sz w:val="20"/>
          <w:u w:val="single"/>
        </w:rPr>
        <w:t>Section 7.03(g)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7.12</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in each case in violation of the provisions of Regulation U issued by the FRB.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7.13</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7.14</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7.15</w:t>
      </w:r>
      <w:r>
        <w:rPr>
          <w:rFonts w:ascii="Times New Roman" w:hAnsi="Times New Roman"/>
          <w:sz w:val="20"/>
        </w:rPr>
        <w:t xml:space="preserve"> </w:t>
      </w:r>
      <w:r>
        <w:rPr>
          <w:rFonts w:ascii="Times New Roman" w:hAnsi="Times New Roman"/>
          <w:b/>
          <w:sz w:val="20"/>
        </w:rPr>
        <w:t xml:space="preserve">Fiscal Year. </w:t>
      </w:r>
      <w:r>
        <w:rPr>
          <w:rFonts w:ascii="Times New Roman" w:hAnsi="Times New Roman"/>
          <w:sz w:val="20"/>
        </w:rPr>
        <w:t xml:space="preserve">Change its fiscal year unless such change is not adverse in any respect to the Lenders. </w:t>
      </w:r>
    </w:p>
    <w:p>
      <w:pPr>
        <w:pStyle w:val="TextBody"/>
        <w:bidi w:val="0"/>
        <w:spacing w:before="240" w:after="0"/>
        <w:jc w:val="left"/>
        <w:rPr>
          <w:rFonts w:ascii="Times New Roman" w:hAnsi="Times New Roman"/>
          <w:sz w:val="20"/>
        </w:rPr>
      </w:pPr>
      <w:r>
        <w:rPr>
          <w:rFonts w:ascii="Times New Roman" w:hAnsi="Times New Roman"/>
          <w:b/>
          <w:sz w:val="20"/>
        </w:rPr>
        <w:t>7.16</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7.17</w:t>
      </w:r>
      <w:r>
        <w:rPr>
          <w:rFonts w:ascii="Times New Roman" w:hAnsi="Times New Roman"/>
          <w:sz w:val="20"/>
        </w:rPr>
        <w:t xml:space="preserve"> </w:t>
      </w:r>
      <w:r>
        <w:rPr>
          <w:rFonts w:ascii="Times New Roman" w:hAnsi="Times New Roman"/>
          <w:b/>
          <w:sz w:val="20"/>
        </w:rPr>
        <w:t>Financial Covenants</w:t>
      </w:r>
      <w:r>
        <w:rPr>
          <w:rFonts w:ascii="Times New Roman" w:hAnsi="Times New Roman"/>
          <w:sz w:val="20"/>
        </w:rPr>
        <w:t xml:space="preserve">. Except with the consent of the Required Pro Rata Lenders: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Consolidated Total Leverage Ratio</w:t>
      </w:r>
      <w:r>
        <w:rPr>
          <w:rFonts w:ascii="Times New Roman" w:hAnsi="Times New Roman"/>
          <w:sz w:val="20"/>
        </w:rPr>
        <w:t xml:space="preserve">. Permit the Consolidated Total Leverage Ratio of the Borrower and its Consolidated Subsidiaries as of the last day of any consecutive four fiscal quarter period ending on the dates identified below to be greater than the ratio set forth below opposite such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0"/>
        <w:gridCol w:w="120"/>
        <w:gridCol w:w="4825"/>
      </w:tblGrid>
      <w:tr>
        <w:trPr/>
        <w:tc>
          <w:tcPr>
            <w:tcW w:w="5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6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Fiscal Quarters Ending</w:t>
            </w:r>
          </w:p>
        </w:tc>
        <w:tc>
          <w:tcPr>
            <w:tcW w:w="120" w:type="dxa"/>
            <w:tcBorders/>
            <w:vAlign w:val="bottom"/>
          </w:tcPr>
          <w:p>
            <w:pPr>
              <w:pStyle w:val="TableContents"/>
              <w:bidi w:val="0"/>
              <w:spacing w:before="0" w:after="283"/>
              <w:jc w:val="left"/>
              <w:rPr/>
            </w:pPr>
            <w:r>
              <w:rPr/>
              <w:t>  </w:t>
            </w:r>
          </w:p>
        </w:tc>
        <w:tc>
          <w:tcPr>
            <w:tcW w:w="48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Maximum Consolidated Total Leverage Ratio</w:t>
            </w:r>
          </w:p>
        </w:tc>
      </w:tr>
      <w:tr>
        <w:trPr/>
        <w:tc>
          <w:tcPr>
            <w:tcW w:w="5260" w:type="dxa"/>
            <w:tcBorders/>
          </w:tcPr>
          <w:p>
            <w:pPr>
              <w:pStyle w:val="TableContents"/>
              <w:bidi w:val="0"/>
              <w:spacing w:before="0" w:after="283"/>
              <w:jc w:val="center"/>
              <w:rPr/>
            </w:pPr>
            <w:r>
              <w:rPr/>
              <w:t>September 30, 2026</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4.75 to 1.00</w:t>
            </w:r>
          </w:p>
        </w:tc>
      </w:tr>
      <w:tr>
        <w:trPr/>
        <w:tc>
          <w:tcPr>
            <w:tcW w:w="5260" w:type="dxa"/>
            <w:tcBorders/>
          </w:tcPr>
          <w:p>
            <w:pPr>
              <w:pStyle w:val="TableContents"/>
              <w:bidi w:val="0"/>
              <w:spacing w:before="0" w:after="283"/>
              <w:jc w:val="center"/>
              <w:rPr/>
            </w:pPr>
            <w:r>
              <w:rPr/>
              <w:t>December 31, 2026</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4.50 to 1.00</w:t>
            </w:r>
          </w:p>
        </w:tc>
      </w:tr>
      <w:tr>
        <w:trPr/>
        <w:tc>
          <w:tcPr>
            <w:tcW w:w="5260" w:type="dxa"/>
            <w:tcBorders/>
          </w:tcPr>
          <w:p>
            <w:pPr>
              <w:pStyle w:val="TableContents"/>
              <w:bidi w:val="0"/>
              <w:spacing w:before="0" w:after="283"/>
              <w:jc w:val="center"/>
              <w:rPr/>
            </w:pPr>
            <w:r>
              <w:rPr/>
              <w:t>March 31, 2027 through December 31, 2027</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4.25 to 1.00</w:t>
            </w:r>
          </w:p>
        </w:tc>
      </w:tr>
      <w:tr>
        <w:trPr/>
        <w:tc>
          <w:tcPr>
            <w:tcW w:w="5260" w:type="dxa"/>
            <w:tcBorders/>
          </w:tcPr>
          <w:p>
            <w:pPr>
              <w:pStyle w:val="TableContents"/>
              <w:bidi w:val="0"/>
              <w:spacing w:before="0" w:after="283"/>
              <w:jc w:val="center"/>
              <w:rPr/>
            </w:pPr>
            <w:r>
              <w:rPr/>
              <w:t>March 31, 2028 and the last day of each fiscal quarter thereafter</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4.00 to 1.00</w:t>
            </w:r>
          </w:p>
        </w:tc>
      </w:tr>
    </w:tbl>
    <w:p>
      <w:pPr>
        <w:pStyle w:val="TextBody"/>
        <w:bidi w:val="0"/>
        <w:spacing w:before="240" w:after="0"/>
        <w:jc w:val="left"/>
        <w:rPr>
          <w:rFonts w:ascii="Times New Roman" w:hAnsi="Times New Roman"/>
          <w:sz w:val="20"/>
        </w:rPr>
      </w:pPr>
      <w:r>
        <w:rPr>
          <w:rFonts w:ascii="Times New Roman" w:hAnsi="Times New Roman"/>
          <w:sz w:val="20"/>
        </w:rPr>
        <w:t>Notwithstanding the foregoing, at the election of the Borrower, up to two times during the term of this Agreement, the maximum Consolidated Total Leverage Ratio set forth in the grid above may be increased to accommodate a Permitted Acquisition consummated after the Closing Date having aggregate consideration (including cash, Cash Equivalents, Equity Interests and other deferred payment obligations (excluding earnouts)) in excess of $200,000,000 (any such Permitted Acquisition, a “</w:t>
      </w:r>
      <w:r>
        <w:rPr>
          <w:rFonts w:ascii="Times New Roman" w:hAnsi="Times New Roman"/>
          <w:sz w:val="20"/>
          <w:u w:val="single"/>
        </w:rPr>
        <w:t>Material Acquisition</w:t>
      </w:r>
      <w:r>
        <w:rPr>
          <w:rFonts w:ascii="Times New Roman" w:hAnsi="Times New Roman"/>
          <w:sz w:val="20"/>
        </w:rPr>
        <w:t xml:space="preserve">”), as determined by the Borrower and as designated in the Compliance Certificate or earlier notice given by the Borrower in connection with such Material Acquisition (including for determining any ratios, baskets, representations and warranties or test any Default or Event of Default blocker pursuant to </w:t>
      </w:r>
      <w:r>
        <w:rPr>
          <w:rFonts w:ascii="Times New Roman" w:hAnsi="Times New Roman"/>
          <w:sz w:val="20"/>
          <w:u w:val="single"/>
        </w:rPr>
        <w:t>Section 1.08</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such increase will not otherwise go into effect until the closing of such Material Acquisition;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such increase shall only apply for a period of twelve months from and after such Material Acquisition and immediately upon the expiration of such twelve month period, the required maximum Consolidated Total Leverage Ratio shall revert to the level set forth above for the measurement period in which such step down occurs; (ii) in no event shall the maximum Consolidated Total Leverage Ratio after giving effect to any such step-up exceed 4.50 to 1.00; and (iii) the maximum amount that any Consolidated Total Leverage Ratio covenant level may step-up during any Consolidated Total Leverage Ratio measurement period is 0.50.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Consolidated Interest Coverage Ratio</w:t>
      </w:r>
      <w:r>
        <w:rPr>
          <w:rFonts w:ascii="Times New Roman" w:hAnsi="Times New Roman"/>
          <w:sz w:val="20"/>
        </w:rPr>
        <w:t xml:space="preserve">. Permit the Consolidated Interest Coverage Ratio of the Borrower and its Consolidated Subsidiaries as of the last day of any consecutive four fiscal quarter period ending on the dates identified below to be less than the ratio set forth below opposite such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0"/>
        <w:gridCol w:w="120"/>
        <w:gridCol w:w="4825"/>
      </w:tblGrid>
      <w:tr>
        <w:trPr/>
        <w:tc>
          <w:tcPr>
            <w:tcW w:w="5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6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Fiscal Quarters Ending</w:t>
            </w:r>
          </w:p>
        </w:tc>
        <w:tc>
          <w:tcPr>
            <w:tcW w:w="120" w:type="dxa"/>
            <w:tcBorders/>
            <w:vAlign w:val="bottom"/>
          </w:tcPr>
          <w:p>
            <w:pPr>
              <w:pStyle w:val="TableContents"/>
              <w:bidi w:val="0"/>
              <w:spacing w:before="0" w:after="283"/>
              <w:jc w:val="left"/>
              <w:rPr/>
            </w:pPr>
            <w:r>
              <w:rPr/>
              <w:t>  </w:t>
            </w:r>
          </w:p>
        </w:tc>
        <w:tc>
          <w:tcPr>
            <w:tcW w:w="48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Minimum Consolidated Interest Coverage Ratio</w:t>
            </w:r>
          </w:p>
        </w:tc>
      </w:tr>
      <w:tr>
        <w:trPr/>
        <w:tc>
          <w:tcPr>
            <w:tcW w:w="5260" w:type="dxa"/>
            <w:tcBorders/>
          </w:tcPr>
          <w:p>
            <w:pPr>
              <w:pStyle w:val="TableContents"/>
              <w:bidi w:val="0"/>
              <w:spacing w:before="0" w:after="283"/>
              <w:jc w:val="center"/>
              <w:rPr/>
            </w:pPr>
            <w:r>
              <w:rPr/>
              <w:t>September 30, 2026</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2.75 to 1.00</w:t>
            </w:r>
          </w:p>
        </w:tc>
      </w:tr>
      <w:tr>
        <w:trPr/>
        <w:tc>
          <w:tcPr>
            <w:tcW w:w="5260" w:type="dxa"/>
            <w:tcBorders/>
          </w:tcPr>
          <w:p>
            <w:pPr>
              <w:pStyle w:val="TableContents"/>
              <w:bidi w:val="0"/>
              <w:spacing w:before="0" w:after="283"/>
              <w:jc w:val="center"/>
              <w:rPr/>
            </w:pPr>
            <w:r>
              <w:rPr/>
              <w:t>December 31, 2026</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2.75 to 1.00</w:t>
            </w:r>
          </w:p>
        </w:tc>
      </w:tr>
      <w:tr>
        <w:trPr/>
        <w:tc>
          <w:tcPr>
            <w:tcW w:w="5260" w:type="dxa"/>
            <w:tcBorders/>
          </w:tcPr>
          <w:p>
            <w:pPr>
              <w:pStyle w:val="TableContents"/>
              <w:bidi w:val="0"/>
              <w:spacing w:before="0" w:after="283"/>
              <w:jc w:val="center"/>
              <w:rPr/>
            </w:pPr>
            <w:r>
              <w:rPr/>
              <w:t>March 31, 2027 through December 31, 2027</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2.75 to 1.00</w:t>
            </w:r>
          </w:p>
        </w:tc>
      </w:tr>
      <w:tr>
        <w:trPr/>
        <w:tc>
          <w:tcPr>
            <w:tcW w:w="5260" w:type="dxa"/>
            <w:tcBorders/>
          </w:tcPr>
          <w:p>
            <w:pPr>
              <w:pStyle w:val="TableContents"/>
              <w:bidi w:val="0"/>
              <w:spacing w:before="0" w:after="283"/>
              <w:jc w:val="center"/>
              <w:rPr/>
            </w:pPr>
            <w:r>
              <w:rPr/>
              <w:t>March 31, 2028 through September 30, 2028</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2.75 to 1.00</w:t>
            </w:r>
          </w:p>
        </w:tc>
      </w:tr>
      <w:tr>
        <w:trPr/>
        <w:tc>
          <w:tcPr>
            <w:tcW w:w="5260" w:type="dxa"/>
            <w:tcBorders/>
          </w:tcPr>
          <w:p>
            <w:pPr>
              <w:pStyle w:val="TableContents"/>
              <w:bidi w:val="0"/>
              <w:spacing w:before="0" w:after="283"/>
              <w:jc w:val="center"/>
              <w:rPr/>
            </w:pPr>
            <w:r>
              <w:rPr/>
              <w:t>December 31, 2028 and the last day of each fiscal quarter thereafter</w:t>
            </w:r>
          </w:p>
        </w:tc>
        <w:tc>
          <w:tcPr>
            <w:tcW w:w="120"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center"/>
              <w:rPr/>
            </w:pPr>
            <w:r>
              <w:rPr/>
              <w:t>3.00:1.00</w:t>
            </w:r>
          </w:p>
        </w:tc>
      </w:tr>
    </w:tbl>
    <w:p>
      <w:pPr>
        <w:pStyle w:val="TextBody"/>
        <w:bidi w:val="0"/>
        <w:spacing w:before="240" w:after="0"/>
        <w:jc w:val="left"/>
        <w:rPr>
          <w:rFonts w:ascii="Times New Roman" w:hAnsi="Times New Roman"/>
          <w:sz w:val="20"/>
        </w:rPr>
      </w:pPr>
      <w:r>
        <w:rPr>
          <w:rFonts w:ascii="Times New Roman" w:hAnsi="Times New Roman"/>
          <w:b/>
          <w:sz w:val="20"/>
        </w:rPr>
        <w:t>7.18</w:t>
      </w:r>
      <w:r>
        <w:rPr>
          <w:rFonts w:ascii="Times New Roman" w:hAnsi="Times New Roman"/>
          <w:sz w:val="20"/>
        </w:rPr>
        <w:t xml:space="preserve"> </w:t>
      </w:r>
      <w:r>
        <w:rPr>
          <w:rFonts w:ascii="Times New Roman" w:hAnsi="Times New Roman"/>
          <w:b/>
          <w:sz w:val="20"/>
        </w:rPr>
        <w:t>Independent Covenants.</w:t>
      </w:r>
      <w:r>
        <w:rPr>
          <w:rFonts w:ascii="Times New Roman" w:hAnsi="Times New Roman"/>
          <w:sz w:val="20"/>
        </w:rPr>
        <w:t xml:space="preserve"> All covenants contained in </w:t>
      </w:r>
      <w:r>
        <w:rPr>
          <w:rFonts w:ascii="Times New Roman" w:hAnsi="Times New Roman"/>
          <w:sz w:val="20"/>
          <w:u w:val="single"/>
        </w:rPr>
        <w:t>ARTICLE VI</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of this Agreement shall be given independent effect so that if a particular action or condition is not permitted by one covenant, the fact that such action or condition would be permitted by another covenant shall not avoid the occurrence of a Default if such action is taken or condition exists. </w:t>
      </w:r>
    </w:p>
    <w:p>
      <w:pPr>
        <w:pStyle w:val="TextBody"/>
        <w:bidi w:val="0"/>
        <w:spacing w:before="240" w:after="0"/>
        <w:jc w:val="left"/>
        <w:rPr>
          <w:rFonts w:ascii="Times New Roman" w:hAnsi="Times New Roman"/>
          <w:sz w:val="20"/>
        </w:rPr>
      </w:pPr>
      <w:r>
        <w:rPr>
          <w:rFonts w:ascii="Times New Roman" w:hAnsi="Times New Roman"/>
          <w:b/>
          <w:sz w:val="20"/>
        </w:rPr>
        <w:t>7.19</w:t>
      </w:r>
      <w:r>
        <w:rPr>
          <w:rFonts w:ascii="Times New Roman" w:hAnsi="Times New Roman"/>
          <w:sz w:val="20"/>
        </w:rPr>
        <w:t xml:space="preserve"> </w:t>
      </w:r>
      <w:r>
        <w:rPr>
          <w:rFonts w:ascii="Times New Roman" w:hAnsi="Times New Roman"/>
          <w:b/>
          <w:sz w:val="20"/>
        </w:rPr>
        <w:t>Outbound Investment Rules.</w:t>
      </w:r>
      <w:r>
        <w:rPr>
          <w:rFonts w:ascii="Times New Roman" w:hAnsi="Times New Roman"/>
          <w:sz w:val="20"/>
        </w:rPr>
        <w:t xml:space="preserve"> The Borrower will not, and will not permit any of its Subsidiaries to, (i) be or become a “covered foreign person”, as that term is defined in the Outbound Investment Rules, or (ii) engage, directly or indirectly, in any activities in violation of the Outbound Investment Rules, or (iii) engage directly or indirectly, in any activity that would cause the Administrative Agent or any Lender to be in violation of the Outbound Investment Rules or that the Administrative Agent or any Lender would be legally prohibited by the Outbound Investment Rules from performing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AND REMEDIES </w:t>
      </w:r>
    </w:p>
    <w:p>
      <w:pPr>
        <w:pStyle w:val="TextBody"/>
        <w:bidi w:val="0"/>
        <w:spacing w:before="240" w:after="0"/>
        <w:jc w:val="left"/>
        <w:rPr>
          <w:rFonts w:ascii="Times New Roman" w:hAnsi="Times New Roman"/>
          <w:sz w:val="20"/>
        </w:rPr>
      </w:pPr>
      <w:r>
        <w:rPr>
          <w:rFonts w:ascii="Times New Roman" w:hAnsi="Times New Roman"/>
          <w:b/>
          <w:sz w:val="20"/>
        </w:rPr>
        <w:t>8.01</w:t>
      </w:r>
      <w:r>
        <w:rPr>
          <w:rFonts w:ascii="Times New Roman" w:hAnsi="Times New Roman"/>
          <w:sz w:val="20"/>
        </w:rPr>
        <w:t xml:space="preserve"> </w:t>
      </w:r>
      <w:r>
        <w:rPr>
          <w:rFonts w:ascii="Times New Roman" w:hAnsi="Times New Roman"/>
          <w:b/>
          <w:sz w:val="20"/>
        </w:rPr>
        <w:t>Events of Default.</w:t>
      </w:r>
      <w:r>
        <w:rPr>
          <w:rFonts w:ascii="Times New Roman" w:hAnsi="Times New Roman"/>
          <w:sz w:val="20"/>
        </w:rPr>
        <w:t xml:space="preserve"> Any of the following shall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Non-Payment</w:t>
      </w:r>
      <w:r>
        <w:rPr>
          <w:rFonts w:ascii="Times New Roman" w:hAnsi="Times New Roman"/>
          <w:sz w:val="20"/>
        </w:rPr>
        <w:t xml:space="preserve">. The Borrower or any other Loan Party fails to pay (i) when and as required to be paid herein, any amount of principal (other than the principal payments of the Term Loans required under </w:t>
      </w:r>
      <w:r>
        <w:rPr>
          <w:rFonts w:ascii="Times New Roman" w:hAnsi="Times New Roman"/>
          <w:sz w:val="20"/>
          <w:u w:val="single"/>
        </w:rPr>
        <w:t>Section 2.07</w:t>
      </w:r>
      <w:r>
        <w:rPr>
          <w:rFonts w:ascii="Times New Roman" w:hAnsi="Times New Roman"/>
          <w:sz w:val="20"/>
        </w:rPr>
        <w:t xml:space="preserve"> (other than with respect to any principal payment of the Term Loan on the Maturity Date)) of any Loan or any L/C Obligation or deposit any funds as Cash Collateral in respect of L/C Obligations, or (ii) within three Business Days after the same becomes due, any principal of the Term Loans required under </w:t>
      </w:r>
      <w:r>
        <w:rPr>
          <w:rFonts w:ascii="Times New Roman" w:hAnsi="Times New Roman"/>
          <w:sz w:val="20"/>
          <w:u w:val="single"/>
        </w:rPr>
        <w:t>Section 2.07</w:t>
      </w:r>
      <w:r>
        <w:rPr>
          <w:rFonts w:ascii="Times New Roman" w:hAnsi="Times New Roman"/>
          <w:sz w:val="20"/>
        </w:rPr>
        <w:t xml:space="preserve"> (other than any principal payment of the Term Loan on the Maturity Date), any interest on any Loan or on any L/C Obligation, or any commitment or other fee due hereunder, or (iii) within five Business Days after the same becomes due, any other amount payable hereunder or under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Covenants</w:t>
      </w:r>
      <w:r>
        <w:rPr>
          <w:rFonts w:ascii="Times New Roman" w:hAnsi="Times New Roman"/>
          <w:sz w:val="20"/>
        </w:rPr>
        <w:t xml:space="preserve">. The Borrower or any other Loan Party fails to perform or observe any term, covenant or agreement contained in any </w:t>
      </w:r>
      <w:r>
        <w:rPr>
          <w:rFonts w:ascii="Times New Roman" w:hAnsi="Times New Roman"/>
          <w:sz w:val="20"/>
          <w:u w:val="single"/>
        </w:rPr>
        <w:t>Section 6.03</w:t>
      </w:r>
      <w:r>
        <w:rPr>
          <w:rFonts w:ascii="Times New Roman" w:hAnsi="Times New Roman"/>
          <w:sz w:val="20"/>
        </w:rPr>
        <w:t xml:space="preserve">, </w:t>
      </w:r>
      <w:r>
        <w:rPr>
          <w:rFonts w:ascii="Times New Roman" w:hAnsi="Times New Roman"/>
          <w:sz w:val="20"/>
          <w:u w:val="single"/>
        </w:rPr>
        <w:t>6.05(a)</w:t>
      </w:r>
      <w:r>
        <w:rPr>
          <w:rFonts w:ascii="Times New Roman" w:hAnsi="Times New Roman"/>
          <w:sz w:val="20"/>
        </w:rPr>
        <w:t xml:space="preserve"> (except with respect to Excluded Subsidiaries), </w:t>
      </w:r>
      <w:r>
        <w:rPr>
          <w:rFonts w:ascii="Times New Roman" w:hAnsi="Times New Roman"/>
          <w:sz w:val="20"/>
          <w:u w:val="single"/>
        </w:rPr>
        <w:t>6.11(a)</w:t>
      </w:r>
      <w:r>
        <w:rPr>
          <w:rFonts w:ascii="Times New Roman" w:hAnsi="Times New Roman"/>
          <w:sz w:val="20"/>
        </w:rPr>
        <w:t xml:space="preserve">, </w:t>
      </w:r>
      <w:r>
        <w:rPr>
          <w:rFonts w:ascii="Times New Roman" w:hAnsi="Times New Roman"/>
          <w:sz w:val="20"/>
          <w:u w:val="single"/>
        </w:rPr>
        <w:t>6.14</w:t>
      </w:r>
      <w:r>
        <w:rPr>
          <w:rFonts w:ascii="Times New Roman" w:hAnsi="Times New Roman"/>
          <w:sz w:val="20"/>
        </w:rPr>
        <w:t xml:space="preserve">, or </w:t>
      </w:r>
      <w:r>
        <w:rPr>
          <w:rFonts w:ascii="Times New Roman" w:hAnsi="Times New Roman"/>
          <w:sz w:val="20"/>
          <w:u w:val="single"/>
        </w:rPr>
        <w:t>ARTICLE VII</w:t>
      </w:r>
      <w:r>
        <w:rPr>
          <w:rFonts w:ascii="Times New Roman" w:hAnsi="Times New Roman"/>
          <w:sz w:val="20"/>
        </w:rPr>
        <w:t xml:space="preserve"> or any Subsidiary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fails to perform or observe any term, covenant or agreement contained in </w:t>
      </w:r>
      <w:r>
        <w:rPr>
          <w:rFonts w:ascii="Times New Roman" w:hAnsi="Times New Roman"/>
          <w:sz w:val="20"/>
          <w:u w:val="single"/>
        </w:rPr>
        <w:t>Section 4.1</w:t>
      </w:r>
      <w:r>
        <w:rPr>
          <w:rFonts w:ascii="Times New Roman" w:hAnsi="Times New Roman"/>
          <w:sz w:val="20"/>
        </w:rPr>
        <w:t xml:space="preserve"> of the Subsidiary Guaranty (after giving effect to any grace or cure period applicable to the events referenced in such </w:t>
      </w:r>
      <w:r>
        <w:rPr>
          <w:rFonts w:ascii="Times New Roman" w:hAnsi="Times New Roman"/>
          <w:sz w:val="20"/>
          <w:u w:val="single"/>
        </w:rPr>
        <w:t>Section 4.1</w:t>
      </w:r>
      <w:r>
        <w:rPr>
          <w:rFonts w:ascii="Times New Roman" w:hAnsi="Times New Roman"/>
          <w:sz w:val="20"/>
        </w:rPr>
        <w:t xml:space="preserve">) or during the continuation of any Event of Default, the Borrower or any other Loan Party fails to perform or observe any term, covenant or agreement contained in </w:t>
      </w: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default as a result of a breach of </w:t>
      </w:r>
      <w:r>
        <w:rPr>
          <w:rFonts w:ascii="Times New Roman" w:hAnsi="Times New Roman"/>
          <w:sz w:val="20"/>
          <w:u w:val="single"/>
        </w:rPr>
        <w:t>Section 7.17</w:t>
      </w:r>
      <w:r>
        <w:rPr>
          <w:rFonts w:ascii="Times New Roman" w:hAnsi="Times New Roman"/>
          <w:sz w:val="20"/>
        </w:rPr>
        <w:t xml:space="preserve"> shall not itself constitute an Event of Default with respect to any Term B Loans, or Incremental Term B Loans or Refinancing Term Loans that are term “B” loans, unless and until the Required Pro Rata Lenders have declared all obligations under the Pro Rata Facilities to be due and payable and all outstanding Pro Rata Commitments to be immediately terminated, in each case in accordance with this Agreement (any such Event of Default with respect to Section 7.17, a “</w:t>
      </w:r>
      <w:r>
        <w:rPr>
          <w:rFonts w:ascii="Times New Roman" w:hAnsi="Times New Roman"/>
          <w:sz w:val="20"/>
          <w:u w:val="single"/>
        </w:rPr>
        <w:t>Financial Covenant Event of Default</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Defaults</w:t>
      </w:r>
      <w:r>
        <w:rPr>
          <w:rFonts w:ascii="Times New Roman" w:hAnsi="Times New Roman"/>
          <w:sz w:val="20"/>
        </w:rPr>
        <w:t xml:space="preserve">. The Borrower or any other Loan Party fails to perform or observe any other covenant or agreement (not specified in </w:t>
      </w:r>
      <w:r>
        <w:rPr>
          <w:rFonts w:ascii="Times New Roman" w:hAnsi="Times New Roman"/>
          <w:sz w:val="20"/>
          <w:u w:val="single"/>
        </w:rPr>
        <w:t>Section 8.01(a)</w:t>
      </w:r>
      <w:r>
        <w:rPr>
          <w:rFonts w:ascii="Times New Roman" w:hAnsi="Times New Roman"/>
          <w:sz w:val="20"/>
        </w:rPr>
        <w:t xml:space="preserve"> or </w:t>
      </w:r>
      <w:r>
        <w:rPr>
          <w:rFonts w:ascii="Times New Roman" w:hAnsi="Times New Roman"/>
          <w:sz w:val="20"/>
          <w:u w:val="single"/>
        </w:rPr>
        <w:t>8.01(b)</w:t>
      </w:r>
      <w:r>
        <w:rPr>
          <w:rFonts w:ascii="Times New Roman" w:hAnsi="Times New Roman"/>
          <w:sz w:val="20"/>
        </w:rPr>
        <w:t xml:space="preserve"> above) contained in any Loan Document on its part to be performed or observed and such failure continues for 30 days after the first to occur of (i) the date that any Loan Party obtains actual knowledge of such breach or (ii) the date that the Administrative Agent delivers notice to Borrower or other Loan Party of such breach;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Borrower or such other Loan Party has commenced a cure for such failure during the initial 30-day cure period and is diligently and continuously pursuing such cure, such initial 30-day cure period may be extended for up to 90 days (including the initial 30 day cure period); 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Representations and Warranties</w:t>
      </w:r>
      <w:r>
        <w:rPr>
          <w:rFonts w:ascii="Times New Roman" w:hAnsi="Times New Roman"/>
          <w:sz w:val="20"/>
        </w:rPr>
        <w:t xml:space="preserve">. Any representation, warranty, certification or statement of fact made or deemed made by or on behalf of the Borrower or any other Loan Party herein or in any other Loan Document shall be incorrect or misleading in any material respect when made or deemed made; 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Cross-Default</w:t>
      </w:r>
      <w:r>
        <w:rPr>
          <w:rFonts w:ascii="Times New Roman" w:hAnsi="Times New Roman"/>
          <w:sz w:val="20"/>
        </w:rPr>
        <w:t xml:space="preserve">. (i) (A) Any Loan Party fails to make any payment when due (whether by scheduled maturity, required prepayment, acceleration, demand or otherwise) in respect of any Indebtedness or Guarantee of a Loan Party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any default or other event occurs in respect of any Indebtedness or Guarantee of a Loan Party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the effect of which default or other event is to cause (or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conversions of Convertible Indebtedness as a result of a conversion trigger event that does not constitute or arise from a default under the definitive documentation for such Convertible Indebtedness will not constitute such a default or other event; or (ii) there occurs under any Swap Contract an Early Termination Date (as defined in such Swap Contract) resulting from (A) any event of default under such Swap Contract as to which any Loan Party is the Defaulting Party (as defined in such Swap Contract) or (B) except for the Permitted Swap Termination, any Termination Event (as defined in such Swap Contract) under such Swap Contract as to which any Loan Party is an Affected Party (as defined in such Swap Contract) and, in either event, the Swap Termination Value owed by such Loan Party as a result thereof is greater than the Threshold Amount;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Insolvency Proceedings, Etc</w:t>
      </w:r>
      <w:r>
        <w:rPr>
          <w:rFonts w:ascii="Times New Roman" w:hAnsi="Times New Roman"/>
          <w:sz w:val="20"/>
        </w:rPr>
        <w:t xml:space="preserve">. Any Loan Party (i) institutes or consents to the institution of any proceeding under any Debtor Relief Law, or makes a general assignment for the benefit of creditors or (ii)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[Reserved]</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Judgments</w:t>
      </w:r>
      <w:r>
        <w:rPr>
          <w:rFonts w:ascii="Times New Roman" w:hAnsi="Times New Roman"/>
          <w:sz w:val="20"/>
        </w:rPr>
        <w:t xml:space="preserve">. There is entered against any Loan Party a final judgment or order for the payment of money in an aggregate amount exceeding the Threshold Amount (to the extent (x) not covered by independent third-party insurance as to which the insurer does not dispute coverage or (y) the full amount of which judgment is not reserved by the Borrower in cash), and (A) enforcement proceedings are commenced by any creditor upon such judgment or order, or (B) there is a period of 60 consecutive days during which a stay of enforcement of such judgment, by reason of a pending appeal or otherwise, is not in effect; or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ERISA</w:t>
      </w:r>
      <w:r>
        <w:rPr>
          <w:rFonts w:ascii="Times New Roman" w:hAnsi="Times New Roman"/>
          <w:sz w:val="20"/>
        </w:rPr>
        <w:t xml:space="preserve">. (i) An ERISA Event occurs with respect to a Pension Plan or Multiemployer Plan which has resulted or could reasonably be expected to result in liability of the Borrower or any of its Subsidiaries under Title IV of ERISA to the Pension Plan, Multiemployer Plan or the PBGC in an aggregate amount in excess of the Threshold Amount, or (ii) the Borrower or any of its Subsidiaries or any ERISA Affiliate fails to pay when due, after the expiration of any applicable grace period, any installment payment with respect to its withdrawal liability under Section 4201 of ERISA under a Multiemployer Plan in an aggregate amount in excess of the Threshold Amount; or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Invalidity of Loan Documents</w:t>
      </w:r>
      <w:r>
        <w:rPr>
          <w:rFonts w:ascii="Times New Roman" w:hAnsi="Times New Roman"/>
          <w:sz w:val="20"/>
        </w:rPr>
        <w:t xml:space="preserve">. Any material provision of any Loan Document, at any time after its execution and delivery and for any reason other than as expressly permitted hereunder or thereunder or satisfaction in full of all the Obligations, ceases to be in full force and effect; or the Borrower, any of its Subsidiaries or any of their respective Affiliates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in the case of any material Lien granted pursuant to any Collateral Document (including any Lien granted after the Closing Date in accordance with </w:t>
      </w:r>
      <w:r>
        <w:rPr>
          <w:rFonts w:ascii="Times New Roman" w:hAnsi="Times New Roman"/>
          <w:sz w:val="20"/>
          <w:u w:val="single"/>
        </w:rPr>
        <w:t>Section 6.11</w:t>
      </w:r>
      <w:r>
        <w:rPr>
          <w:rFonts w:ascii="Times New Roman" w:hAnsi="Times New Roman"/>
          <w:sz w:val="20"/>
        </w:rPr>
        <w:t xml:space="preserve"> or </w:t>
      </w:r>
      <w:r>
        <w:rPr>
          <w:rFonts w:ascii="Times New Roman" w:hAnsi="Times New Roman"/>
          <w:sz w:val="20"/>
          <w:u w:val="single"/>
        </w:rPr>
        <w:t>6.12</w:t>
      </w:r>
      <w:r>
        <w:rPr>
          <w:rFonts w:ascii="Times New Roman" w:hAnsi="Times New Roman"/>
          <w:sz w:val="20"/>
        </w:rPr>
        <w:t xml:space="preserve">) in favor of the Administrative Agent, such Lien ceases to have the priority purported to be granted under such Collateral Document or is declared by a court of competent jurisdiction to be null and void, invalid or unenforceable in any respect (except to the extent resulting from the Administrative Agent’s gross negligence or willful misconduct as determined by a court of competent jurisdiction in a final and non appealable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Subsidiary Guaranty</w:t>
      </w:r>
      <w:r>
        <w:rPr>
          <w:rFonts w:ascii="Times New Roman" w:hAnsi="Times New Roman"/>
          <w:sz w:val="20"/>
        </w:rPr>
        <w:t xml:space="preserve">. The Subsidiary Guaranty given by any Subsidiary Guarantor (including any Person that becomes a Subsidiary Guarantor after the Closing Date in accordance with </w:t>
      </w:r>
      <w:r>
        <w:rPr>
          <w:rFonts w:ascii="Times New Roman" w:hAnsi="Times New Roman"/>
          <w:sz w:val="20"/>
          <w:u w:val="single"/>
        </w:rPr>
        <w:t>Section 6.11</w:t>
      </w:r>
      <w:r>
        <w:rPr>
          <w:rFonts w:ascii="Times New Roman" w:hAnsi="Times New Roman"/>
          <w:sz w:val="20"/>
        </w:rPr>
        <w:t xml:space="preserve">) that is a Material Subsidiary or any material provision thereof shall cease to be in full force and effect, or any Subsidiary Guarantor (including any Person that becomes a Subsidiary Guarantor after the Closing Date in accordance with </w:t>
      </w:r>
      <w:r>
        <w:rPr>
          <w:rFonts w:ascii="Times New Roman" w:hAnsi="Times New Roman"/>
          <w:sz w:val="20"/>
          <w:u w:val="single"/>
        </w:rPr>
        <w:t>Section 6.11</w:t>
      </w:r>
      <w:r>
        <w:rPr>
          <w:rFonts w:ascii="Times New Roman" w:hAnsi="Times New Roman"/>
          <w:sz w:val="20"/>
        </w:rPr>
        <w:t xml:space="preserve">) that is a Material Subsidiary or any Person acting by or on behalf of such Subsidiary Guarantor shall deny or disaffirm such Subsidiary Guarantor’s material obligations under the Subsidiary Guaranty; or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Change of Control</w:t>
      </w:r>
      <w:r>
        <w:rPr>
          <w:rFonts w:ascii="Times New Roman" w:hAnsi="Times New Roman"/>
          <w:sz w:val="20"/>
        </w:rPr>
        <w:t xml:space="preserve">. There occurs any Change of Control. </w:t>
      </w:r>
    </w:p>
    <w:p>
      <w:pPr>
        <w:pStyle w:val="TextBody"/>
        <w:bidi w:val="0"/>
        <w:spacing w:before="240" w:after="0"/>
        <w:jc w:val="left"/>
        <w:rPr>
          <w:rFonts w:ascii="Times New Roman" w:hAnsi="Times New Roman"/>
          <w:sz w:val="20"/>
        </w:rPr>
      </w:pPr>
      <w:r>
        <w:rPr>
          <w:rFonts w:ascii="Times New Roman" w:hAnsi="Times New Roman"/>
          <w:b/>
          <w:sz w:val="20"/>
        </w:rPr>
        <w:t>8.02</w:t>
      </w:r>
      <w:r>
        <w:rPr>
          <w:rFonts w:ascii="Times New Roman" w:hAnsi="Times New Roman"/>
          <w:sz w:val="20"/>
        </w:rPr>
        <w:t xml:space="preserve"> </w:t>
      </w:r>
      <w:r>
        <w:rPr>
          <w:rFonts w:ascii="Times New Roman" w:hAnsi="Times New Roman"/>
          <w:b/>
          <w:sz w:val="20"/>
        </w:rPr>
        <w:t>Remedies Upon Event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Event of Default occurs and is continuing, the Administrative Agent shall, at the request of, or may, with the consent of, the Required Lenders, take any or all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(i) declare the Commitments of each Lender to make Loans and any obligation of each L/C Issuer to make L/C Credit Extensions to be terminated, whereupon such Commitments and obligation shall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(ii) declare the unpaid principal amount of all outstanding Loans, all interest accrued and unpaid thereon, and all other amounts (including the Applicable Prepayment Premium) owing or payable hereunder or under any other Loan Document to be immediately due and payable, without presentment, demand, protest or other notice of any kind, all of which are hereby expressly waived by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(iii) require that the Borrower Cash Collateralize the L/C Obligations (in an amount equal to the Minimum Collateral Amount); and </w:t>
      </w:r>
    </w:p>
    <w:p>
      <w:pPr>
        <w:pStyle w:val="TextBody"/>
        <w:bidi w:val="0"/>
        <w:spacing w:before="120" w:after="0"/>
        <w:jc w:val="left"/>
        <w:rPr>
          <w:rFonts w:ascii="Times New Roman" w:hAnsi="Times New Roman"/>
          <w:sz w:val="20"/>
        </w:rPr>
      </w:pPr>
      <w:r>
        <w:rPr>
          <w:rFonts w:ascii="Times New Roman" w:hAnsi="Times New Roman"/>
          <w:sz w:val="20"/>
        </w:rPr>
        <w:t xml:space="preserve">(iv) exercise on behalf of itself and the Lenders all rights and remedies available to it and the Lenders under the Loan Documents, including, without limitation, all rights and remedies existing under the Collateral Documents and all rights and remedies against any Subsidiary Guarantor;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upon the occurrence of an actual or deemed entry of an order for relief with respect to any Loan Party under the Bankruptcy Code of the United States, the obligation of each Lender to make Loans and any obligation of each L/C Issuer to make L/C Credit Extensions shall automatically terminate, the unpaid principal amount of all outstanding Loans and all interest and other amounts (including the Applicable Prepayment Premium) as aforesaid shall automatically become due and payable, and the obligation of the Borrower to Cash Collateralize the L/C Obligations as aforesaid shall automatically become effective, in each case without further act of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(b) If any Financial Covenant Event of Default shall have occurred and be continuing, the Administrative Agent shall, at the request of, or may with the consent of, the Required Pro Rata Lenders, take any of the actions specified under </w:t>
      </w:r>
      <w:r>
        <w:rPr>
          <w:rFonts w:ascii="Times New Roman" w:hAnsi="Times New Roman"/>
          <w:sz w:val="20"/>
          <w:u w:val="single"/>
        </w:rPr>
        <w:t>Sections 8.02(a)(i)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above, but solely with respect to the Pro Rata Facilities (subject to </w:t>
      </w:r>
      <w:r>
        <w:rPr>
          <w:rFonts w:ascii="Times New Roman" w:hAnsi="Times New Roman"/>
          <w:sz w:val="20"/>
          <w:u w:val="single"/>
        </w:rPr>
        <w:t>Section 8.02(d)</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(c) If any Financial Covenant Event of Default shall have occurred and be continuing and the Required Pro Rata Lenders (or the Administrative Agent on their behalf) have declared all amounts outstanding under the Pro Rata Facilities to be due and payable and all outstanding Commitments under the Pro Rata Facilities to be terminated, in each case in accordance with this Agreement as a result of such breach, and such declaration has not been rescinded, then the Administrative Agent shall, at the request of, or may, with the consent of, the Required Term B Lenders (i) declare the unpaid principal amount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Term B Loans and/or, Incremental Term B Loans or Refinancing Term Loans that are term “B” loans, all interest accrued and unpaid thereon, and all other amounts owing or payable hereunder or under any other Loan Document in each case to the applicable Lenders to be immediately due and payable, without presentment, demand, protest or other notice of any kind, all of which are hereby expressly waived by the Borrower and (ii) exercise, on behalf of itself and the Term B Lenders, all rights and remedies available to it and the Term B Lenders under the Loan Documents (subject to </w:t>
      </w:r>
      <w:r>
        <w:rPr>
          <w:rFonts w:ascii="Times New Roman" w:hAnsi="Times New Roman"/>
          <w:sz w:val="20"/>
          <w:u w:val="single"/>
        </w:rPr>
        <w:t xml:space="preserve">Section 8.02(d) </w:t>
      </w:r>
      <w:r>
        <w:rPr>
          <w:rFonts w:ascii="Times New Roman" w:hAnsi="Times New Roman"/>
          <w:sz w:val="20"/>
        </w:rPr>
        <w:t xml:space="preserve">below).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w:t>
      </w:r>
      <w:r>
        <w:rPr>
          <w:rFonts w:ascii="Times New Roman" w:hAnsi="Times New Roman"/>
          <w:sz w:val="20"/>
          <w:u w:val="single"/>
        </w:rPr>
        <w:t>Sections 8.02(b)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above, in the event that after a Financial Covenant Event of Default both (i) all amounts outstanding under the Pro Rata Facilities, respectively, have been declared due and payable, and all commitments thereunder terminated, pursuant to </w:t>
      </w:r>
      <w:r>
        <w:rPr>
          <w:rFonts w:ascii="Times New Roman" w:hAnsi="Times New Roman"/>
          <w:sz w:val="20"/>
          <w:u w:val="single"/>
        </w:rPr>
        <w:t>Section 8.02(b)</w:t>
      </w:r>
      <w:r>
        <w:rPr>
          <w:rFonts w:ascii="Times New Roman" w:hAnsi="Times New Roman"/>
          <w:sz w:val="20"/>
        </w:rPr>
        <w:t xml:space="preserve"> above, and (ii) all amounts outstanding under the Term B Facility, and Incremental Term B Loans or Refinancing Term Loans that are term “B” loans, have been declared due and payable pursuant to </w:t>
      </w:r>
      <w:r>
        <w:rPr>
          <w:rFonts w:ascii="Times New Roman" w:hAnsi="Times New Roman"/>
          <w:sz w:val="20"/>
          <w:u w:val="single"/>
        </w:rPr>
        <w:t xml:space="preserve">Section 8.02(c) </w:t>
      </w:r>
      <w:r>
        <w:rPr>
          <w:rFonts w:ascii="Times New Roman" w:hAnsi="Times New Roman"/>
          <w:sz w:val="20"/>
        </w:rPr>
        <w:t xml:space="preserve">above, then in such case the exercise of rights and remedies under the Loan Documents shall be conducted pursuant to </w:t>
      </w:r>
      <w:r>
        <w:rPr>
          <w:rFonts w:ascii="Times New Roman" w:hAnsi="Times New Roman"/>
          <w:sz w:val="20"/>
          <w:u w:val="single"/>
        </w:rPr>
        <w:t>Section 8.02(a)(iv).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8.03</w:t>
      </w:r>
      <w:r>
        <w:rPr>
          <w:rFonts w:ascii="Times New Roman" w:hAnsi="Times New Roman"/>
          <w:sz w:val="20"/>
        </w:rPr>
        <w:t xml:space="preserve"> </w:t>
      </w:r>
      <w:r>
        <w:rPr>
          <w:rFonts w:ascii="Times New Roman" w:hAnsi="Times New Roman"/>
          <w:b/>
          <w:sz w:val="20"/>
        </w:rPr>
        <w:t>Application of Funds</w:t>
      </w:r>
      <w:r>
        <w:rPr>
          <w:rFonts w:ascii="Times New Roman" w:hAnsi="Times New Roman"/>
          <w:sz w:val="20"/>
        </w:rPr>
        <w:t xml:space="preserve">. After the exercise of remedies provided for in </w:t>
      </w:r>
      <w:r>
        <w:rPr>
          <w:rFonts w:ascii="Times New Roman" w:hAnsi="Times New Roman"/>
          <w:sz w:val="20"/>
          <w:u w:val="single"/>
        </w:rPr>
        <w:t>Section 8.02</w:t>
      </w:r>
      <w:r>
        <w:rPr>
          <w:rFonts w:ascii="Times New Roman" w:hAnsi="Times New Roman"/>
          <w:sz w:val="20"/>
        </w:rPr>
        <w:t xml:space="preserve"> (or after the Loans have automatically become immediately due and payable and the L/C Obligations have automatically been required to be Cash Collateralized as set forth in the proviso to </w:t>
      </w:r>
      <w:r>
        <w:rPr>
          <w:rFonts w:ascii="Times New Roman" w:hAnsi="Times New Roman"/>
          <w:sz w:val="20"/>
          <w:u w:val="single"/>
        </w:rPr>
        <w:t>Section 8.02</w:t>
      </w:r>
      <w:r>
        <w:rPr>
          <w:rFonts w:ascii="Times New Roman" w:hAnsi="Times New Roman"/>
          <w:sz w:val="20"/>
        </w:rPr>
        <w:t xml:space="preserve">) or if at any time insufficient funds are received by and available to the Administrative Agent to pay fully all Obligations then due hereunder, any amounts received on account of the Obligations shall, subject to the provisions of </w:t>
      </w:r>
      <w:r>
        <w:rPr>
          <w:rFonts w:ascii="Times New Roman" w:hAnsi="Times New Roman"/>
          <w:sz w:val="20"/>
          <w:u w:val="single"/>
        </w:rPr>
        <w:t>Sections 2.14</w:t>
      </w:r>
      <w:r>
        <w:rPr>
          <w:rFonts w:ascii="Times New Roman" w:hAnsi="Times New Roman"/>
          <w:sz w:val="20"/>
        </w:rPr>
        <w:t xml:space="preserve"> and </w:t>
      </w:r>
      <w:r>
        <w:rPr>
          <w:rFonts w:ascii="Times New Roman" w:hAnsi="Times New Roman"/>
          <w:sz w:val="20"/>
          <w:u w:val="single"/>
        </w:rPr>
        <w:t>2.15</w:t>
      </w:r>
      <w:r>
        <w:rPr>
          <w:rFonts w:ascii="Times New Roman" w:hAnsi="Times New Roman"/>
          <w:sz w:val="20"/>
        </w:rPr>
        <w:t xml:space="preserve">, be applied by the Administrative Agent in the following order: </w:t>
      </w:r>
    </w:p>
    <w:p>
      <w:pPr>
        <w:pStyle w:val="TextBody"/>
        <w:bidi w:val="0"/>
        <w:spacing w:before="12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hAnsi="Times New Roman"/>
          <w:sz w:val="20"/>
          <w:u w:val="single"/>
        </w:rPr>
        <w:t>ARTICLE III</w:t>
      </w:r>
      <w:r>
        <w:rPr>
          <w:rFonts w:ascii="Times New Roman" w:hAnsi="Times New Roman"/>
          <w:sz w:val="20"/>
        </w:rPr>
        <w:t xml:space="preserve"> hereof and Section 2.5 of the Subsidiary Guaranty) payable to the Administrative Agent in its capacity as such; </w:t>
      </w:r>
    </w:p>
    <w:p>
      <w:pPr>
        <w:pStyle w:val="TextBody"/>
        <w:bidi w:val="0"/>
        <w:spacing w:before="12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payment of that portion of the Obligations constituting fees, indemnities and other amounts (other than principal, interest, Letter of Credit Fees, Commitment Fees and obligations under Secured Swap Contracts and Secured Cash Management Services Agreements) payable to the Lenders and the L/C Issuers (including fees, charges and disbursements of counsel to the respective Lenders and the L/C Issuers and amounts payable under </w:t>
      </w:r>
      <w:r>
        <w:rPr>
          <w:rFonts w:ascii="Times New Roman" w:hAnsi="Times New Roman"/>
          <w:sz w:val="20"/>
          <w:u w:val="single"/>
        </w:rPr>
        <w:t>ARTICLE III</w:t>
      </w:r>
      <w:r>
        <w:rPr>
          <w:rFonts w:ascii="Times New Roman" w:hAnsi="Times New Roman"/>
          <w:sz w:val="20"/>
        </w:rPr>
        <w:t xml:space="preserve"> hereof and Section 2.5 of the Subsidiary Guaranty), ratably among them in proportion to the respective amounts described in this clause Second payable to them; </w:t>
      </w:r>
    </w:p>
    <w:p>
      <w:pPr>
        <w:pStyle w:val="TextBody"/>
        <w:bidi w:val="0"/>
        <w:spacing w:before="12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payment of that portion of the Obligations constituting accrued and unpaid Letter of Credit Fees, Commitment Fees and interest on the Loans, L/C Borrowings and other Obligations, ratably among the Lenders and the L/C Issuers in proportion to the respective amounts described in this clause Third payable to them; </w:t>
      </w:r>
    </w:p>
    <w:p>
      <w:pPr>
        <w:pStyle w:val="TextBody"/>
        <w:bidi w:val="0"/>
        <w:spacing w:before="12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ratably (i) to payment of that portion of the Obligations constituting unpaid principal of the Loans and the L/C Borrowings, ratably among the Lenders in proportion to the respective amounts described in this subclause (i) to this clause </w:t>
      </w:r>
      <w:r>
        <w:rPr>
          <w:rFonts w:ascii="Times New Roman" w:hAnsi="Times New Roman"/>
          <w:sz w:val="20"/>
          <w:u w:val="single"/>
        </w:rPr>
        <w:t>Fourth</w:t>
      </w:r>
      <w:r>
        <w:rPr>
          <w:rFonts w:ascii="Times New Roman" w:hAnsi="Times New Roman"/>
          <w:sz w:val="20"/>
        </w:rPr>
        <w:t xml:space="preserve"> held by them and (ii) to payment of that portion of the Obligations constituting amounts owing under or in respect of Secured Swap Contracts and Secured Cash Management Services Agreements, ratably among the Swap Banks and Cash Management Banks in proportion to the respective amounts described in this subclause (ii) to this clause </w:t>
      </w:r>
      <w:r>
        <w:rPr>
          <w:rFonts w:ascii="Times New Roman" w:hAnsi="Times New Roman"/>
          <w:sz w:val="20"/>
          <w:u w:val="single"/>
        </w:rPr>
        <w:t>Fourth</w:t>
      </w:r>
      <w:r>
        <w:rPr>
          <w:rFonts w:ascii="Times New Roman" w:hAnsi="Times New Roman"/>
          <w:sz w:val="20"/>
        </w:rPr>
        <w:t xml:space="preserve"> held by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Fifth</w:t>
      </w:r>
      <w:r>
        <w:rPr>
          <w:rFonts w:ascii="Times New Roman" w:hAnsi="Times New Roman"/>
          <w:sz w:val="20"/>
        </w:rPr>
        <w:t xml:space="preserve">, to the Administrative Agent for the account of the L/C Issuers, to Cash Collateralize that portion of L/C Obligations comprised of the aggregate undrawn amount of Letters of Credit to the extent not otherwise Cash Collateralized by the Borrower pursuant to </w:t>
      </w:r>
      <w:r>
        <w:rPr>
          <w:rFonts w:ascii="Times New Roman" w:hAnsi="Times New Roman"/>
          <w:sz w:val="20"/>
          <w:u w:val="single"/>
        </w:rPr>
        <w:t>Sections 2.03</w:t>
      </w:r>
      <w:r>
        <w:rPr>
          <w:rFonts w:ascii="Times New Roman" w:hAnsi="Times New Roman"/>
          <w:sz w:val="20"/>
        </w:rPr>
        <w:t xml:space="preserve"> and </w:t>
      </w:r>
      <w:r>
        <w:rPr>
          <w:rFonts w:ascii="Times New Roman" w:hAnsi="Times New Roman"/>
          <w:sz w:val="20"/>
          <w:u w:val="single"/>
        </w:rPr>
        <w:t>2.14</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u w:val="single"/>
        </w:rPr>
        <w:t>Last</w:t>
      </w:r>
      <w:r>
        <w:rPr>
          <w:rFonts w:ascii="Times New Roman" w:hAnsi="Times New Roman"/>
          <w:sz w:val="20"/>
        </w:rPr>
        <w:t xml:space="preserve">, the balance, if any, after all of the Obligations have been indefeasibly paid in full, to the Borrower or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Sections 2.03(c)</w:t>
      </w:r>
      <w:r>
        <w:rPr>
          <w:rFonts w:ascii="Times New Roman" w:hAnsi="Times New Roman"/>
          <w:sz w:val="20"/>
        </w:rPr>
        <w:t xml:space="preserve"> and </w:t>
      </w:r>
      <w:r>
        <w:rPr>
          <w:rFonts w:ascii="Times New Roman" w:hAnsi="Times New Roman"/>
          <w:sz w:val="20"/>
          <w:u w:val="single"/>
        </w:rPr>
        <w:t>2.14</w:t>
      </w:r>
      <w:r>
        <w:rPr>
          <w:rFonts w:ascii="Times New Roman" w:hAnsi="Times New Roman"/>
          <w:sz w:val="20"/>
        </w:rPr>
        <w:t xml:space="preserve">, amounts used to Cash Collateralize the aggregate undrawn amount of Letters of Credit pursuant to clause </w:t>
      </w:r>
      <w:r>
        <w:rPr>
          <w:rFonts w:ascii="Times New Roman" w:hAnsi="Times New Roman"/>
          <w:sz w:val="20"/>
          <w:u w:val="single"/>
        </w:rPr>
        <w:t>Fifth</w:t>
      </w:r>
      <w:r>
        <w:rPr>
          <w:rFonts w:ascii="Times New Roman" w:hAnsi="Times New Roman"/>
          <w:sz w:val="20"/>
        </w:rPr>
        <w:t xml:space="preserve"> above shall be applied to satisfy drawings under such Letters of Credit as they occur. If any amount remains on deposit as Cash Collateral after all Letters of Credit have either been fully drawn or expired, such remaining amount shall be applied in the order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Obligations arising under Secured Cash Management Services Agreements and Secured Swap Contracts shall be excluded from the application described above if the Administrative Agent has not received written notice thereof, together with such supporting documentation as the Administrative Agent may request, from the applicable Cash Management Bank or Swap Bank, as the case may be. Each Cash Management Bank or Swap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sz w:val="20"/>
          <w:u w:val="single"/>
        </w:rPr>
        <w:t>ARTICLE IX</w:t>
      </w:r>
      <w:r>
        <w:rPr>
          <w:rFonts w:ascii="Times New Roman" w:hAnsi="Times New Roman"/>
          <w:sz w:val="20"/>
        </w:rPr>
        <w:t xml:space="preserve"> for itself and its Affiliates as if a “Lender” party hereto. In addition, Excluded Swap Obligations with respect to any Subsidiary Guarantor shall not be paid with amounts received from such Subsidiary Guarantor or its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ADMINISTRATIVE AGENT </w:t>
      </w:r>
    </w:p>
    <w:p>
      <w:pPr>
        <w:pStyle w:val="TextBody"/>
        <w:bidi w:val="0"/>
        <w:spacing w:before="240" w:after="0"/>
        <w:jc w:val="left"/>
        <w:rPr>
          <w:rFonts w:ascii="Times New Roman" w:hAnsi="Times New Roman"/>
          <w:sz w:val="20"/>
        </w:rPr>
      </w:pPr>
      <w:r>
        <w:rPr>
          <w:rFonts w:ascii="Times New Roman" w:hAnsi="Times New Roman"/>
          <w:b/>
          <w:sz w:val="20"/>
        </w:rPr>
        <w:t>9.01</w:t>
      </w:r>
      <w:r>
        <w:rPr>
          <w:rFonts w:ascii="Times New Roman" w:hAnsi="Times New Roman"/>
          <w:sz w:val="20"/>
        </w:rPr>
        <w:t xml:space="preserve"> </w:t>
      </w:r>
      <w:r>
        <w:rPr>
          <w:rFonts w:ascii="Times New Roman" w:hAnsi="Times New Roman"/>
          <w:b/>
          <w:sz w:val="20"/>
        </w:rPr>
        <w:t>Appointment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Lenders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240" w:after="0"/>
        <w:jc w:val="left"/>
        <w:rPr>
          <w:rFonts w:ascii="Times New Roman" w:hAnsi="Times New Roman"/>
          <w:sz w:val="20"/>
        </w:rPr>
      </w:pPr>
      <w:r>
        <w:rPr>
          <w:rFonts w:ascii="Times New Roman" w:hAnsi="Times New Roman"/>
          <w:sz w:val="20"/>
        </w:rPr>
        <w:t>(b) The Administrative Agent shall also act as the “</w:t>
      </w:r>
      <w:r>
        <w:rPr>
          <w:rFonts w:ascii="Times New Roman" w:hAnsi="Times New Roman"/>
          <w:sz w:val="20"/>
          <w:u w:val="single"/>
        </w:rPr>
        <w:t>collateral agent</w:t>
      </w:r>
      <w:r>
        <w:rPr>
          <w:rFonts w:ascii="Times New Roman" w:hAnsi="Times New Roman"/>
          <w:sz w:val="20"/>
        </w:rPr>
        <w:t xml:space="preserve">” under the Loan Documents, and each of the Lenders (including in its capacities as a potential Swap Bank and a potential Cash Management Bank) and each of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hAnsi="Times New Roman"/>
          <w:sz w:val="20"/>
          <w:u w:val="single"/>
        </w:rPr>
        <w:t>Section 9.05</w:t>
      </w:r>
      <w:r>
        <w:rPr>
          <w:rFonts w:ascii="Times New Roman" w:hAnsi="Times New Roman"/>
          <w:sz w:val="2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sz w:val="20"/>
          <w:u w:val="single"/>
        </w:rPr>
        <w:t>ARTICLE IX</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(including </w:t>
      </w:r>
      <w:r>
        <w:rPr>
          <w:rFonts w:ascii="Times New Roman" w:hAnsi="Times New Roman"/>
          <w:sz w:val="20"/>
          <w:u w:val="single"/>
        </w:rPr>
        <w:t>Section 10.04(c)</w:t>
      </w:r>
      <w:r>
        <w:rPr>
          <w:rFonts w:ascii="Times New Roman" w:hAnsi="Times New Roman"/>
          <w:sz w:val="20"/>
        </w:rPr>
        <w:t xml:space="preserve">, as though such co-agents, sub-agents and attorneys-in-fact were the “collateral agent” under the Loan Documents) as if set forth in full herein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9.02</w:t>
      </w:r>
      <w:r>
        <w:rPr>
          <w:rFonts w:ascii="Times New Roman" w:hAnsi="Times New Roman"/>
          <w:sz w:val="20"/>
        </w:rPr>
        <w:t xml:space="preserve"> </w:t>
      </w:r>
      <w:r>
        <w:rPr>
          <w:rFonts w:ascii="Times New Roman" w:hAnsi="Times New Roman"/>
          <w:b/>
          <w:sz w:val="20"/>
        </w:rPr>
        <w:t>Rights as a Lender.</w:t>
      </w:r>
      <w:r>
        <w:rPr>
          <w:rFonts w:ascii="Times New Roman" w:hAnsi="Times New Roman"/>
          <w:sz w:val="20"/>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b/>
          <w:sz w:val="20"/>
        </w:rPr>
        <w:t>9.03</w:t>
      </w:r>
      <w:r>
        <w:rPr>
          <w:rFonts w:ascii="Times New Roman" w:hAnsi="Times New Roman"/>
          <w:sz w:val="20"/>
        </w:rPr>
        <w:t xml:space="preserve"> </w:t>
      </w:r>
      <w:r>
        <w:rPr>
          <w:rFonts w:ascii="Times New Roman" w:hAnsi="Times New Roman"/>
          <w:b/>
          <w:sz w:val="20"/>
        </w:rPr>
        <w:t>Exculpatory Provisions.</w:t>
      </w:r>
      <w:r>
        <w:rPr>
          <w:rFonts w:ascii="Times New Roman" w:hAnsi="Times New Roman"/>
          <w:sz w:val="20"/>
        </w:rPr>
        <w:t xml:space="preserve"> The Administrative Agent or the Arrangers, as applicable, shall not have any duties or obligations except those expressly set forth herein and in the other Loan Documents, and its duties hereunder shall be administrative in nature. Without limiting the generality of the foregoing, the Administrative Agent or the Arrangers,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p>
    <w:p>
      <w:pPr>
        <w:pStyle w:val="TextBody"/>
        <w:bidi w:val="0"/>
        <w:spacing w:before="120" w:after="0"/>
        <w:jc w:val="left"/>
        <w:rPr>
          <w:rFonts w:ascii="Times New Roman" w:hAnsi="Times New Roman"/>
          <w:sz w:val="20"/>
        </w:rPr>
      </w:pPr>
      <w:r>
        <w:rPr>
          <w:rFonts w:ascii="Times New Roman" w:hAnsi="Times New Roman"/>
          <w:sz w:val="20"/>
        </w:rPr>
        <w:t xml:space="preserve">(c) shall not have any duty to disclose, and shall not be liable for the failure to disclose, any credit or other information relating to the business, prospects, operations, property, financial and other condition or creditworthiness of any of the Loan Parties or any of their Affiliates, that is communicated to, obtained or in the possession of, the Administrative Agent, Arrangers or any of their Related Parties in any capacity, except for notices, reports and other documents expressly required to be furnished to the Lenders by the Administrative Agent herein; and </w:t>
      </w:r>
    </w:p>
    <w:p>
      <w:pPr>
        <w:pStyle w:val="TextBody"/>
        <w:bidi w:val="0"/>
        <w:spacing w:before="120" w:after="0"/>
        <w:jc w:val="left"/>
        <w:rPr>
          <w:rFonts w:ascii="Times New Roman" w:hAnsi="Times New Roman"/>
          <w:sz w:val="20"/>
        </w:rPr>
      </w:pPr>
      <w:r>
        <w:rPr>
          <w:rFonts w:ascii="Times New Roman" w:hAnsi="Times New Roman"/>
          <w:sz w:val="20"/>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10.01</w:t>
      </w:r>
      <w:r>
        <w:rPr>
          <w:rFonts w:ascii="Times New Roman" w:hAnsi="Times New Roman"/>
          <w:sz w:val="20"/>
        </w:rPr>
        <w:t xml:space="preserve"> and </w:t>
      </w:r>
      <w:r>
        <w:rPr>
          <w:rFonts w:ascii="Times New Roman" w:hAnsi="Times New Roman"/>
          <w:sz w:val="20"/>
          <w:u w:val="single"/>
        </w:rPr>
        <w:t>8.02</w:t>
      </w:r>
      <w:r>
        <w:rPr>
          <w:rFonts w:ascii="Times New Roman" w:hAnsi="Times New Roman"/>
          <w:sz w:val="20"/>
        </w:rPr>
        <w:t xml:space="preserve">)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Borrower, a Lender or an L/C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240" w:after="0"/>
        <w:jc w:val="left"/>
        <w:rPr>
          <w:rFonts w:ascii="Times New Roman" w:hAnsi="Times New Roman"/>
          <w:sz w:val="20"/>
        </w:rPr>
      </w:pPr>
      <w:r>
        <w:rPr>
          <w:rFonts w:ascii="Times New Roman" w:hAnsi="Times New Roman"/>
          <w:b/>
          <w:sz w:val="20"/>
        </w:rPr>
        <w:t>9.04</w:t>
      </w:r>
      <w:r>
        <w:rPr>
          <w:rFonts w:ascii="Times New Roman" w:hAnsi="Times New Roman"/>
          <w:sz w:val="20"/>
        </w:rPr>
        <w:t xml:space="preserve"> </w:t>
      </w:r>
      <w:r>
        <w:rPr>
          <w:rFonts w:ascii="Times New Roman" w:hAnsi="Times New Roman"/>
          <w:b/>
          <w:sz w:val="20"/>
        </w:rPr>
        <w:t>Reliance by Administrative Agent.</w:t>
      </w:r>
      <w:r>
        <w:rPr>
          <w:rFonts w:ascii="Times New Roman" w:hAnsi="Times New Roman"/>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b/>
          <w:sz w:val="20"/>
        </w:rPr>
        <w:t>9.05</w:t>
      </w:r>
      <w:r>
        <w:rPr>
          <w:rFonts w:ascii="Times New Roman" w:hAnsi="Times New Roman"/>
          <w:sz w:val="20"/>
        </w:rPr>
        <w:t xml:space="preserve"> </w:t>
      </w:r>
      <w:r>
        <w:rPr>
          <w:rFonts w:ascii="Times New Roman" w:hAnsi="Times New Roman"/>
          <w:b/>
          <w:sz w:val="20"/>
        </w:rPr>
        <w:t>Delegation of Duties.</w:t>
      </w:r>
      <w:r>
        <w:rPr>
          <w:rFonts w:ascii="Times New Roman" w:hAnsi="Times New Roman"/>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b/>
          <w:sz w:val="20"/>
        </w:rPr>
        <w:t>9.06</w:t>
      </w:r>
      <w:r>
        <w:rPr>
          <w:rFonts w:ascii="Times New Roman" w:hAnsi="Times New Roman"/>
          <w:sz w:val="20"/>
        </w:rPr>
        <w:t xml:space="preserve"> </w:t>
      </w:r>
      <w:r>
        <w:rPr>
          <w:rFonts w:ascii="Times New Roman" w:hAnsi="Times New Roman"/>
          <w:b/>
          <w:sz w:val="20"/>
        </w:rPr>
        <w:t>Resignation of Administrative Agent.</w:t>
      </w:r>
      <w:r>
        <w:rPr>
          <w:rFonts w:ascii="Times New Roman" w:hAnsi="Times New Roman"/>
          <w:sz w:val="20"/>
        </w:rPr>
        <w:t xml:space="preserve">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provided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(b) except for any indemnity payments or other amounts then owed to the resigning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any rights to indemnity payments or other amounts owed to the retiring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Times New Roman" w:hAnsi="Times New Roman"/>
          <w:sz w:val="20"/>
          <w:u w:val="single"/>
        </w:rPr>
        <w:t>Section 10.04</w:t>
      </w:r>
      <w:r>
        <w:rPr>
          <w:rFonts w:ascii="Times New Roman" w:hAnsi="Times New Roman"/>
          <w:sz w:val="20"/>
        </w:rPr>
        <w:t xml:space="preserve">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Any resignation by Bank of America as Administrative Agent pursuant to this </w:t>
      </w:r>
      <w:r>
        <w:rPr>
          <w:rFonts w:ascii="Times New Roman" w:hAnsi="Times New Roman"/>
          <w:sz w:val="20"/>
          <w:u w:val="single"/>
        </w:rPr>
        <w:t>Section 9.06</w:t>
      </w:r>
      <w:r>
        <w:rPr>
          <w:rFonts w:ascii="Times New Roman" w:hAnsi="Times New Roman"/>
          <w:sz w:val="20"/>
        </w:rPr>
        <w:t xml:space="preserve"> shall also constitute its resignation as an L/C Issuer and the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Section 2.03(c). If Bank of America resigns as a Swing Line Lender, it shall retain all the rights of a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 </w:t>
      </w:r>
    </w:p>
    <w:p>
      <w:pPr>
        <w:pStyle w:val="TextBody"/>
        <w:bidi w:val="0"/>
        <w:spacing w:before="240" w:after="0"/>
        <w:jc w:val="left"/>
        <w:rPr>
          <w:rFonts w:ascii="Times New Roman" w:hAnsi="Times New Roman"/>
          <w:sz w:val="20"/>
        </w:rPr>
      </w:pPr>
      <w:r>
        <w:rPr>
          <w:rFonts w:ascii="Times New Roman" w:hAnsi="Times New Roman"/>
          <w:sz w:val="20"/>
        </w:rPr>
        <w:t>If the Person serving as Administrative Agent is a Defaulting Lender pursuant to clause (d) of the definition of “Defaulting Lender”, the Required Lenders may, to the extent permitted by applicable law, by notice in writing to the Borrower and such Person, remove such Person as Administrative Agent and, in consultation with the Borrower, appoint a successor. If no such successor shall have been appointed by the Required Lenders and shall have accepted such appointment within thirty (30) days (or such earlier day as shall be agreed by the Required Lenders)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notice on the Removal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9.07</w:t>
      </w:r>
      <w:r>
        <w:rPr>
          <w:rFonts w:ascii="Times New Roman" w:hAnsi="Times New Roman"/>
          <w:sz w:val="20"/>
        </w:rPr>
        <w:t xml:space="preserve"> </w:t>
      </w:r>
      <w:r>
        <w:rPr>
          <w:rFonts w:ascii="Times New Roman" w:hAnsi="Times New Roman"/>
          <w:b/>
          <w:sz w:val="20"/>
        </w:rPr>
        <w:t>Non-Reliance on Administrative Agent and Other Lenders.</w:t>
      </w:r>
      <w:r>
        <w:rPr>
          <w:rFonts w:ascii="Times New Roman" w:hAnsi="Times New Roman"/>
          <w:sz w:val="20"/>
        </w:rPr>
        <w:t xml:space="preserve"> Each Lender and each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any L/C Issuer as to any matter, including whether the Administrative Agent or any Arranger have disclosed material information in their (or their Related Parties’) possession. Each Lender and each L/C Issuer represents to the Administrative Agent and any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as of the date it became or becomes a Lender and/or an L/C Issuer,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pStyle w:val="TextBody"/>
        <w:bidi w:val="0"/>
        <w:spacing w:before="240" w:after="0"/>
        <w:jc w:val="left"/>
        <w:rPr>
          <w:rFonts w:ascii="Times New Roman" w:hAnsi="Times New Roman"/>
          <w:sz w:val="20"/>
        </w:rPr>
      </w:pPr>
      <w:r>
        <w:rPr>
          <w:rFonts w:ascii="Times New Roman" w:hAnsi="Times New Roman"/>
          <w:b/>
          <w:sz w:val="20"/>
        </w:rPr>
        <w:t>9.08</w:t>
      </w:r>
      <w:r>
        <w:rPr>
          <w:rFonts w:ascii="Times New Roman" w:hAnsi="Times New Roman"/>
          <w:sz w:val="20"/>
        </w:rPr>
        <w:t xml:space="preserve"> </w:t>
      </w:r>
      <w:r>
        <w:rPr>
          <w:rFonts w:ascii="Times New Roman" w:hAnsi="Times New Roman"/>
          <w:b/>
          <w:sz w:val="20"/>
        </w:rPr>
        <w:t>No Other Duties, Etc.</w:t>
      </w:r>
      <w:r>
        <w:rPr>
          <w:rFonts w:ascii="Times New Roman" w:hAnsi="Times New Roman"/>
          <w:sz w:val="20"/>
        </w:rPr>
        <w:t xml:space="preserve"> Anything herein to the contrary notwithstanding, none of the Arrangers, Syndication Agent or Co-Documentation Agents listed on the cover page hereof shall have any powers, duties or responsibilities under this Agreement or any of the other Loan Documents, except in its capacity, as applicable, as the Administrative Agent, a Lender or a L/C Issuer hereunder. </w:t>
      </w:r>
    </w:p>
    <w:p>
      <w:pPr>
        <w:pStyle w:val="TextBody"/>
        <w:bidi w:val="0"/>
        <w:spacing w:before="240" w:after="0"/>
        <w:jc w:val="left"/>
        <w:rPr>
          <w:rFonts w:ascii="Times New Roman" w:hAnsi="Times New Roman"/>
          <w:sz w:val="20"/>
        </w:rPr>
      </w:pPr>
      <w:r>
        <w:rPr>
          <w:rFonts w:ascii="Times New Roman" w:hAnsi="Times New Roman"/>
          <w:b/>
          <w:sz w:val="20"/>
        </w:rPr>
        <w:t>9.09</w:t>
      </w:r>
      <w:r>
        <w:rPr>
          <w:rFonts w:ascii="Times New Roman" w:hAnsi="Times New Roman"/>
          <w:sz w:val="20"/>
        </w:rPr>
        <w:t xml:space="preserve"> </w:t>
      </w:r>
      <w:r>
        <w:rPr>
          <w:rFonts w:ascii="Times New Roman" w:hAnsi="Times New Roman"/>
          <w:b/>
          <w:sz w:val="20"/>
        </w:rPr>
        <w:t>Administrative Agent May File Proofs of Claim.</w:t>
      </w:r>
      <w:r>
        <w:rPr>
          <w:rFonts w:ascii="Times New Roman" w:hAnsi="Times New Roman"/>
          <w:sz w:val="20"/>
        </w:rPr>
        <w:t xml:space="preserve">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hAnsi="Times New Roman"/>
          <w:sz w:val="20"/>
          <w:u w:val="single"/>
        </w:rPr>
        <w:t>Sections 2.03(h)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2.09</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allowed in such judicial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2.09</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or in any such proceeding. </w:t>
      </w:r>
    </w:p>
    <w:p>
      <w:pPr>
        <w:pStyle w:val="TextBody"/>
        <w:bidi w:val="0"/>
        <w:spacing w:before="240" w:after="0"/>
        <w:jc w:val="left"/>
        <w:rPr>
          <w:rFonts w:ascii="Times New Roman" w:hAnsi="Times New Roman"/>
          <w:sz w:val="20"/>
        </w:rPr>
      </w:pPr>
      <w:r>
        <w:rPr>
          <w:rFonts w:ascii="Times New Roman" w:hAnsi="Times New Roman"/>
          <w:b/>
          <w:sz w:val="20"/>
        </w:rPr>
        <w:t>9.10</w:t>
      </w:r>
      <w:r>
        <w:rPr>
          <w:rFonts w:ascii="Times New Roman" w:hAnsi="Times New Roman"/>
          <w:sz w:val="20"/>
        </w:rPr>
        <w:t xml:space="preserve"> </w:t>
      </w:r>
      <w:r>
        <w:rPr>
          <w:rFonts w:ascii="Times New Roman" w:hAnsi="Times New Roman"/>
          <w:b/>
          <w:sz w:val="20"/>
        </w:rPr>
        <w:t>Collateral and Guaranty Matters.</w:t>
      </w:r>
      <w:r>
        <w:rPr>
          <w:rFonts w:ascii="Times New Roman" w:hAnsi="Times New Roman"/>
          <w:sz w:val="20"/>
        </w:rPr>
        <w:t xml:space="preserve"> Each of the Lenders (including in its capacities as a potential Cash Management Bank and a potential Swap Bank) and the L/C Issuers irrevocably authorize the Administrative Agent, at its option and in its discretion, </w:t>
      </w:r>
    </w:p>
    <w:p>
      <w:pPr>
        <w:pStyle w:val="TextBody"/>
        <w:bidi w:val="0"/>
        <w:spacing w:before="120" w:after="0"/>
        <w:jc w:val="left"/>
        <w:rPr>
          <w:rFonts w:ascii="Times New Roman" w:hAnsi="Times New Roman"/>
          <w:sz w:val="20"/>
        </w:rPr>
      </w:pPr>
      <w:r>
        <w:rPr>
          <w:rFonts w:ascii="Times New Roman" w:hAnsi="Times New Roman"/>
          <w:sz w:val="20"/>
        </w:rPr>
        <w:t>(a) 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Services Agreements and Secured Swap Contracts as to which the applicable Cash Management Bank or Swap Bank shall be responsible for making their own arrangements) and the expiration or termination of all Letters of Credit (other than Letters of Credit as to which Cash Collateral or other arrangements reasonably satisfactory to the Administrative Agent and the L/C Issuers shall have been made</w:t>
      </w:r>
      <w:r>
        <w:rPr>
          <w:rFonts w:ascii="Times New Roman" w:hAnsi="Times New Roman"/>
          <w:b/>
          <w:sz w:val="20"/>
        </w:rPr>
        <w:t>)</w:t>
      </w:r>
      <w:r>
        <w:rPr>
          <w:rFonts w:ascii="Times New Roman" w:hAnsi="Times New Roman"/>
          <w:sz w:val="20"/>
        </w:rPr>
        <w:t xml:space="preserve">, (ii) that is sold or to be sold as part of or in connection with any sale permitted hereunder or under any other Loan Document to a Person that is not a Loan Party, (iii) if approved, authorized or ratified in writing in accordance with </w:t>
      </w:r>
      <w:r>
        <w:rPr>
          <w:rFonts w:ascii="Times New Roman" w:hAnsi="Times New Roman"/>
          <w:sz w:val="20"/>
          <w:u w:val="single"/>
        </w:rPr>
        <w:t>Section 10.01</w:t>
      </w:r>
      <w:r>
        <w:rPr>
          <w:rFonts w:ascii="Times New Roman" w:hAnsi="Times New Roman"/>
          <w:sz w:val="20"/>
        </w:rPr>
        <w:t xml:space="preserve">, (iv) that does not constitute (or ceases to constitute) and is not required to be Collateral, and (v) if the property subject to such Lien is owned by a Subsidiary Guarantor, upon the release of the Subsidiary Guarantor from its Obligations otherwise in accordance with the Loan Documents; and </w:t>
      </w:r>
    </w:p>
    <w:p>
      <w:pPr>
        <w:pStyle w:val="TextBody"/>
        <w:bidi w:val="0"/>
        <w:spacing w:before="120" w:after="0"/>
        <w:jc w:val="left"/>
        <w:rPr>
          <w:rFonts w:ascii="Times New Roman" w:hAnsi="Times New Roman"/>
          <w:sz w:val="20"/>
        </w:rPr>
      </w:pPr>
      <w:r>
        <w:rPr>
          <w:rFonts w:ascii="Times New Roman" w:hAnsi="Times New Roman"/>
          <w:sz w:val="20"/>
        </w:rPr>
        <w:t xml:space="preserve">(b) to release any Subsidiary Guarantor from its obligations under the Subsidiary Guaranty and release the pledge of its assets, stock and indebtedness if such Person (i) ceases to be a Subsidiary as a result of a transaction permitted hereunder or (ii) becomes an Excluded Subsidiary (it being understood that no Subsidiary Guarantor shall be released from its Guarantee in connection with a de minimis transfer of Equity Interests in such Subsidiary Guarantor if there is no bona fide business purpose for such transfer of Equity Interests and/or such transfer of Equity Interest is intended solely to obtain a release of the Guarantee, in each case as determined in good faith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Upon request by the Administrative Agent at any time, the Required Lenders will confirm in writing the Administrative Agent’s authority to release its interest in particular types or items of property, or any release pursuant to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9.11</w:t>
      </w:r>
      <w:r>
        <w:rPr>
          <w:rFonts w:ascii="Times New Roman" w:hAnsi="Times New Roman"/>
          <w:sz w:val="20"/>
        </w:rPr>
        <w:t xml:space="preserve"> </w:t>
      </w:r>
      <w:r>
        <w:rPr>
          <w:rFonts w:ascii="Times New Roman" w:hAnsi="Times New Roman"/>
          <w:b/>
          <w:sz w:val="20"/>
        </w:rPr>
        <w:t>Secured Cash Management Services Agreements and Secured Swap Contracts.</w:t>
      </w:r>
      <w:r>
        <w:rPr>
          <w:rFonts w:ascii="Times New Roman" w:hAnsi="Times New Roman"/>
          <w:sz w:val="20"/>
        </w:rPr>
        <w:t xml:space="preserve"> Except as otherwise expressly set forth herein, no Cash Management Bank or Swap Bank that obtains the benefit of the provisions of </w:t>
      </w:r>
      <w:r>
        <w:rPr>
          <w:rFonts w:ascii="Times New Roman" w:hAnsi="Times New Roman"/>
          <w:sz w:val="20"/>
          <w:u w:val="single"/>
        </w:rPr>
        <w:t>Section 8.03</w:t>
      </w:r>
      <w:r>
        <w:rPr>
          <w:rFonts w:ascii="Times New Roman" w:hAnsi="Times New Roman"/>
          <w:sz w:val="20"/>
        </w:rPr>
        <w:t xml:space="preserve">, the Subsidiary Guaranty or any Collateral by virtue of the provisions hereof or of the Subsidiary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Subsidiary Guaranty or any Collateral Document) other than in its capacity as a Lender and, in such case, only to the extent expressly provided in the Loan Documents. Notwithstanding any other provision of this </w:t>
      </w:r>
      <w:r>
        <w:rPr>
          <w:rFonts w:ascii="Times New Roman" w:hAnsi="Times New Roman"/>
          <w:sz w:val="20"/>
          <w:u w:val="single"/>
        </w:rPr>
        <w:t>ARTICLE IX</w:t>
      </w:r>
      <w:r>
        <w:rPr>
          <w:rFonts w:ascii="Times New Roman" w:hAnsi="Times New Roman"/>
          <w:sz w:val="20"/>
        </w:rPr>
        <w:t xml:space="preserve"> to the contrary, the Administrative Agent shall not be required to verify the payment of, or that other satisfactory arrangements have been made with respect to, Obligations arising under Secured Cash Management Services Agreements and Secured Swap Contracts unless the Administrative Agent has received written notice of such Obligations, together with such supporting documentation as the Administrative Agent may request, from the applicable Cash Management Bank or Swap Bank, as the case may be. </w:t>
      </w:r>
    </w:p>
    <w:p>
      <w:pPr>
        <w:pStyle w:val="TextBody"/>
        <w:bidi w:val="0"/>
        <w:spacing w:before="240" w:after="0"/>
        <w:jc w:val="left"/>
        <w:rPr>
          <w:rFonts w:ascii="Times New Roman" w:hAnsi="Times New Roman"/>
          <w:sz w:val="20"/>
        </w:rPr>
      </w:pPr>
      <w:r>
        <w:rPr>
          <w:rFonts w:ascii="Times New Roman" w:hAnsi="Times New Roman"/>
          <w:b/>
          <w:sz w:val="20"/>
        </w:rPr>
        <w:t>9.12</w:t>
      </w:r>
      <w:r>
        <w:rPr>
          <w:rFonts w:ascii="Times New Roman" w:hAnsi="Times New Roman"/>
          <w:sz w:val="20"/>
        </w:rPr>
        <w:t xml:space="preserve"> </w:t>
      </w:r>
      <w:r>
        <w:rPr>
          <w:rFonts w:ascii="Times New Roman" w:hAnsi="Times New Roman"/>
          <w:b/>
          <w:sz w:val="20"/>
        </w:rPr>
        <w:t>ERISA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b/>
          <w:sz w:val="20"/>
        </w:rPr>
        <w:t>9.13</w:t>
      </w:r>
      <w:r>
        <w:rPr>
          <w:rFonts w:ascii="Times New Roman" w:hAnsi="Times New Roman"/>
          <w:sz w:val="20"/>
        </w:rPr>
        <w:t xml:space="preserve"> </w:t>
      </w:r>
      <w:r>
        <w:rPr>
          <w:rFonts w:ascii="Times New Roman" w:hAnsi="Times New Roman"/>
          <w:b/>
          <w:sz w:val="20"/>
        </w:rPr>
        <w:t>Recovery of Erroneous Payments</w:t>
      </w:r>
      <w:r>
        <w:rPr>
          <w:rFonts w:ascii="Times New Roman" w:hAnsi="Times New Roman"/>
          <w:sz w:val="20"/>
        </w:rPr>
        <w:t>. Without limitation of any other provision in this Agreement, if at any time the Administrative Agent makes a payment hereunder in error to any Lender or any L/C Issuer (each a “</w:t>
      </w:r>
      <w:r>
        <w:rPr>
          <w:rFonts w:ascii="Times New Roman" w:hAnsi="Times New Roman"/>
          <w:sz w:val="20"/>
          <w:u w:val="single"/>
        </w:rPr>
        <w:t>Credit Party</w:t>
      </w:r>
      <w:r>
        <w:rPr>
          <w:rFonts w:ascii="Times New Roman" w:hAnsi="Times New Roman"/>
          <w:sz w:val="20"/>
        </w:rPr>
        <w:t xml:space="preserve">”),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10.01</w:t>
      </w:r>
      <w:r>
        <w:rPr>
          <w:rFonts w:ascii="Times New Roman" w:hAnsi="Times New Roman"/>
          <w:sz w:val="20"/>
        </w:rPr>
        <w:t xml:space="preserve"> </w:t>
      </w:r>
      <w:r>
        <w:rPr>
          <w:rFonts w:ascii="Times New Roman" w:hAnsi="Times New Roman"/>
          <w:b/>
          <w:sz w:val="20"/>
        </w:rPr>
        <w:t>Amendments, Etc.</w:t>
      </w:r>
      <w:r>
        <w:rPr>
          <w:rFonts w:ascii="Times New Roman" w:hAnsi="Times New Roman"/>
          <w:sz w:val="20"/>
        </w:rPr>
        <w:t xml:space="preserve"> No amendment or waiver of any provision of this Agreement or any other Loan Document (except for the Fee Letters), and no consent to any departure by the Borrower or any other Loan Party therefrom, shall in any event be effective unless the same shall be in writing and signed by the Required Lenders (or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(b) waive any condition set forth in </w:t>
      </w:r>
      <w:r>
        <w:rPr>
          <w:rFonts w:ascii="Times New Roman" w:hAnsi="Times New Roman"/>
          <w:sz w:val="20"/>
          <w:u w:val="single"/>
        </w:rPr>
        <w:t>Section 4.02</w:t>
      </w:r>
      <w:r>
        <w:rPr>
          <w:rFonts w:ascii="Times New Roman" w:hAnsi="Times New Roman"/>
          <w:sz w:val="20"/>
        </w:rPr>
        <w:t xml:space="preserve"> as to any Credit Extension under a particular Facility without the written consent of the Required Revolving Lenders, the Required Term A Lenders or the Required Term B Lenders,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extend or increase the Commitment of any Lender (or reinstate any Commitment terminated pursuant to </w:t>
      </w:r>
      <w:r>
        <w:rPr>
          <w:rFonts w:ascii="Times New Roman" w:hAnsi="Times New Roman"/>
          <w:sz w:val="20"/>
          <w:u w:val="single"/>
        </w:rPr>
        <w:t>Section 8.02</w:t>
      </w:r>
      <w:r>
        <w:rPr>
          <w:rFonts w:ascii="Times New Roman" w:hAnsi="Times New Roman"/>
          <w:sz w:val="20"/>
        </w:rPr>
        <w:t xml:space="preserve">) without the written consent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postpone any date fixed by this Agreement or any other Loan Document for any payment of principal, interest, fees or other amounts due to the Lenders (or any of them) hereunder (other than mandatory prepayments under clauses (i), (ii) and (iii) of </w:t>
      </w:r>
      <w:r>
        <w:rPr>
          <w:rFonts w:ascii="Times New Roman" w:hAnsi="Times New Roman"/>
          <w:sz w:val="20"/>
          <w:u w:val="single"/>
        </w:rPr>
        <w:t>Section 2.05(b)</w:t>
      </w:r>
      <w:r>
        <w:rPr>
          <w:rFonts w:ascii="Times New Roman" w:hAnsi="Times New Roman"/>
          <w:sz w:val="20"/>
        </w:rPr>
        <w:t xml:space="preserve">, late fees and default interest) or under such other Loan Document without the written consent of each Lender entitled to such payment or extend the expiration date of any Letter of Credit beyond the Maturity Date of the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(e) reduce or subordinate the principal of, or the rate of interest specified herein on, any Loan or L/C Borrowing, or (subject to clause (iv) of the second proviso to this </w:t>
      </w:r>
      <w:r>
        <w:rPr>
          <w:rFonts w:ascii="Times New Roman" w:hAnsi="Times New Roman"/>
          <w:sz w:val="20"/>
          <w:u w:val="single"/>
        </w:rPr>
        <w:t>Section 10.01</w:t>
      </w:r>
      <w:r>
        <w:rPr>
          <w:rFonts w:ascii="Times New Roman" w:hAnsi="Times New Roman"/>
          <w:sz w:val="20"/>
        </w:rPr>
        <w:t xml:space="preserve">) any fees or other amounts payable hereunder or under any other Loan Document (other than late fees or default interest) without the written consent of each Lender or each L/C Issuer entitled to such amount;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 </w:t>
      </w:r>
    </w:p>
    <w:p>
      <w:pPr>
        <w:pStyle w:val="TextBody"/>
        <w:bidi w:val="0"/>
        <w:spacing w:before="120" w:after="0"/>
        <w:jc w:val="left"/>
        <w:rPr>
          <w:rFonts w:ascii="Times New Roman" w:hAnsi="Times New Roman"/>
          <w:sz w:val="20"/>
        </w:rPr>
      </w:pPr>
      <w:r>
        <w:rPr>
          <w:rFonts w:ascii="Times New Roman" w:hAnsi="Times New Roman"/>
          <w:sz w:val="20"/>
        </w:rPr>
        <w:t>(f) change (i)</w:t>
      </w:r>
      <w:r>
        <w:rPr>
          <w:rFonts w:ascii="Times New Roman" w:hAnsi="Times New Roman"/>
          <w:sz w:val="20"/>
          <w:u w:val="single"/>
        </w:rPr>
        <w:t> Section 8.03</w:t>
      </w:r>
      <w:r>
        <w:rPr>
          <w:rFonts w:ascii="Times New Roman" w:hAnsi="Times New Roman"/>
          <w:sz w:val="20"/>
        </w:rPr>
        <w:t xml:space="preserve"> without the written consent of each affected Lender, (ii) any other provision hereof in a manner that would alter the pro rata sharing of payments required hereby without the written consent of each affected Lender or (iii) the order of application of any reduction in the Commitments or any prepayment of Loans among the Facilities from the application thereof set forth in the applicable provisions of </w:t>
      </w:r>
      <w:r>
        <w:rPr>
          <w:rFonts w:ascii="Times New Roman" w:hAnsi="Times New Roman"/>
          <w:sz w:val="20"/>
          <w:u w:val="single"/>
        </w:rPr>
        <w:t>Section 2.05(b)</w:t>
      </w:r>
      <w:r>
        <w:rPr>
          <w:rFonts w:ascii="Times New Roman" w:hAnsi="Times New Roman"/>
          <w:sz w:val="20"/>
        </w:rPr>
        <w:t xml:space="preserve"> or </w:t>
      </w:r>
      <w:r>
        <w:rPr>
          <w:rFonts w:ascii="Times New Roman" w:hAnsi="Times New Roman"/>
          <w:sz w:val="20"/>
          <w:u w:val="single"/>
        </w:rPr>
        <w:t>2.06(b)</w:t>
      </w:r>
      <w:r>
        <w:rPr>
          <w:rFonts w:ascii="Times New Roman" w:hAnsi="Times New Roman"/>
          <w:sz w:val="20"/>
        </w:rPr>
        <w:t xml:space="preserve">, respectively, in any manner that materially and adversely affects the Lenders under a Facility without the written consent of the Required Facility Lenders under such Facility; </w:t>
      </w:r>
    </w:p>
    <w:p>
      <w:pPr>
        <w:pStyle w:val="TextBody"/>
        <w:bidi w:val="0"/>
        <w:spacing w:before="120" w:after="0"/>
        <w:jc w:val="left"/>
        <w:rPr>
          <w:rFonts w:ascii="Times New Roman" w:hAnsi="Times New Roman"/>
          <w:sz w:val="20"/>
        </w:rPr>
      </w:pPr>
      <w:r>
        <w:rPr>
          <w:rFonts w:ascii="Times New Roman" w:hAnsi="Times New Roman"/>
          <w:sz w:val="20"/>
        </w:rPr>
        <w:t xml:space="preserve">(g) change (i) any provision of this </w:t>
      </w:r>
      <w:r>
        <w:rPr>
          <w:rFonts w:ascii="Times New Roman" w:hAnsi="Times New Roman"/>
          <w:sz w:val="20"/>
          <w:u w:val="single"/>
        </w:rPr>
        <w:t>Section 10.01</w:t>
      </w:r>
      <w:r>
        <w:rPr>
          <w:rFonts w:ascii="Times New Roman" w:hAnsi="Times New Roman"/>
          <w:sz w:val="20"/>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 specified in clause (ii) of this </w:t>
      </w:r>
      <w:r>
        <w:rPr>
          <w:rFonts w:ascii="Times New Roman" w:hAnsi="Times New Roman"/>
          <w:sz w:val="20"/>
          <w:u w:val="single"/>
        </w:rPr>
        <w:t>Section 10.01(g))</w:t>
      </w:r>
      <w:r>
        <w:rPr>
          <w:rFonts w:ascii="Times New Roman" w:hAnsi="Times New Roman"/>
          <w:sz w:val="20"/>
        </w:rPr>
        <w:t xml:space="preserve">, without the written consent of each Lender or (ii) the definition of “Required Revolving Lenders”, the definition of “Required Pro Rata Lenders”, the definition of “Required Term A Lenders” or the definition of “Required Term B Lenders” without the written consent of each Lender under the applicable Facility or Facilities; </w:t>
      </w:r>
    </w:p>
    <w:p>
      <w:pPr>
        <w:pStyle w:val="TextBody"/>
        <w:bidi w:val="0"/>
        <w:spacing w:before="120" w:after="0"/>
        <w:jc w:val="left"/>
        <w:rPr>
          <w:rFonts w:ascii="Times New Roman" w:hAnsi="Times New Roman"/>
          <w:sz w:val="20"/>
        </w:rPr>
      </w:pPr>
      <w:r>
        <w:rPr>
          <w:rFonts w:ascii="Times New Roman" w:hAnsi="Times New Roman"/>
          <w:sz w:val="20"/>
        </w:rPr>
        <w:t xml:space="preserve">(h) release all or substantially all of the value of the Subsidiary Guaranty, or release all or substantially all of the Collateral in any transaction or series of related transactions except as specifically permitted by the Loan Documents without the written consent of each Lender, except to the extent the release of any Subsidiary from the Subsidiary Guaranty is permitted pursuant to </w:t>
      </w:r>
      <w:r>
        <w:rPr>
          <w:rFonts w:ascii="Times New Roman" w:hAnsi="Times New Roman"/>
          <w:sz w:val="20"/>
          <w:u w:val="single"/>
        </w:rPr>
        <w:t>Section 9.10</w:t>
      </w:r>
      <w:r>
        <w:rPr>
          <w:rFonts w:ascii="Times New Roman" w:hAnsi="Times New Roman"/>
          <w:sz w:val="20"/>
        </w:rPr>
        <w:t xml:space="preserve"> (in which case such release may be made by the Administrative Agent acting alone); </w:t>
      </w:r>
    </w:p>
    <w:p>
      <w:pPr>
        <w:pStyle w:val="TextBody"/>
        <w:bidi w:val="0"/>
        <w:spacing w:before="120" w:after="0"/>
        <w:jc w:val="left"/>
        <w:rPr>
          <w:rFonts w:ascii="Times New Roman" w:hAnsi="Times New Roman"/>
          <w:sz w:val="20"/>
        </w:rPr>
      </w:pPr>
      <w:r>
        <w:rPr>
          <w:rFonts w:ascii="Times New Roman" w:hAnsi="Times New Roman"/>
          <w:sz w:val="20"/>
        </w:rPr>
        <w:t xml:space="preserve">(i) impose any greater restriction on the ability of any Lender under a Facility to assign any of its rights or obligations hereunder without the written consent of (i) if such Facility is the Term A Facility, the Required Term A Lenders, (ii) if such Facility is the Term B Facility, the Required Term B Lenders and (iii) if such Facility is the Revolving Credit Facility, the Required Revolving Lenders; </w:t>
      </w:r>
    </w:p>
    <w:p>
      <w:pPr>
        <w:pStyle w:val="TextBody"/>
        <w:bidi w:val="0"/>
        <w:spacing w:before="120" w:after="0"/>
        <w:jc w:val="left"/>
        <w:rPr>
          <w:rFonts w:ascii="Times New Roman" w:hAnsi="Times New Roman"/>
          <w:sz w:val="20"/>
        </w:rPr>
      </w:pPr>
      <w:r>
        <w:rPr>
          <w:rFonts w:ascii="Times New Roman" w:hAnsi="Times New Roman"/>
          <w:sz w:val="20"/>
        </w:rPr>
        <w:t xml:space="preserve">(j) prior to the occurrence of an Event of Default pursuant to </w:t>
      </w:r>
      <w:r>
        <w:rPr>
          <w:rFonts w:ascii="Times New Roman" w:hAnsi="Times New Roman"/>
          <w:sz w:val="20"/>
          <w:u w:val="single"/>
        </w:rPr>
        <w:t>Section 8.01(f)</w:t>
      </w:r>
      <w:r>
        <w:rPr>
          <w:rFonts w:ascii="Times New Roman" w:hAnsi="Times New Roman"/>
          <w:sz w:val="20"/>
        </w:rPr>
        <w:t xml:space="preserve">, (i) subordinate in right of payment, or have the effect of subordinating in right of payment, the Obligations hereunder to any other Indebtedness or other obligation without the written consent of each Lender directly affected thereby or (ii) subordinate in priority, or have the effect of subordinating in right of priority, the Liens securing the Obligations to Liens securing any other Indebtedness or other obligation without the written consent of each Lender directly affected thereby;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amends or changes the provisions of </w:t>
      </w:r>
      <w:r>
        <w:rPr>
          <w:rFonts w:ascii="Times New Roman" w:hAnsi="Times New Roman"/>
          <w:sz w:val="20"/>
          <w:u w:val="single"/>
        </w:rPr>
        <w:t>Section 7.17</w:t>
      </w:r>
      <w:r>
        <w:rPr>
          <w:rFonts w:ascii="Times New Roman" w:hAnsi="Times New Roman"/>
          <w:sz w:val="20"/>
        </w:rPr>
        <w:t xml:space="preserve"> (or any defined term used therein or in the definition of such defined terms) or waives any Event of Default with respect thereto, in each case, shall require only the written consent of the Required Pro Rata Lenders;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(i) no amendment, waiver or consent shall, unless in writing and signed by the L/C Issuers in addition to the Lenders required above, affect the rights or duties of the L/C Issuers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of the Fee Letters and the Engagement Letter may be amended, or rights or privileges thereunder waived, in a writing executed only by the respective parties thereto, and (v)</w:t>
      </w:r>
      <w:r>
        <w:rPr>
          <w:rFonts w:ascii="Times New Roman" w:hAnsi="Times New Roman"/>
          <w:sz w:val="20"/>
          <w:u w:val="single"/>
        </w:rPr>
        <w:t> Section 10.06(g)</w:t>
      </w:r>
      <w:r>
        <w:rPr>
          <w:rFonts w:ascii="Times New Roman" w:hAnsi="Times New Roman"/>
          <w:sz w:val="20"/>
        </w:rPr>
        <w:t xml:space="preserve"> may not be amended, waived or otherwise modified without the consent of each Granting Lender all or any part of whose Loans are being funded by an SPC at the time of such amendment, waiver or other modification.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may be effected with the consent of the applicable Lenders other than Defaulting Lenders), except that (x) the Commitment of any Defaulting Lender may not be increased or extended or the principal amount owed to such Lender reduced, or the final maturity thereof extended, without the consent of such Lender, (y) any waiver, amendment or modification requiring the consent of all Lenders or each affected Lender, or all Lenders or each affected Lender, that by its terms affects any Defaulting Lender more adversely than other affected Lenders shall require the consent of such Defaulting Lender and (z) no such amendment, waiver or consent shall modify the voting rights of any Defaulting Lender hereunder without the consent of each such Defaulting Lender. Upon delivery by the Borrower of each Compliance Certificate of a Responsible Officer certifying supplements to the Schedules to this Agreement pursuant to </w:t>
      </w:r>
      <w:r>
        <w:rPr>
          <w:rFonts w:ascii="Times New Roman" w:hAnsi="Times New Roman"/>
          <w:sz w:val="20"/>
          <w:u w:val="single"/>
        </w:rPr>
        <w:t>Section 6.02(b)</w:t>
      </w:r>
      <w:r>
        <w:rPr>
          <w:rFonts w:ascii="Times New Roman" w:hAnsi="Times New Roman"/>
          <w:sz w:val="20"/>
        </w:rPr>
        <w:t xml:space="preserve">, the schedule supplements attached to each such certificate shall be incorporated into and become a part of and supplement </w:t>
      </w:r>
      <w:r>
        <w:rPr>
          <w:rFonts w:ascii="Times New Roman" w:hAnsi="Times New Roman"/>
          <w:sz w:val="20"/>
          <w:u w:val="single"/>
        </w:rPr>
        <w:t>Schedules 5.03</w:t>
      </w:r>
      <w:r>
        <w:rPr>
          <w:rFonts w:ascii="Times New Roman" w:hAnsi="Times New Roman"/>
          <w:sz w:val="20"/>
        </w:rPr>
        <w:t xml:space="preserve">, </w:t>
      </w:r>
      <w:r>
        <w:rPr>
          <w:rFonts w:ascii="Times New Roman" w:hAnsi="Times New Roman"/>
          <w:sz w:val="20"/>
          <w:u w:val="single"/>
        </w:rPr>
        <w:t>5.08</w:t>
      </w:r>
      <w:r>
        <w:rPr>
          <w:rFonts w:ascii="Times New Roman" w:hAnsi="Times New Roman"/>
          <w:sz w:val="20"/>
        </w:rPr>
        <w:t xml:space="preserve">, and </w:t>
      </w:r>
      <w:r>
        <w:rPr>
          <w:rFonts w:ascii="Times New Roman" w:hAnsi="Times New Roman"/>
          <w:sz w:val="20"/>
          <w:u w:val="single"/>
        </w:rPr>
        <w:t>5.23</w:t>
      </w:r>
      <w:r>
        <w:rPr>
          <w:rFonts w:ascii="Times New Roman" w:hAnsi="Times New Roman"/>
          <w:sz w:val="20"/>
        </w:rPr>
        <w:t xml:space="preserve"> hereto, as applicable, and the Administrative Agent may attach such schedule supplements to such Schedules, and each reference to such Schedules shall mean and be a reference to such Schedules, as supplemented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w:t>
      </w:r>
      <w:r>
        <w:rPr>
          <w:rFonts w:ascii="Times New Roman" w:hAnsi="Times New Roman"/>
          <w:sz w:val="20"/>
          <w:u w:val="single"/>
        </w:rPr>
        <w:t>Section 10.01</w:t>
      </w:r>
      <w:r>
        <w:rPr>
          <w:rFonts w:ascii="Times New Roman" w:hAnsi="Times New Roman"/>
          <w:sz w:val="20"/>
        </w:rPr>
        <w:t xml:space="preserve"> or any other provision of this Agreement or any other Loan Document, (i) a person that is organized under the laws of a country other than the United States of America, any State thereof or the District of Columbia, may not be a borrower without the consent of each Lender (ii) guarantees, collateral security agreements, pledge agreements and related documents (if any) executed by the Loan Parties in connection with this Agreement may be in a form reasonably determined by the Administrative Agent and may be amended, supplemented and/or waived with the consent of the Administrative Agent at the request of the Borrower without the input or need to obtain the consent of any other Lenders to (x) comply with applicable Law, (y) to cure ambiguities, omissions or defects or (z) to cause such guarantees, collateral security agreements, pledge agreement or other document to be consistent with this Agreement and the other Loan Documents, (iii) the Borrower and the Administrative Agent may, without the input or consent of any other Lender (other than the relevant Lenders providing Loans under such Sections), effect amendments to this Agreement and the other Loan Documents as may be necessary in the reasonable opinion of the Borrower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to effect the provisions of </w:t>
      </w:r>
      <w:r>
        <w:rPr>
          <w:rFonts w:ascii="Times New Roman" w:hAnsi="Times New Roman"/>
          <w:sz w:val="20"/>
          <w:u w:val="single"/>
        </w:rPr>
        <w:t>Section 2.16</w:t>
      </w:r>
      <w:r>
        <w:rPr>
          <w:rFonts w:ascii="Times New Roman" w:hAnsi="Times New Roman"/>
          <w:sz w:val="20"/>
        </w:rPr>
        <w:t xml:space="preserve"> (or any other provision specifying that any waiver, amendment or modification may be made with only the consent or approval of the Administrative Agent) and (iv) if the Administrative Agent and the Borrower have jointly identified any ambiguity, mistake, defect, inconsistency, obvious error or any error or omission of a technical nature or any necessary or desirable technical change, in each case, in any provision of the Loan Documents, then the Administrative Agent and the Borrower shall be permitted to amend such provision. </w:t>
      </w:r>
    </w:p>
    <w:p>
      <w:pPr>
        <w:pStyle w:val="TextBody"/>
        <w:bidi w:val="0"/>
        <w:spacing w:before="240" w:after="0"/>
        <w:jc w:val="left"/>
        <w:rPr>
          <w:rFonts w:ascii="Times New Roman" w:hAnsi="Times New Roman"/>
          <w:sz w:val="20"/>
        </w:rPr>
      </w:pPr>
      <w:r>
        <w:rPr>
          <w:rFonts w:ascii="Times New Roman" w:hAnsi="Times New Roman"/>
          <w:b/>
          <w:sz w:val="20"/>
        </w:rPr>
        <w:t>10.02</w:t>
      </w:r>
      <w:r>
        <w:rPr>
          <w:rFonts w:ascii="Times New Roman" w:hAnsi="Times New Roman"/>
          <w:sz w:val="20"/>
        </w:rPr>
        <w:t xml:space="preserve"> </w:t>
      </w:r>
      <w:r>
        <w:rPr>
          <w:rFonts w:ascii="Times New Roman" w:hAnsi="Times New Roman"/>
          <w:b/>
          <w:sz w:val="20"/>
        </w:rPr>
        <w:t>Notices; Effectiveness; Electronic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 Generally</w:t>
      </w:r>
      <w:r>
        <w:rPr>
          <w:rFonts w:ascii="Times New Roman" w:hAnsi="Times New Roman"/>
          <w:sz w:val="20"/>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Borrower, the Administrative Agent, a L/C Issuer or the Swing Line Lender, to the address, telecopier number, electronic mail address or telephone number specified for such Person on </w:t>
      </w:r>
      <w:r>
        <w:rPr>
          <w:rFonts w:ascii="Times New Roman" w:hAnsi="Times New Roman"/>
          <w:sz w:val="20"/>
          <w:u w:val="single"/>
        </w:rPr>
        <w:t>Schedule 10.02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or any L/C Issuer pursuant to </w:t>
      </w:r>
      <w:r>
        <w:rPr>
          <w:rFonts w:ascii="Times New Roman" w:hAnsi="Times New Roman"/>
          <w:sz w:val="20"/>
          <w:u w:val="single"/>
        </w:rPr>
        <w:t>ARTICLE II</w:t>
      </w:r>
      <w:r>
        <w:rPr>
          <w:rFonts w:ascii="Times New Roman" w:hAnsi="Times New Roman"/>
          <w:sz w:val="20"/>
        </w:rPr>
        <w:t xml:space="preserve"> if such Lender or such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the Borrower, any Lender, any L/C Issuer or any other Person for losses, claims, damages, liabilities or expenses of any kind (whether in tort, contract or otherwise) arising out of the Borrower’s or the Administrative Agent’s transmission of Borrower Materials or notices through the Platform, any other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Agent Party have any liability to the Borrower, any Lender, any L/C Issuer or any other Person for indirect, special, incidental, consequential or punitive damages (as opposed to direct or actual damages).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Each of the Borrower, the Administrative Agent, the L/C Issuers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L/C Issuers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Reliance by Administrative Agent, L/C Issuers and Lenders</w:t>
      </w:r>
      <w:r>
        <w:rPr>
          <w:rFonts w:ascii="Times New Roman" w:hAnsi="Times New Roman"/>
          <w:sz w:val="20"/>
        </w:rPr>
        <w:t xml:space="preserve">. The Administrative Agent, the L/C Issuers and the Lenders shall be entitled to rely and act upon any notices (including telephonic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10.03</w:t>
      </w:r>
      <w:r>
        <w:rPr>
          <w:rFonts w:ascii="Times New Roman" w:hAnsi="Times New Roman"/>
          <w:sz w:val="20"/>
        </w:rPr>
        <w:t xml:space="preserve"> </w:t>
      </w:r>
      <w:r>
        <w:rPr>
          <w:rFonts w:ascii="Times New Roman" w:hAnsi="Times New Roman"/>
          <w:b/>
          <w:sz w:val="20"/>
        </w:rPr>
        <w:t>No Waiver; Cumulative Remedies; Enforcement.</w:t>
      </w:r>
      <w:r>
        <w:rPr>
          <w:rFonts w:ascii="Times New Roman" w:hAnsi="Times New Roman"/>
          <w:sz w:val="20"/>
        </w:rPr>
        <w:t xml:space="preserve">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Section 8.02</w:t>
      </w:r>
      <w:r>
        <w:rPr>
          <w:rFonts w:ascii="Times New Roman" w:hAnsi="Times New Roman"/>
          <w:sz w:val="20"/>
        </w:rPr>
        <w:t xml:space="preserve"> for the benefit of all the Lenders and the L/C Issuers;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a L/C Issuer or the Swing Line Lender, as the case may be) hereunder and under the other Loan Documents, (c) any Lender from exercising setoff rights in accordance with </w:t>
      </w:r>
      <w:r>
        <w:rPr>
          <w:rFonts w:ascii="Times New Roman" w:hAnsi="Times New Roman"/>
          <w:sz w:val="20"/>
          <w:u w:val="single"/>
        </w:rPr>
        <w:t>Section 10.08</w:t>
      </w:r>
      <w:r>
        <w:rPr>
          <w:rFonts w:ascii="Times New Roman" w:hAnsi="Times New Roman"/>
          <w:sz w:val="20"/>
        </w:rPr>
        <w:t xml:space="preserve"> (subject to the terms of </w:t>
      </w:r>
      <w:r>
        <w:rPr>
          <w:rFonts w:ascii="Times New Roman" w:hAnsi="Times New Roman"/>
          <w:sz w:val="20"/>
          <w:u w:val="single"/>
        </w:rPr>
        <w:t>Section 2.13</w:t>
      </w:r>
      <w:r>
        <w:rPr>
          <w:rFonts w:ascii="Times New Roman" w:hAnsi="Times New Roman"/>
          <w:sz w:val="20"/>
        </w:rPr>
        <w:t xml:space="preserve">), or (d)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sz w:val="20"/>
          <w:u w:val="single"/>
        </w:rPr>
        <w:t>Section 8.02</w:t>
      </w:r>
      <w:r>
        <w:rPr>
          <w:rFonts w:ascii="Times New Roman" w:hAnsi="Times New Roman"/>
          <w:sz w:val="20"/>
        </w:rPr>
        <w:t xml:space="preserve"> and (ii) in addition to the matters set forth in clauses (b), (c) and (d) of the preceding proviso and subject to </w:t>
      </w:r>
      <w:r>
        <w:rPr>
          <w:rFonts w:ascii="Times New Roman" w:hAnsi="Times New Roman"/>
          <w:sz w:val="20"/>
          <w:u w:val="single"/>
        </w:rPr>
        <w:t>Section 2.13</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bidi w:val="0"/>
        <w:spacing w:before="240" w:after="0"/>
        <w:jc w:val="left"/>
        <w:rPr>
          <w:rFonts w:ascii="Times New Roman" w:hAnsi="Times New Roman"/>
          <w:sz w:val="20"/>
        </w:rPr>
      </w:pPr>
      <w:r>
        <w:rPr>
          <w:rFonts w:ascii="Times New Roman" w:hAnsi="Times New Roman"/>
          <w:b/>
          <w:sz w:val="20"/>
        </w:rPr>
        <w:t>10.04</w:t>
      </w:r>
      <w:r>
        <w:rPr>
          <w:rFonts w:ascii="Times New Roman" w:hAnsi="Times New Roman"/>
          <w:sz w:val="20"/>
        </w:rPr>
        <w:t xml:space="preserve"> </w:t>
      </w:r>
      <w:r>
        <w:rPr>
          <w:rFonts w:ascii="Times New Roman" w:hAnsi="Times New Roman"/>
          <w:b/>
          <w:sz w:val="20"/>
        </w:rPr>
        <w:t>Expenses; Indemnity; Damage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Borrower shall pay (i) all reasonable out-of-pocket expenses incurred by the Administrative Agent and its Affiliates (including the reasonable fees, charges and reasonable disbursements of an external counsel for the Administrative Agent (which shall be the only counsel Borrower shall be required to reimburse with respect to the initial preparation of the Loan) and any special or local counsel to the Administrative Agent (on behalf of the Lenders), if necessary),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renewal or extension of any Letter of Credit or any demand for payment thereunder and (iii) all reasonable out-of-pocket expenses incurred by the Administrative Agent, any Lender (after the occurrence of a Default) or any L/C Issuer (including the fees, charges and reasonable disbursements of any counsel for the Administrative Agent, any Lender or any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Borrower</w:t>
      </w:r>
      <w:r>
        <w:rPr>
          <w:rFonts w:ascii="Times New Roman" w:hAnsi="Times New Roman"/>
          <w:sz w:val="20"/>
        </w:rPr>
        <w:t>. The Borrower shall indemnify the Administrative Agent (and any sub-agent thereof), each Lender and each L/C Issuer,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penalties and related reasonable, out-of-pocket expenses (including the reasonable fees, charges and disbursements of any counsel for any Indemnitee) (other than those provided for under </w:t>
      </w:r>
      <w:r>
        <w:rPr>
          <w:rFonts w:ascii="Times New Roman" w:hAnsi="Times New Roman"/>
          <w:sz w:val="20"/>
          <w:u w:val="single"/>
        </w:rPr>
        <w:t>Section 10.04(a)(i)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as long as no Default exists Borrower shall engage and pay for defense counsel that is reasonably acceptable to the Required Lenders in connection with claims brought by third parties and Lenders may engage separate counsel under such circumstances at their own expense (it being understood that upon the occurrence of an Event of Default, all counsel shall be at the cost and expense of Borrower),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 all cases, whether or not caused by or arising, in whole or in part, out of the comparative, contributory or sole negligence of the Indemnitee;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Without limiting the provisions of </w:t>
      </w:r>
      <w:r>
        <w:rPr>
          <w:rFonts w:ascii="Times New Roman" w:hAnsi="Times New Roman"/>
          <w:sz w:val="20"/>
          <w:u w:val="single"/>
        </w:rPr>
        <w:t>Section 3.01(e)</w:t>
      </w:r>
      <w:r>
        <w:rPr>
          <w:rFonts w:ascii="Times New Roman" w:hAnsi="Times New Roman"/>
          <w:sz w:val="20"/>
        </w:rPr>
        <w:t xml:space="preserve">, this </w:t>
      </w:r>
      <w:r>
        <w:rPr>
          <w:rFonts w:ascii="Times New Roman" w:hAnsi="Times New Roman"/>
          <w:sz w:val="20"/>
          <w:u w:val="single"/>
        </w:rPr>
        <w:t>Section 10.04(b)</w:t>
      </w:r>
      <w:r>
        <w:rPr>
          <w:rFonts w:ascii="Times New Roman" w:hAnsi="Times New Roman"/>
          <w:sz w:val="20"/>
        </w:rPr>
        <w:t xml:space="preserve"> shall not apply with respect to Taxes other than any Taxes that represent losses, claims, damages, etc. arising from any non-Tax claim.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Reimbursement by Lenders</w:t>
      </w:r>
      <w:r>
        <w:rPr>
          <w:rFonts w:ascii="Times New Roman" w:hAnsi="Times New Roman"/>
          <w:sz w:val="20"/>
        </w:rPr>
        <w:t xml:space="preserve">. To the extent that the Borrower for any reason fails to indefeasibly pay any amount required under subsection (a) or (b) of this </w:t>
      </w:r>
      <w:r>
        <w:rPr>
          <w:rFonts w:ascii="Times New Roman" w:hAnsi="Times New Roman"/>
          <w:sz w:val="20"/>
          <w:u w:val="single"/>
        </w:rPr>
        <w:t>Section 10.04</w:t>
      </w:r>
      <w:r>
        <w:rPr>
          <w:rFonts w:ascii="Times New Roman" w:hAnsi="Times New Roman"/>
          <w:sz w:val="20"/>
        </w:rPr>
        <w:t xml:space="preserve"> to be paid by it to the Administrative Agent (or any sub-agent thereof), any L/C Issuer or any Related Party of any of the foregoing, each Lender severally agrees to pay to the Administrative Agent (or any such sub-agent), such L/C Issuer or such Related Party, as the case may be, such Lender’s Applicable Percentage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Administrative Agent (or any such sub-agent) or any L/C Issuer in its capacity as such, or against any Related Party of any of the foregoing acting for the Administrative Agent (or any such sub-agent) or such L/C Issuer in connection with such capacity. The obligations of the Lenders under this subsection (c) are subject to the provisions of </w:t>
      </w:r>
      <w:r>
        <w:rPr>
          <w:rFonts w:ascii="Times New Roman" w:hAnsi="Times New Roman"/>
          <w:sz w:val="20"/>
          <w:u w:val="single"/>
        </w:rPr>
        <w:t>Section 2.12(d)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Consequential Damages, Etc</w:t>
      </w:r>
      <w:r>
        <w:rPr>
          <w:rFonts w:ascii="Times New Roman" w:hAnsi="Times New Roman"/>
          <w:sz w:val="20"/>
        </w:rPr>
        <w:t xml:space="preserve">. Without impairing, limiting, or conditioning the Borrower’s obligations under </w:t>
      </w:r>
      <w:r>
        <w:rPr>
          <w:rFonts w:ascii="Times New Roman" w:hAnsi="Times New Roman"/>
          <w:sz w:val="20"/>
          <w:u w:val="single"/>
        </w:rPr>
        <w:t>Section 10.04(b)</w:t>
      </w:r>
      <w:r>
        <w:rPr>
          <w:rFonts w:ascii="Times New Roman" w:hAnsi="Times New Roman"/>
          <w:sz w:val="20"/>
        </w:rPr>
        <w:t xml:space="preserve">, to the fullest extent permitted by applicable Law, no party hereto shall assert, and hereby waives, any claim against any other party hereto, on any theory of liability, for special, indirect, consequential or punitive damages (as opposed to direct or actual damages) arising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w:t>
      </w:r>
      <w:r>
        <w:rPr>
          <w:rFonts w:ascii="Times New Roman" w:hAnsi="Times New Roman"/>
          <w:sz w:val="20"/>
        </w:rPr>
        <w:t xml:space="preserve">. All amounts due under this </w:t>
      </w:r>
      <w:r>
        <w:rPr>
          <w:rFonts w:ascii="Times New Roman" w:hAnsi="Times New Roman"/>
          <w:sz w:val="20"/>
          <w:u w:val="single"/>
        </w:rPr>
        <w:t>Section 10.04</w:t>
      </w:r>
      <w:r>
        <w:rPr>
          <w:rFonts w:ascii="Times New Roman" w:hAnsi="Times New Roman"/>
          <w:sz w:val="20"/>
        </w:rPr>
        <w:t xml:space="preserve"> shall be payable not later than ten Business Days after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Survival</w:t>
      </w:r>
      <w:r>
        <w:rPr>
          <w:rFonts w:ascii="Times New Roman" w:hAnsi="Times New Roman"/>
          <w:sz w:val="20"/>
        </w:rPr>
        <w:t xml:space="preserve">. The agreements in this </w:t>
      </w:r>
      <w:r>
        <w:rPr>
          <w:rFonts w:ascii="Times New Roman" w:hAnsi="Times New Roman"/>
          <w:sz w:val="20"/>
          <w:u w:val="single"/>
        </w:rPr>
        <w:t>Section 10.04</w:t>
      </w:r>
      <w:r>
        <w:rPr>
          <w:rFonts w:ascii="Times New Roman" w:hAnsi="Times New Roman"/>
          <w:sz w:val="20"/>
        </w:rPr>
        <w:t xml:space="preserve"> shall survive the resignation of the Administrative Agent and any L/C Issuer, the replacement of any Lender, the termination of the Aggregate Commitments and the repayment, satisfaction or discharge of all the other Obligations. </w:t>
      </w:r>
    </w:p>
    <w:p>
      <w:pPr>
        <w:pStyle w:val="TextBody"/>
        <w:bidi w:val="0"/>
        <w:spacing w:before="240" w:after="0"/>
        <w:jc w:val="left"/>
        <w:rPr>
          <w:rFonts w:ascii="Times New Roman" w:hAnsi="Times New Roman"/>
          <w:sz w:val="20"/>
        </w:rPr>
      </w:pPr>
      <w:r>
        <w:rPr>
          <w:rFonts w:ascii="Times New Roman" w:hAnsi="Times New Roman"/>
          <w:b/>
          <w:sz w:val="20"/>
        </w:rPr>
        <w:t>10.05</w:t>
      </w:r>
      <w:r>
        <w:rPr>
          <w:rFonts w:ascii="Times New Roman" w:hAnsi="Times New Roman"/>
          <w:sz w:val="20"/>
        </w:rPr>
        <w:t xml:space="preserve"> </w:t>
      </w:r>
      <w:r>
        <w:rPr>
          <w:rFonts w:ascii="Times New Roman" w:hAnsi="Times New Roman"/>
          <w:b/>
          <w:sz w:val="20"/>
        </w:rPr>
        <w:t>Payments Set Aside.</w:t>
      </w:r>
      <w:r>
        <w:rPr>
          <w:rFonts w:ascii="Times New Roman" w:hAnsi="Times New Roman"/>
          <w:sz w:val="20"/>
        </w:rPr>
        <w:t xml:space="preserve">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b/>
          <w:sz w:val="20"/>
        </w:rPr>
        <w:t>10.06</w:t>
      </w:r>
      <w:r>
        <w:rPr>
          <w:rFonts w:ascii="Times New Roman" w:hAnsi="Times New Roman"/>
          <w:sz w:val="20"/>
        </w:rPr>
        <w:t xml:space="preserve"> </w:t>
      </w:r>
      <w:r>
        <w:rPr>
          <w:rFonts w:ascii="Times New Roman" w:hAnsi="Times New Roman"/>
          <w:b/>
          <w:sz w:val="20"/>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(except pursuant to a transaction expressly permitted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hAnsi="Times New Roman"/>
          <w:sz w:val="20"/>
          <w:u w:val="single"/>
        </w:rPr>
        <w:t>Section 10.06(b)</w:t>
      </w:r>
      <w:r>
        <w:rPr>
          <w:rFonts w:ascii="Times New Roman" w:hAnsi="Times New Roman"/>
          <w:sz w:val="20"/>
        </w:rPr>
        <w:t xml:space="preserve">, (ii) by way of participation in accordance with the provisions of </w:t>
      </w:r>
      <w:r>
        <w:rPr>
          <w:rFonts w:ascii="Times New Roman" w:hAnsi="Times New Roman"/>
          <w:sz w:val="20"/>
          <w:u w:val="single"/>
        </w:rPr>
        <w:t>Section 10.06(d)</w:t>
      </w:r>
      <w:r>
        <w:rPr>
          <w:rFonts w:ascii="Times New Roman" w:hAnsi="Times New Roman"/>
          <w:sz w:val="20"/>
        </w:rPr>
        <w:t xml:space="preserve">, (iii) by way of pledge or assignment of a security interest subject to the restrictions of </w:t>
      </w:r>
      <w:r>
        <w:rPr>
          <w:rFonts w:ascii="Times New Roman" w:hAnsi="Times New Roman"/>
          <w:sz w:val="20"/>
          <w:u w:val="single"/>
        </w:rPr>
        <w:t>Section 10.06(f)</w:t>
      </w:r>
      <w:r>
        <w:rPr>
          <w:rFonts w:ascii="Times New Roman" w:hAnsi="Times New Roman"/>
          <w:sz w:val="20"/>
        </w:rPr>
        <w:t xml:space="preserve">, or (iv) to an SPC in accordance with the provisions of </w:t>
      </w:r>
      <w:r>
        <w:rPr>
          <w:rFonts w:ascii="Times New Roman" w:hAnsi="Times New Roman"/>
          <w:sz w:val="20"/>
          <w:u w:val="single"/>
        </w:rPr>
        <w:t>Section 10.06(g)</w:t>
      </w:r>
      <w:r>
        <w:rPr>
          <w:rFonts w:ascii="Times New Roman" w:hAnsi="Times New Roman"/>
          <w:sz w:val="20"/>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w:t>
      </w:r>
      <w:r>
        <w:rPr>
          <w:rFonts w:ascii="Times New Roman" w:hAnsi="Times New Roman"/>
          <w:sz w:val="20"/>
          <w:u w:val="single"/>
        </w:rPr>
        <w:t>Section 10.06</w:t>
      </w:r>
      <w:r>
        <w:rPr>
          <w:rFonts w:ascii="Times New Roman" w:hAnsi="Times New Roman"/>
          <w:sz w:val="20"/>
        </w:rPr>
        <w:t xml:space="preserve"> and, to the extent expressly contemplated hereby, the Related Parties of each of the Administrative Agent, the L/C Issuers and the Lenders) any legal or equitable right, remedy or claim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Times New Roman" w:hAnsi="Times New Roman"/>
          <w:sz w:val="20"/>
          <w:u w:val="single"/>
        </w:rPr>
        <w:t>Section 10.06(b)</w:t>
      </w:r>
      <w:r>
        <w:rPr>
          <w:rFonts w:ascii="Times New Roman" w:hAnsi="Times New Roman"/>
          <w:sz w:val="20"/>
        </w:rPr>
        <w:t xml:space="preserve">, participations in L/C Obligations and in Swing Line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subsection (b)(i)(A) of this </w:t>
      </w:r>
      <w:r>
        <w:rPr>
          <w:rFonts w:ascii="Times New Roman" w:hAnsi="Times New Roman"/>
          <w:sz w:val="20"/>
          <w:u w:val="single"/>
        </w:rPr>
        <w:t>Section 10.06</w:t>
      </w:r>
      <w:r>
        <w:rPr>
          <w:rFonts w:ascii="Times New Roman" w:hAnsi="Times New Roman"/>
          <w:sz w:val="20"/>
        </w:rPr>
        <w:t xml:space="preserve">,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Facility, unless each of the Administrative Agent and, so long as no Event of Default has occurred and is continuing, the Borrower otherwise consents (each such consent not to be unreasonably withheld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Loans or the Commitment assigned, except that this clause (ii) shall not (A) apply to the Swing Line Lender’s rights and obligations in respect of Swing Line Loans or (B) prohibit any Lender from assigning all or a portion of its rights and obligations among separate Facilities on a non-pro rata basis;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subsection (b)(i)(B) of this </w:t>
      </w:r>
      <w:r>
        <w:rPr>
          <w:rFonts w:ascii="Times New Roman" w:hAnsi="Times New Roman"/>
          <w:sz w:val="20"/>
          <w:u w:val="single"/>
        </w:rPr>
        <w:t>Section 10.06</w:t>
      </w:r>
      <w:r>
        <w:rPr>
          <w:rFonts w:ascii="Times New Roman" w:hAnsi="Times New Roman"/>
          <w:sz w:val="20"/>
        </w:rPr>
        <w:t xml:space="preserve">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hAnsi="Times New Roman"/>
          <w:sz w:val="20"/>
          <w:u w:val="single"/>
        </w:rPr>
        <w:t>provided</w:t>
      </w:r>
      <w:r>
        <w:rPr>
          <w:rFonts w:ascii="Times New Roman" w:hAnsi="Times New Roman"/>
          <w:sz w:val="20"/>
        </w:rPr>
        <w:t xml:space="preserve"> that the Borrower shall be deemed to have consented to any such assignment unless it shall object thereto by written notice to the Administrative Agent within five (5) Business Days after having received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for assignments in respect of (i) any Revolving Credit Commitment or Revolving Credit Loan if such assignment is to a Person that is not a Revolving Credit Lender, an Affiliate of such Revolving Credit Lender or an Approved Fund with respect to such Revolving Credit Lender, or (ii) any Term Loan to a Person that is not a Lender, an Affiliate of a Lender or an Approved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consent of the L/C Issuers (such consent not to be unreasonably withheld or delayed) shall be required for any assignment that increases the obligation of the assignee to participate in exposure under one or more Letters of Credit (whether or not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(D) the consent of the Swing Line Lender (such consent not to be unreasonably withheld or delayed) shall be required for any assignment in respect of the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in the amount of $3,500;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may, in its sole discretion, elect to waive such processing and recordation fee in the case of any assignment; and the Eligible Assignee, if it is not a Lender, shall deliver to the Administrative Agent an Administrative Questionnaire.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Certain Persons</w:t>
      </w:r>
      <w:r>
        <w:rPr>
          <w:rFonts w:ascii="Times New Roman" w:hAnsi="Times New Roman"/>
          <w:sz w:val="20"/>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clause (B), or (C) to a natural person (or a holding company, investments vehicle, investment vehicle or trust for, or owned and operated by or for the primary benefit of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subsection (c) of this </w:t>
      </w:r>
      <w:r>
        <w:rPr>
          <w:rFonts w:ascii="Times New Roman" w:hAnsi="Times New Roman"/>
          <w:sz w:val="20"/>
          <w:u w:val="single"/>
        </w:rPr>
        <w:t>Section 10.06</w:t>
      </w:r>
      <w:r>
        <w:rPr>
          <w:rFonts w:ascii="Times New Roman" w:hAnsi="Times New Roman"/>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or the Administrative Agent, LC issuer or Swingline Lender, sell participations to any Person (other than a natural person (or a holding company, investments vehicle, investment vehicle or trust for, or owned and operated by or for the primary benefit of a natural Person), a Defaulting Lender or the Borrower or any of the Borrower’s Affiliates or Subsidiaries)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hAnsi="Times New Roman"/>
          <w:sz w:val="20"/>
          <w:u w:val="single"/>
        </w:rPr>
        <w:t>Section 10.01</w:t>
      </w:r>
      <w:r>
        <w:rPr>
          <w:rFonts w:ascii="Times New Roman" w:hAnsi="Times New Roman"/>
          <w:sz w:val="20"/>
        </w:rPr>
        <w:t xml:space="preserve"> that affects such Participant. Subject to </w:t>
      </w:r>
      <w:r>
        <w:rPr>
          <w:rFonts w:ascii="Times New Roman" w:hAnsi="Times New Roman"/>
          <w:sz w:val="20"/>
          <w:u w:val="single"/>
        </w:rPr>
        <w:t>Section 10.06(e)</w:t>
      </w:r>
      <w:r>
        <w:rPr>
          <w:rFonts w:ascii="Times New Roman" w:hAnsi="Times New Roman"/>
          <w:sz w:val="20"/>
        </w:rPr>
        <w:t xml:space="preserve">, the Borrower agrees that each Participant shall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and </w:t>
      </w:r>
      <w:r>
        <w:rPr>
          <w:rFonts w:ascii="Times New Roman" w:hAnsi="Times New Roman"/>
          <w:sz w:val="20"/>
          <w:u w:val="single"/>
        </w:rPr>
        <w:t>3.05</w:t>
      </w:r>
      <w:r>
        <w:rPr>
          <w:rFonts w:ascii="Times New Roman" w:hAnsi="Times New Roman"/>
          <w:sz w:val="20"/>
        </w:rPr>
        <w:t xml:space="preserve"> to the same extent as if it were a Lender and had acquired its interest by assignment pursuant to </w:t>
      </w:r>
      <w:r>
        <w:rPr>
          <w:rFonts w:ascii="Times New Roman" w:hAnsi="Times New Roman"/>
          <w:sz w:val="20"/>
          <w:u w:val="single"/>
        </w:rPr>
        <w:t>Section 10.06(b)</w:t>
      </w:r>
      <w:r>
        <w:rPr>
          <w:rFonts w:ascii="Times New Roman" w:hAnsi="Times New Roman"/>
          <w:sz w:val="20"/>
        </w:rPr>
        <w:t xml:space="preserve">. To the extent permitted by Law, each Participant also shall be entitled to the benefits of </w:t>
      </w:r>
      <w:r>
        <w:rPr>
          <w:rFonts w:ascii="Times New Roman" w:hAnsi="Times New Roman"/>
          <w:sz w:val="20"/>
          <w:u w:val="single"/>
        </w:rPr>
        <w:t>Section 10.08</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such Participant agrees to be subject to </w:t>
      </w:r>
      <w:r>
        <w:rPr>
          <w:rFonts w:ascii="Times New Roman" w:hAnsi="Times New Roman"/>
          <w:sz w:val="20"/>
          <w:u w:val="single"/>
        </w:rPr>
        <w:t>Section 2.13</w:t>
      </w:r>
      <w:r>
        <w:rPr>
          <w:rFonts w:ascii="Times New Roman" w:hAnsi="Times New Roman"/>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On Participant Rights</w:t>
      </w:r>
      <w:r>
        <w:rPr>
          <w:rFonts w:ascii="Times New Roman" w:hAnsi="Times New Roman"/>
          <w:sz w:val="20"/>
        </w:rPr>
        <w:t xml:space="preserve">. A Participant shall not be entitled to receive any greater payment under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hAnsi="Times New Roman"/>
          <w:sz w:val="20"/>
          <w:u w:val="single"/>
        </w:rPr>
        <w:t>Section 3.01</w:t>
      </w:r>
      <w:r>
        <w:rPr>
          <w:rFonts w:ascii="Times New Roman" w:hAnsi="Times New Roman"/>
          <w:sz w:val="20"/>
        </w:rPr>
        <w:t xml:space="preserve"> unless the Borrower is notified of the participation sold to such Participant and such Participant agrees, for the benefit of the Borrower, to comply with </w:t>
      </w:r>
      <w:r>
        <w:rPr>
          <w:rFonts w:ascii="Times New Roman" w:hAnsi="Times New Roman"/>
          <w:sz w:val="20"/>
          <w:u w:val="single"/>
        </w:rPr>
        <w:t>Section 3.01(e)</w:t>
      </w:r>
      <w:r>
        <w:rPr>
          <w:rFonts w:ascii="Times New Roman" w:hAnsi="Times New Roman"/>
          <w:sz w:val="20"/>
        </w:rPr>
        <w:t xml:space="preserve">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Special Purpose Funding Vehicles</w:t>
      </w:r>
      <w:r>
        <w:rPr>
          <w:rFonts w:ascii="Times New Roman" w:hAnsi="Times New Roman"/>
          <w:sz w:val="20"/>
        </w:rPr>
        <w:t>. Notwithstanding anything to the contrary contained herein, any Lender (a “</w:t>
      </w:r>
      <w:r>
        <w:rPr>
          <w:rFonts w:ascii="Times New Roman" w:hAnsi="Times New Roman"/>
          <w:sz w:val="20"/>
          <w:u w:val="single"/>
        </w:rPr>
        <w:t>Granting Lender</w:t>
      </w:r>
      <w:r>
        <w:rPr>
          <w:rFonts w:ascii="Times New Roman" w:hAnsi="Times New Roman"/>
          <w:sz w:val="20"/>
        </w:rPr>
        <w:t>”) may grant to a special purpose funding vehicle identified as such in writing from time to time by the Granting Lender to the Administrative Agent and the Borrower (an “</w:t>
      </w:r>
      <w:r>
        <w:rPr>
          <w:rFonts w:ascii="Times New Roman" w:hAnsi="Times New Roman"/>
          <w:sz w:val="20"/>
          <w:u w:val="single"/>
        </w:rPr>
        <w:t>SPC</w:t>
      </w:r>
      <w:r>
        <w:rPr>
          <w:rFonts w:ascii="Times New Roman" w:hAnsi="Times New Roman"/>
          <w:sz w:val="20"/>
        </w:rPr>
        <w:t xml:space="preserve">”) the option to provide all or any part of any Loan that such Granting Lender would otherwise be obligated to make pursuant to this Agreement; </w:t>
      </w:r>
      <w:r>
        <w:rPr>
          <w:rFonts w:ascii="Times New Roman" w:hAnsi="Times New Roman"/>
          <w:sz w:val="20"/>
          <w:u w:val="single"/>
        </w:rPr>
        <w:t>provided</w:t>
      </w:r>
      <w:r>
        <w:rPr>
          <w:rFonts w:ascii="Times New Roman" w:hAnsi="Times New Roman"/>
          <w:sz w:val="20"/>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Times New Roman" w:hAnsi="Times New Roman"/>
          <w:sz w:val="20"/>
          <w:u w:val="single"/>
        </w:rPr>
        <w:t>Section 2.12(b)(ii)</w:t>
      </w:r>
      <w:r>
        <w:rPr>
          <w:rFonts w:ascii="Times New Roman" w:hAnsi="Times New Roman"/>
          <w:sz w:val="20"/>
        </w:rPr>
        <w:t xml:space="preserve">.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Times New Roman" w:hAnsi="Times New Roman"/>
          <w:sz w:val="20"/>
          <w:u w:val="single"/>
        </w:rPr>
        <w:t>Section 3.04</w:t>
      </w:r>
      <w:r>
        <w:rPr>
          <w:rFonts w:ascii="Times New Roman" w:hAnsi="Times New Roman"/>
          <w:sz w:val="20"/>
        </w:rPr>
        <w:t xml:space="preserve">),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in the amount of $3,500 (which processing fee may be waived by the Administrative Agent in its sole discretion),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Resignation as L/C Issuer or Swing Line Lender after Assignment</w:t>
      </w:r>
      <w:r>
        <w:rPr>
          <w:rFonts w:ascii="Times New Roman" w:hAnsi="Times New Roman"/>
          <w:sz w:val="20"/>
        </w:rPr>
        <w:t xml:space="preserve">. Notwithstanding anything to the contrary contained herein, if at any time (i) any L/C Issuer assigns all of its Revolving Credit Commitment and Revolving Credit Loans pursuant to </w:t>
      </w:r>
      <w:r>
        <w:rPr>
          <w:rFonts w:ascii="Times New Roman" w:hAnsi="Times New Roman"/>
          <w:sz w:val="20"/>
          <w:u w:val="single"/>
        </w:rPr>
        <w:t>Section 10.06(b)</w:t>
      </w:r>
      <w:r>
        <w:rPr>
          <w:rFonts w:ascii="Times New Roman" w:hAnsi="Times New Roman"/>
          <w:sz w:val="20"/>
        </w:rPr>
        <w:t xml:space="preserve">, such L/C Issuer may, upon 30 days’ notice to the Borrower and the Lenders, resign as L/C Issuer and/or (ii) Bank of America as the Swing Line Lender assigns all of its Revolving Credit Commitment and Revolving Credit Loans pursuant to </w:t>
      </w:r>
      <w:r>
        <w:rPr>
          <w:rFonts w:ascii="Times New Roman" w:hAnsi="Times New Roman"/>
          <w:sz w:val="20"/>
          <w:u w:val="single"/>
        </w:rPr>
        <w:t>Section 10.06(b)</w:t>
      </w:r>
      <w:r>
        <w:rPr>
          <w:rFonts w:ascii="Times New Roman" w:hAnsi="Times New Roman"/>
          <w:sz w:val="20"/>
        </w:rPr>
        <w:t xml:space="preserve">, Bank of America as the Swing Line Lender may,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 that no failure by the Borrower to appoint any such successor shall affect the resignation of the applicable L/C Issuer or the Swing Line Lender, as the case may be and (ii) no Lender shall be required to accept the appointment as a successor L/C Issuer or Swing Line Lender, as the case may be. If any L/C Issuer resigns as L/C Issuer, it shall retain all the rights, powers, privileges and duties of a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hAnsi="Times New Roman"/>
          <w:sz w:val="20"/>
          <w:u w:val="single"/>
        </w:rPr>
        <w:t>Section 2.03(c)</w:t>
      </w:r>
      <w:r>
        <w:rPr>
          <w:rFonts w:ascii="Times New Roman" w:hAnsi="Times New Roman"/>
          <w:sz w:val="20"/>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hAnsi="Times New Roman"/>
          <w:sz w:val="20"/>
          <w:u w:val="single"/>
        </w:rPr>
        <w:t>Section 2.04(c)</w:t>
      </w:r>
      <w:r>
        <w:rPr>
          <w:rFonts w:ascii="Times New Roman" w:hAnsi="Times New Roman"/>
          <w:sz w:val="20"/>
        </w:rPr>
        <w:t xml:space="preserve">.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 </w:t>
      </w:r>
    </w:p>
    <w:p>
      <w:pPr>
        <w:pStyle w:val="TextBody"/>
        <w:bidi w:val="0"/>
        <w:spacing w:before="240" w:after="0"/>
        <w:jc w:val="left"/>
        <w:rPr>
          <w:rFonts w:ascii="Times New Roman" w:hAnsi="Times New Roman"/>
          <w:sz w:val="20"/>
        </w:rPr>
      </w:pPr>
      <w:r>
        <w:rPr>
          <w:rFonts w:ascii="Times New Roman" w:hAnsi="Times New Roman"/>
          <w:b/>
          <w:sz w:val="20"/>
        </w:rPr>
        <w:t>10.07</w:t>
      </w:r>
      <w:r>
        <w:rPr>
          <w:rFonts w:ascii="Times New Roman" w:hAnsi="Times New Roman"/>
          <w:sz w:val="20"/>
        </w:rPr>
        <w:t xml:space="preserve"> </w:t>
      </w:r>
      <w:r>
        <w:rPr>
          <w:rFonts w:ascii="Times New Roman" w:hAnsi="Times New Roman"/>
          <w:b/>
          <w:sz w:val="20"/>
        </w:rPr>
        <w:t>Treatment of Certain Information; Confidentiality.</w:t>
      </w:r>
      <w:r>
        <w:rPr>
          <w:rFonts w:ascii="Times New Roman" w:hAnsi="Times New Roman"/>
          <w:sz w:val="20"/>
        </w:rPr>
        <w:t xml:space="preserve"> Each of the Administrative Agent, the Lenders and the L/C Issuers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hAnsi="Times New Roman"/>
          <w:sz w:val="20"/>
          <w:u w:val="single"/>
        </w:rPr>
        <w:t>Section 10.07</w:t>
      </w:r>
      <w:r>
        <w:rPr>
          <w:rFonts w:ascii="Times New Roman" w:hAnsi="Times New Roman"/>
          <w:sz w:val="20"/>
        </w:rPr>
        <w:t xml:space="preserve">, to (i) any assignee of or Participant in, or any prospective assignee of or Participant in, any of its rights or obligations under this Agreement or any Eligible Assignee invited to be a Lender pursuant to </w:t>
      </w:r>
      <w:r>
        <w:rPr>
          <w:rFonts w:ascii="Times New Roman" w:hAnsi="Times New Roman"/>
          <w:sz w:val="20"/>
          <w:u w:val="single"/>
        </w:rPr>
        <w:t>Section 2.16(c)</w:t>
      </w:r>
      <w:r>
        <w:rPr>
          <w:rFonts w:ascii="Times New Roman" w:hAnsi="Times New Roman"/>
          <w:sz w:val="20"/>
        </w:rPr>
        <w:t xml:space="preserve"> or (ii) any actual or prospective counterparty (or its advisors) to any swap, derivative transaction or other transaction under which payments are to be made by reference to the Borrower and its obligations, this Agreement or payments hereunder relating to the Borrower and its obligations, (g) with the consent of the Borrower, (h) to the extent such Information (x) becomes publicly available other than as a result of a breach of this </w:t>
      </w:r>
      <w:r>
        <w:rPr>
          <w:rFonts w:ascii="Times New Roman" w:hAnsi="Times New Roman"/>
          <w:sz w:val="20"/>
          <w:u w:val="single"/>
        </w:rPr>
        <w:t>Section 10.07</w:t>
      </w:r>
      <w:r>
        <w:rPr>
          <w:rFonts w:ascii="Times New Roman" w:hAnsi="Times New Roman"/>
          <w:sz w:val="20"/>
        </w:rPr>
        <w:t xml:space="preserve"> or (y) becomes available to the Administrative Agent, any Lender, any L/C Issuer or any of their respective Affiliates on a nonconfidential basis from a source other than the Borrower or (i) on a confidential basis to any rating agency in connection with rating the Borrower or its Subsidiaries or the credit facilities provided hereunder. In addition, the Administrative Agent and the Lenders may disclose the existence of this Agreement and information about this Agreement to market data collectors, similar service providers to the lending industry and service providers to the Agent Parties and the Lenders in connection with the administration of this Agreement, the other Loan Documents, and the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Section, “</w:t>
      </w:r>
      <w:r>
        <w:rPr>
          <w:rFonts w:ascii="Times New Roman" w:hAnsi="Times New Roman"/>
          <w:sz w:val="20"/>
          <w:u w:val="single"/>
        </w:rPr>
        <w:t>Information</w:t>
      </w:r>
      <w:r>
        <w:rPr>
          <w:rFonts w:ascii="Times New Roman" w:hAnsi="Times New Roman"/>
          <w:sz w:val="20"/>
        </w:rPr>
        <w:t xml:space="preserve">”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Times New Roman" w:hAnsi="Times New Roman"/>
          <w:sz w:val="20"/>
          <w:u w:val="single"/>
        </w:rPr>
        <w:t>provided</w:t>
      </w:r>
      <w:r>
        <w:rPr>
          <w:rFonts w:ascii="Times New Roman" w:hAnsi="Times New Roman"/>
          <w:sz w:val="20"/>
        </w:rPr>
        <w:t xml:space="preserve"> that, in the case of information received from the Borrower or any Subsidiary after the Closing Date, such information either consists of customer lists or customer or product-specific sales information or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Administrative Agent, the Lenders and the L/C Issuers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herein prohibits any individual from communicating or disclosing Information regarding suspected violations of laws, rules or regulations to a governmental, regulatory or self-regulatory authority without any notification to any person. </w:t>
      </w:r>
    </w:p>
    <w:p>
      <w:pPr>
        <w:pStyle w:val="TextBody"/>
        <w:bidi w:val="0"/>
        <w:spacing w:before="240" w:after="0"/>
        <w:jc w:val="left"/>
        <w:rPr>
          <w:rFonts w:ascii="Times New Roman" w:hAnsi="Times New Roman"/>
          <w:sz w:val="20"/>
        </w:rPr>
      </w:pPr>
      <w:r>
        <w:rPr>
          <w:rFonts w:ascii="Times New Roman" w:hAnsi="Times New Roman"/>
          <w:b/>
          <w:sz w:val="20"/>
        </w:rPr>
        <w:t>10.08</w:t>
      </w:r>
      <w:r>
        <w:rPr>
          <w:rFonts w:ascii="Times New Roman" w:hAnsi="Times New Roman"/>
          <w:sz w:val="20"/>
        </w:rPr>
        <w:t xml:space="preserve"> </w:t>
      </w:r>
      <w:r>
        <w:rPr>
          <w:rFonts w:ascii="Times New Roman" w:hAnsi="Times New Roman"/>
          <w:b/>
          <w:sz w:val="20"/>
        </w:rPr>
        <w:t>Right of Setoff.</w:t>
      </w:r>
      <w:r>
        <w:rPr>
          <w:rFonts w:ascii="Times New Roman" w:hAnsi="Times New Roman"/>
          <w:sz w:val="20"/>
        </w:rPr>
        <w:t xml:space="preserve">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or such Loan Party may be contingent or unmatured or are owed to a branch or office of such Lender or such L/C Issuer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2.15</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10.09</w:t>
      </w:r>
      <w:r>
        <w:rPr>
          <w:rFonts w:ascii="Times New Roman" w:hAnsi="Times New Roman"/>
          <w:sz w:val="20"/>
        </w:rPr>
        <w:t xml:space="preserve"> </w:t>
      </w:r>
      <w:r>
        <w:rPr>
          <w:rFonts w:ascii="Times New Roman" w:hAnsi="Times New Roman"/>
          <w:b/>
          <w:sz w:val="20"/>
        </w:rPr>
        <w:t>Interest Rate Limitation.</w:t>
      </w:r>
      <w:r>
        <w:rPr>
          <w:rFonts w:ascii="Times New Roman" w:hAnsi="Times New Roman"/>
          <w:sz w:val="20"/>
        </w:rPr>
        <w:t xml:space="preserve">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240" w:after="0"/>
        <w:jc w:val="left"/>
        <w:rPr>
          <w:rFonts w:ascii="Times New Roman" w:hAnsi="Times New Roman"/>
          <w:sz w:val="20"/>
        </w:rPr>
      </w:pPr>
      <w:r>
        <w:rPr>
          <w:rFonts w:ascii="Times New Roman" w:hAnsi="Times New Roman"/>
          <w:b/>
          <w:sz w:val="20"/>
        </w:rPr>
        <w:t>10.10</w:t>
      </w:r>
      <w:r>
        <w:rPr>
          <w:rFonts w:ascii="Times New Roman" w:hAnsi="Times New Roman"/>
          <w:sz w:val="20"/>
        </w:rPr>
        <w:t xml:space="preserve"> </w:t>
      </w:r>
      <w:r>
        <w:rPr>
          <w:rFonts w:ascii="Times New Roman" w:hAnsi="Times New Roman"/>
          <w:b/>
          <w:sz w:val="20"/>
        </w:rPr>
        <w:t>Counterparts; Integration; Effectiveness.</w:t>
      </w:r>
      <w:r>
        <w:rPr>
          <w:rFonts w:ascii="Times New Roman" w:hAnsi="Times New Roman"/>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or the L/C Issuers,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.pdf or other electronic imaging means shall be effective as delivery of a manually executed counterpart of this Agreement. The Administrative Agent may also require that any such documents and signatures delivered by telecopy, .pdf or other electronic means be confirmed by a manually signed original thereof; provided that the failure to request or deliver the same shall not limit the effectiveness of any document or signature delivered by telecopy, .pdf or other electronic means. </w:t>
      </w:r>
    </w:p>
    <w:p>
      <w:pPr>
        <w:pStyle w:val="TextBody"/>
        <w:bidi w:val="0"/>
        <w:spacing w:before="240" w:after="0"/>
        <w:jc w:val="left"/>
        <w:rPr>
          <w:rFonts w:ascii="Times New Roman" w:hAnsi="Times New Roman"/>
          <w:sz w:val="20"/>
        </w:rPr>
      </w:pPr>
      <w:r>
        <w:rPr>
          <w:rFonts w:ascii="Times New Roman" w:hAnsi="Times New Roman"/>
          <w:b/>
          <w:sz w:val="20"/>
        </w:rPr>
        <w:t>10.11</w:t>
      </w:r>
      <w:r>
        <w:rPr>
          <w:rFonts w:ascii="Times New Roman" w:hAnsi="Times New Roman"/>
          <w:sz w:val="20"/>
        </w:rPr>
        <w:t xml:space="preserve"> </w:t>
      </w:r>
      <w:r>
        <w:rPr>
          <w:rFonts w:ascii="Times New Roman" w:hAnsi="Times New Roman"/>
          <w:b/>
          <w:sz w:val="20"/>
        </w:rPr>
        <w:t>Survival of Representations and Warranties.</w:t>
      </w:r>
      <w:r>
        <w:rPr>
          <w:rFonts w:ascii="Times New Roman" w:hAnsi="Times New Roman"/>
          <w:sz w:val="20"/>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w:t>
      </w:r>
    </w:p>
    <w:p>
      <w:pPr>
        <w:pStyle w:val="TextBody"/>
        <w:bidi w:val="0"/>
        <w:spacing w:before="240" w:after="0"/>
        <w:jc w:val="left"/>
        <w:rPr>
          <w:rFonts w:ascii="Times New Roman" w:hAnsi="Times New Roman"/>
          <w:sz w:val="20"/>
        </w:rPr>
      </w:pPr>
      <w:r>
        <w:rPr>
          <w:rFonts w:ascii="Times New Roman" w:hAnsi="Times New Roman"/>
          <w:b/>
          <w:sz w:val="20"/>
        </w:rPr>
        <w:t>10.12</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sz w:val="20"/>
          <w:u w:val="single"/>
        </w:rPr>
        <w:t>Section 10.12</w:t>
      </w:r>
      <w:r>
        <w:rPr>
          <w:rFonts w:ascii="Times New Roman" w:hAnsi="Times New Roman"/>
          <w:sz w:val="20"/>
        </w:rPr>
        <w:t xml:space="preserve">, if and to the extent that the enforceability of any provisions in this Agreement relating to Defaulting Lenders shall be limited by Debtor Relief Laws, as determined in good faith by the Administrative Agent, the L/C Issuers or the Swing Line Lender, as applicable, then such provisions shall be deemed to be in effect only to the extent not so limited. </w:t>
      </w:r>
    </w:p>
    <w:p>
      <w:pPr>
        <w:pStyle w:val="TextBody"/>
        <w:bidi w:val="0"/>
        <w:spacing w:before="240" w:after="0"/>
        <w:jc w:val="left"/>
        <w:rPr>
          <w:rFonts w:ascii="Times New Roman" w:hAnsi="Times New Roman"/>
          <w:sz w:val="20"/>
        </w:rPr>
      </w:pPr>
      <w:r>
        <w:rPr>
          <w:rFonts w:ascii="Times New Roman" w:hAnsi="Times New Roman"/>
          <w:b/>
          <w:sz w:val="20"/>
        </w:rPr>
        <w:t>10.13</w:t>
      </w:r>
      <w:r>
        <w:rPr>
          <w:rFonts w:ascii="Times New Roman" w:hAnsi="Times New Roman"/>
          <w:sz w:val="20"/>
        </w:rPr>
        <w:t xml:space="preserve"> </w:t>
      </w:r>
      <w:r>
        <w:rPr>
          <w:rFonts w:ascii="Times New Roman" w:hAnsi="Times New Roman"/>
          <w:b/>
          <w:sz w:val="20"/>
        </w:rPr>
        <w:t>Replacement of Lenders.</w:t>
      </w:r>
      <w:r>
        <w:rPr>
          <w:rFonts w:ascii="Times New Roman" w:hAnsi="Times New Roman"/>
          <w:sz w:val="20"/>
        </w:rPr>
        <w:t xml:space="preserve"> If (i) any Lender requests compensation under </w:t>
      </w:r>
      <w:r>
        <w:rPr>
          <w:rFonts w:ascii="Times New Roman" w:hAnsi="Times New Roman"/>
          <w:sz w:val="20"/>
          <w:u w:val="single"/>
        </w:rPr>
        <w:t>Section 3.04</w:t>
      </w:r>
      <w:r>
        <w:rPr>
          <w:rFonts w:ascii="Times New Roman" w:hAnsi="Times New Roman"/>
          <w:sz w:val="20"/>
        </w:rPr>
        <w:t xml:space="preserve">, or if the Borrower is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(ii) a Lender gives any notice under </w:t>
      </w:r>
      <w:r>
        <w:rPr>
          <w:rFonts w:ascii="Times New Roman" w:hAnsi="Times New Roman"/>
          <w:sz w:val="20"/>
          <w:u w:val="single"/>
        </w:rPr>
        <w:t>Section 3.02</w:t>
      </w:r>
      <w:r>
        <w:rPr>
          <w:rFonts w:ascii="Times New Roman" w:hAnsi="Times New Roman"/>
          <w:sz w:val="20"/>
        </w:rPr>
        <w:t xml:space="preserve">, (iii) any Lender fails to consent to a proposed consent, amendment or waiver that requires consent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Lenders or all the affected Lenders and with respect to which Required Lenders shall have granted their consent, so long as a result of the replacement of such Lender, the consent of all Lenders or all affected Lenders would be obtained, (iv) any Lender is a Defaulting Lender, or (v)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sz w:val="20"/>
          <w:u w:val="single"/>
        </w:rPr>
        <w:t>Section 10.06</w:t>
      </w:r>
      <w:r>
        <w:rPr>
          <w:rFonts w:ascii="Times New Roman" w:hAnsi="Times New Roman"/>
          <w:sz w:val="20"/>
        </w:rPr>
        <w:t xml:space="preserve">), all of its interests, rights (other than its existing rights to payments pursuant to </w:t>
      </w:r>
      <w:r>
        <w:rPr>
          <w:rFonts w:ascii="Times New Roman" w:hAnsi="Times New Roman"/>
          <w:sz w:val="20"/>
          <w:u w:val="single"/>
        </w:rPr>
        <w:t>Sections 3.01</w:t>
      </w:r>
      <w:r>
        <w:rPr>
          <w:rFonts w:ascii="Times New Roman" w:hAnsi="Times New Roman"/>
          <w:sz w:val="20"/>
        </w:rPr>
        <w:t xml:space="preserve"> and </w:t>
      </w:r>
      <w:r>
        <w:rPr>
          <w:rFonts w:ascii="Times New Roman" w:hAnsi="Times New Roman"/>
          <w:sz w:val="20"/>
          <w:u w:val="single"/>
        </w:rPr>
        <w:t>3.04</w:t>
      </w:r>
      <w:r>
        <w:rPr>
          <w:rFonts w:ascii="Times New Roman" w:hAnsi="Times New Roman"/>
          <w:sz w:val="20"/>
        </w:rPr>
        <w:t xml:space="preserve">) and obligations under this Agreement and the related Loan Documents to an assignee that shall assume such obligations (which assignee may be another Lender, if a Lender accepts such assignment),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have paid to the Administrative Agent the assignment fee specified in </w:t>
      </w:r>
      <w:r>
        <w:rPr>
          <w:rFonts w:ascii="Times New Roman" w:hAnsi="Times New Roman"/>
          <w:sz w:val="20"/>
          <w:u w:val="single"/>
        </w:rPr>
        <w:t>Section 10.06(b)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such Lender shall have received payment of an amount equal to 100% of the outstanding principal of its Loans and L/C Advances, accrued interest thereon, accrued fees, the Applicable Prepayment Premium (if any) and all other amounts payable to it hereunder and under the other Loan Documents (including any amounts under </w:t>
      </w:r>
      <w:r>
        <w:rPr>
          <w:rFonts w:ascii="Times New Roman" w:hAnsi="Times New Roman"/>
          <w:sz w:val="20"/>
          <w:u w:val="single"/>
        </w:rPr>
        <w:t>Section 3.05</w:t>
      </w:r>
      <w:r>
        <w:rPr>
          <w:rFonts w:ascii="Times New Roman" w:hAnsi="Times New Roman"/>
          <w:sz w:val="20"/>
        </w:rPr>
        <w:t xml:space="preserve">) from the assignee (to the extent of such outstanding principal and accrued interest and fees) or the Borrower (in the case of all other amounts);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such assignment resulting from a claim for compensation under </w:t>
      </w:r>
      <w:r>
        <w:rPr>
          <w:rFonts w:ascii="Times New Roman" w:hAnsi="Times New Roman"/>
          <w:sz w:val="20"/>
          <w:u w:val="single"/>
        </w:rPr>
        <w:t>Section 3.04</w:t>
      </w:r>
      <w:r>
        <w:rPr>
          <w:rFonts w:ascii="Times New Roman" w:hAnsi="Times New Roman"/>
          <w:sz w:val="20"/>
        </w:rPr>
        <w:t xml:space="preserve"> or payments required to be made pursuant to </w:t>
      </w:r>
      <w:r>
        <w:rPr>
          <w:rFonts w:ascii="Times New Roman" w:hAnsi="Times New Roman"/>
          <w:sz w:val="20"/>
          <w:u w:val="single"/>
        </w:rPr>
        <w:t>Section 3.01</w:t>
      </w:r>
      <w:r>
        <w:rPr>
          <w:rFonts w:ascii="Times New Roman" w:hAnsi="Times New Roman"/>
          <w:sz w:val="20"/>
        </w:rPr>
        <w:t xml:space="preserve">, such assignment will result in a reduction in such compensation or payments thereafter; and </w:t>
      </w:r>
    </w:p>
    <w:p>
      <w:pPr>
        <w:pStyle w:val="TextBody"/>
        <w:bidi w:val="0"/>
        <w:spacing w:before="120" w:after="0"/>
        <w:jc w:val="left"/>
        <w:rPr>
          <w:rFonts w:ascii="Times New Roman" w:hAnsi="Times New Roman"/>
          <w:sz w:val="20"/>
        </w:rPr>
      </w:pPr>
      <w:r>
        <w:rPr>
          <w:rFonts w:ascii="Times New Roman" w:hAnsi="Times New Roman"/>
          <w:sz w:val="20"/>
        </w:rPr>
        <w:t xml:space="preserve">(d) such assignment does not conflict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not be required to make any such assignment or delegation if, prior thereto, as a result of a waiver by such Lender or otherwise, the circumstances entitling the Borrower to require such assignment and delegation cease to apply. </w:t>
      </w:r>
    </w:p>
    <w:p>
      <w:pPr>
        <w:pStyle w:val="TextBody"/>
        <w:bidi w:val="0"/>
        <w:spacing w:before="240" w:after="0"/>
        <w:jc w:val="left"/>
        <w:rPr>
          <w:rFonts w:ascii="Times New Roman" w:hAnsi="Times New Roman"/>
          <w:b/>
          <w:sz w:val="20"/>
        </w:rPr>
      </w:pPr>
      <w:r>
        <w:rPr>
          <w:rFonts w:ascii="Times New Roman" w:hAnsi="Times New Roman"/>
          <w:b/>
          <w:sz w:val="20"/>
        </w:rPr>
        <w:t xml:space="preserve">10.14 Governing Law; Jurisdiction; Etc.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 OF THE STATE OF NEW YORK WITHOUT REFERENCE TO THE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THE BORROWER IRREVOCABLY AND UNCONDITIONALLY SUBMITS, FOR ITSELF AND ITS PROPERTY, TO THE NONEXCLUSIVE JURISDICTION OF THE COURTS OF THE STATE OF NEW YORK SITTING IN NEW YORK CITY, BOROUGH OF MANHATTAN AND OF THE UNITED STATES DISTRICT COURT OF THE SOUTHERN DISTRICT OF NEW YORK, SITTING IN NEW YORK CITY, BOROUGH OF MANHATTAN AND ANY APPELLATE COURT FROM ANY THEREOF, IN ANY ACTION OR PROCEEDING (WHETHER IN TORT, CONTRACT, LAW OR EQUITY) ARISING OUT OF OR RELATING TO THIS AGREEMENT OR ANY OTHER LOAN DOCUMENT, OR FOR RECOGNITION OR ENFORCEMENT OF ANY JUDGMENT, AND EACH OF THE PARTIES HERETO IRREVOCABLY AND UNCONDITIONALLY AGREES THAT ALL CLAIMS IN RESPECT OF ANY SUCH ACTION OR PROCEEDING (WHETHER IN TORT, CONTRACT, LAW OR EQUITY) MAY BE HEARD AND DETERMINED IN SUCH NEW YORK STATE COURT OR, TO THE FULLEST EXTENT PERMITTED BY APPLICABLE LAW, IN SUCH FEDERAL COURT. EACH OF THE PARTIES HERETO AGREES THAT A FINAL JUDGMENT IN ANY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PROCEEDING (WHETHER IN TORT, CONTRACT, LAW OR EQUITY)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(WHETHER IN TORT, CONTRACT, LAW OR EQUITY) RELATING TO THIS AGREEMENT OR ANY OTHER LOAN DOCUMENT AGAINST THE BORROWER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10.02</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10.15</w:t>
      </w:r>
      <w:r>
        <w:rPr>
          <w:rFonts w:ascii="Times New Roman" w:hAnsi="Times New Roman"/>
          <w:sz w:val="20"/>
        </w:rPr>
        <w:t xml:space="preserve"> </w:t>
      </w:r>
      <w:r>
        <w:rPr>
          <w:rFonts w:ascii="Times New Roman" w:hAnsi="Times New Roman"/>
          <w:b/>
          <w:sz w:val="20"/>
        </w:rPr>
        <w:t>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b/>
          <w:sz w:val="20"/>
        </w:rPr>
        <w:t>10.16</w:t>
      </w:r>
      <w:r>
        <w:rPr>
          <w:rFonts w:ascii="Times New Roman" w:hAnsi="Times New Roman"/>
          <w:sz w:val="20"/>
        </w:rPr>
        <w:t xml:space="preserve"> </w:t>
      </w:r>
      <w:r>
        <w:rPr>
          <w:rFonts w:ascii="Times New Roman" w:hAnsi="Times New Roman"/>
          <w:b/>
          <w:sz w:val="20"/>
        </w:rPr>
        <w:t>USA PATRIOT Act Notice.</w:t>
      </w:r>
      <w:r>
        <w:rPr>
          <w:rFonts w:ascii="Times New Roman" w:hAnsi="Times New Roman"/>
          <w:sz w:val="20"/>
        </w:rPr>
        <w:t xml:space="preserve">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b/>
          <w:sz w:val="20"/>
        </w:rPr>
        <w:t>10.17</w:t>
      </w:r>
      <w:r>
        <w:rPr>
          <w:rFonts w:ascii="Times New Roman" w:hAnsi="Times New Roman"/>
          <w:sz w:val="20"/>
        </w:rPr>
        <w:t xml:space="preserve"> </w:t>
      </w:r>
      <w:r>
        <w:rPr>
          <w:rFonts w:ascii="Times New Roman" w:hAnsi="Times New Roman"/>
          <w:b/>
          <w:sz w:val="20"/>
        </w:rPr>
        <w:t>Time of the Essence.</w:t>
      </w:r>
      <w:r>
        <w:rPr>
          <w:rFonts w:ascii="Times New Roman" w:hAnsi="Times New Roman"/>
          <w:sz w:val="20"/>
        </w:rPr>
        <w:t xml:space="preserve"> Time is of the essence of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10.18</w:t>
      </w:r>
      <w:r>
        <w:rPr>
          <w:rFonts w:ascii="Times New Roman" w:hAnsi="Times New Roman"/>
          <w:sz w:val="20"/>
        </w:rPr>
        <w:t xml:space="preserve"> </w:t>
      </w:r>
      <w:r>
        <w:rPr>
          <w:rFonts w:ascii="Times New Roman" w:hAnsi="Times New Roman"/>
          <w:b/>
          <w:sz w:val="20"/>
        </w:rPr>
        <w:t>No Advisory or Fiduciary Responsibility.</w:t>
      </w:r>
      <w:r>
        <w:rPr>
          <w:rFonts w:ascii="Times New Roman" w:hAnsi="Times New Roman"/>
          <w:sz w:val="20"/>
        </w:rPr>
        <w:t xml:space="preserve">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 nor any Lender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any Arranger, nor any Lender has any obligation to disclose any of such interests to the Borrower or its Affiliates. To the fullest extent permitted by Law, the Borrower hereby waives and releases any claims that it may have against the Administrative Agent, any Arranger or any Lender with respect to any breach or alleged breach of agency or fiduciary duty in connection with any aspect of any transaction contemplated hereby. </w:t>
      </w:r>
    </w:p>
    <w:p>
      <w:pPr>
        <w:pStyle w:val="TextBody"/>
        <w:bidi w:val="0"/>
        <w:spacing w:before="240" w:after="0"/>
        <w:jc w:val="left"/>
        <w:rPr>
          <w:rFonts w:ascii="Times New Roman" w:hAnsi="Times New Roman"/>
          <w:sz w:val="20"/>
        </w:rPr>
      </w:pPr>
      <w:r>
        <w:rPr>
          <w:rFonts w:ascii="Times New Roman" w:hAnsi="Times New Roman"/>
          <w:b/>
          <w:sz w:val="20"/>
        </w:rPr>
        <w:t>10.19</w:t>
      </w:r>
      <w:r>
        <w:rPr>
          <w:rFonts w:ascii="Times New Roman" w:hAnsi="Times New Roman"/>
          <w:sz w:val="20"/>
        </w:rPr>
        <w:t xml:space="preserve"> </w:t>
      </w:r>
      <w:r>
        <w:rPr>
          <w:rFonts w:ascii="Times New Roman" w:hAnsi="Times New Roman"/>
          <w:b/>
          <w:sz w:val="20"/>
        </w:rPr>
        <w:t>Electronic Execution of Assignments and Certain Other Documents.</w:t>
      </w:r>
      <w:r>
        <w:rPr>
          <w:rFonts w:ascii="Times New Roman" w:hAnsi="Times New Roman"/>
          <w:sz w:val="20"/>
        </w:rPr>
        <w:t xml:space="preserve"> This Agreement, any Loan Document and any other Communication, including Communications required to be in writing, may be in the form of an Electronic Record and may be executed using Electronic Signatures. Each of the Loan Parties and each of the Administrative Agent and the Lender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hAnsi="Times New Roman"/>
          <w:sz w:val="20"/>
          <w:u w:val="single"/>
        </w:rPr>
        <w:t>Electronic Copy</w:t>
      </w:r>
      <w:r>
        <w:rPr>
          <w:rFonts w:ascii="Times New Roman" w:hAnsi="Times New Roman"/>
          <w:sz w:val="20"/>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the L/C Issuers nor the Swing Line Lender is under any obligation to accept an Electronic Signature in any form or in any format unless expressly agreed to by such Person pursuant to procedures approved by it; provided, further, without limiting the foregoing, (a) to the extent the Administrative Agent, any L/C Issuer and/or the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Times New Roman" w:hAnsi="Times New Roman"/>
          <w:sz w:val="20"/>
          <w:u w:val="single"/>
        </w:rPr>
        <w:t>Electronic Record</w:t>
      </w:r>
      <w:r>
        <w:rPr>
          <w:rFonts w:ascii="Times New Roman" w:hAnsi="Times New Roman"/>
          <w:sz w:val="20"/>
        </w:rPr>
        <w:t>” and “</w:t>
      </w:r>
      <w:r>
        <w:rPr>
          <w:rFonts w:ascii="Times New Roman" w:hAnsi="Times New Roman"/>
          <w:sz w:val="20"/>
          <w:u w:val="single"/>
        </w:rPr>
        <w:t>Electronic Signature</w:t>
      </w:r>
      <w:r>
        <w:rPr>
          <w:rFonts w:ascii="Times New Roman" w:hAnsi="Times New Roman"/>
          <w:sz w:val="20"/>
        </w:rPr>
        <w:t xml:space="preserve">” shall have the meanings assigned to them, respectively, by 15 USC §7006, as it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Administrative Agent, the L/C Issuers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 </w:t>
      </w:r>
    </w:p>
    <w:p>
      <w:pPr>
        <w:pStyle w:val="TextBody"/>
        <w:bidi w:val="0"/>
        <w:spacing w:before="240" w:after="0"/>
        <w:jc w:val="left"/>
        <w:rPr>
          <w:rFonts w:ascii="Times New Roman" w:hAnsi="Times New Roman"/>
          <w:sz w:val="20"/>
        </w:rPr>
      </w:pPr>
      <w:r>
        <w:rPr>
          <w:rFonts w:ascii="Times New Roman" w:hAnsi="Times New Roman"/>
          <w:sz w:val="20"/>
        </w:rPr>
        <w:t xml:space="preserve">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b/>
          <w:sz w:val="20"/>
        </w:rPr>
        <w:t>10.20</w:t>
      </w:r>
      <w:r>
        <w:rPr>
          <w:rFonts w:ascii="Times New Roman" w:hAnsi="Times New Roman"/>
          <w:sz w:val="20"/>
        </w:rPr>
        <w:t xml:space="preserve"> </w:t>
      </w:r>
      <w:r>
        <w:rPr>
          <w:rFonts w:ascii="Times New Roman" w:hAnsi="Times New Roman"/>
          <w:b/>
          <w:sz w:val="20"/>
        </w:rPr>
        <w:t>Keepwell.</w:t>
      </w:r>
      <w:r>
        <w:rPr>
          <w:rFonts w:ascii="Times New Roman" w:hAnsi="Times New Roman"/>
          <w:sz w:val="20"/>
        </w:rPr>
        <w:t xml:space="preserve"> Each Loan Party that is a Qualified ECP Guarantor at the time the Subsidiary Guaranty or the grant of the security interest under the Loan Documents, in each case, by any Loan Party, becomes effective with respect to any Swap Obligation, hereby jointly and severally, absolutely, unconditionally and irrevocably undertakes to provide such funds or other support to each Loan Party with respect to such Swap Obligation as may be needed by such Loan Party from time to time to honor all of its obligations under the Subsidiary Guaranty and the other Loan Documents in respect of such Swap Obligation (but, in each case, only up to the maximum amount of such liability that can be hereby incurred without rendering such Qualified ECP Guarantor’s obligations and undertakings under the Subsidiary Guaranty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Loan Party for all purposes of the Commodity Exchange Act. </w:t>
      </w:r>
    </w:p>
    <w:p>
      <w:pPr>
        <w:pStyle w:val="TextBody"/>
        <w:bidi w:val="0"/>
        <w:spacing w:before="240" w:after="0"/>
        <w:jc w:val="left"/>
        <w:rPr>
          <w:rFonts w:ascii="Times New Roman" w:hAnsi="Times New Roman"/>
          <w:sz w:val="20"/>
        </w:rPr>
      </w:pPr>
      <w:r>
        <w:rPr>
          <w:rFonts w:ascii="Times New Roman" w:hAnsi="Times New Roman"/>
          <w:b/>
          <w:sz w:val="20"/>
        </w:rPr>
        <w:t>10.21</w:t>
      </w:r>
      <w:r>
        <w:rPr>
          <w:rFonts w:ascii="Times New Roman" w:hAnsi="Times New Roman"/>
          <w:sz w:val="20"/>
        </w:rPr>
        <w:t xml:space="preserve"> </w:t>
      </w:r>
      <w:r>
        <w:rPr>
          <w:rFonts w:ascii="Times New Roman" w:hAnsi="Times New Roman"/>
          <w:b/>
          <w:sz w:val="20"/>
        </w:rPr>
        <w:t>Acknowledgement and Consent to Bail-In of Affected Financial Institutions</w:t>
      </w:r>
      <w:r>
        <w:rPr>
          <w:rFonts w:ascii="Times New Roman" w:hAnsi="Times New Roman"/>
          <w:sz w:val="20"/>
        </w:rPr>
        <w:t xml:space="preserve">. Solely to the extent any Lender or any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any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or L/C Issuer that is an Affected Financial Institution;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b/>
          <w:sz w:val="20"/>
        </w:rPr>
        <w:t>10.22</w:t>
      </w:r>
      <w:r>
        <w:rPr>
          <w:rFonts w:ascii="Times New Roman" w:hAnsi="Times New Roman"/>
          <w:sz w:val="20"/>
        </w:rPr>
        <w:t xml:space="preserve"> </w:t>
      </w:r>
      <w:r>
        <w:rPr>
          <w:rFonts w:ascii="Times New Roman" w:hAnsi="Times New Roman"/>
          <w:b/>
          <w:sz w:val="20"/>
        </w:rPr>
        <w:t>Acknowledgement Regarding Any Supported QFCs</w:t>
      </w:r>
      <w:r>
        <w:rPr>
          <w:rFonts w:ascii="Times New Roman" w:hAnsi="Times New Roman"/>
          <w:sz w:val="20"/>
        </w:rPr>
        <w:t>. To the extent that the Loan Documents provide support, through a guarantee or otherwise, for any Swap Contract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10.22</w:t>
      </w:r>
      <w:r>
        <w:rPr>
          <w:rFonts w:ascii="Times New Roman" w:hAnsi="Times New Roman"/>
          <w:sz w:val="20"/>
        </w:rPr>
        <w:t xml:space="preserve">, the following terms have the following meanings: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QFC” has the meaning assigned to the term “qualified financial contract” in, and shall be interpreted in accordance with, 12 U.S.C. 5390(c)(8)(D).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 WITNESS WHEREOF</w:t>
      </w:r>
      <w:r>
        <w:rPr>
          <w:rFonts w:ascii="Times New Roman" w:hAnsi="Times New Roman"/>
          <w:sz w:val="20"/>
        </w:rPr>
        <w:t xml:space="preserve">, the parties hereto have caused this Agreement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b/>
              </w:rPr>
              <w:t>INTEGRA LIFESCIENCES HOLDINGS CORPORATION,</w:t>
            </w:r>
            <w:r>
              <w:rPr/>
              <w:t xml:space="preserve"> a Delaware corporation, as the Borrower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Lea Knight</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Lea Knight</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67"/>
        <w:gridCol w:w="63"/>
        <w:gridCol w:w="3552"/>
      </w:tblGrid>
      <w:tr>
        <w:trPr/>
        <w:tc>
          <w:tcPr>
            <w:tcW w:w="467"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BANK OF AMERICA, N.A.,</w:t>
            </w:r>
            <w:r>
              <w:rPr/>
              <w:t xml:space="preserve"> as</w:t>
            </w:r>
          </w:p>
        </w:tc>
      </w:tr>
      <w:tr>
        <w:trPr/>
        <w:tc>
          <w:tcPr>
            <w:tcW w:w="4082" w:type="dxa"/>
            <w:gridSpan w:val="3"/>
            <w:tcBorders/>
          </w:tcPr>
          <w:p>
            <w:pPr>
              <w:pStyle w:val="TableContents"/>
              <w:bidi w:val="0"/>
              <w:spacing w:before="0" w:after="283"/>
              <w:jc w:val="left"/>
              <w:rPr/>
            </w:pPr>
            <w:r>
              <w:rPr/>
              <w:t>Administrative Agent</w:t>
            </w:r>
          </w:p>
        </w:tc>
      </w:tr>
      <w:tr>
        <w:trPr>
          <w:trHeight w:val="240" w:hRule="atLeast"/>
        </w:trPr>
        <w:tc>
          <w:tcPr>
            <w:tcW w:w="467" w:type="dxa"/>
            <w:tcBorders/>
            <w:vAlign w:val="center"/>
          </w:tcPr>
          <w:p>
            <w:pPr>
              <w:pStyle w:val="TableContents"/>
              <w:bidi w:val="0"/>
              <w:spacing w:before="0" w:after="283"/>
              <w:jc w:val="left"/>
              <w:rPr>
                <w:sz w:val="4"/>
                <w:szCs w:val="4"/>
              </w:rPr>
            </w:pPr>
            <w:r>
              <w:rPr>
                <w:sz w:val="4"/>
                <w:szCs w:val="4"/>
              </w:rPr>
            </w:r>
          </w:p>
        </w:tc>
        <w:tc>
          <w:tcPr>
            <w:tcW w:w="3615" w:type="dxa"/>
            <w:gridSpan w:val="2"/>
            <w:tcBorders/>
            <w:vAlign w:val="center"/>
          </w:tcPr>
          <w:p>
            <w:pPr>
              <w:pStyle w:val="TableContents"/>
              <w:bidi w:val="0"/>
              <w:spacing w:before="0" w:after="283"/>
              <w:jc w:val="left"/>
              <w:rPr>
                <w:sz w:val="4"/>
                <w:szCs w:val="4"/>
              </w:rPr>
            </w:pPr>
            <w:r>
              <w:rPr>
                <w:sz w:val="4"/>
                <w:szCs w:val="4"/>
              </w:rPr>
            </w:r>
          </w:p>
        </w:tc>
      </w:tr>
      <w:tr>
        <w:trPr/>
        <w:tc>
          <w:tcPr>
            <w:tcW w:w="467" w:type="dxa"/>
            <w:tcBorders/>
            <w:vAlign w:val="bottom"/>
          </w:tcPr>
          <w:p>
            <w:pPr>
              <w:pStyle w:val="TableContents"/>
              <w:bidi w:val="0"/>
              <w:spacing w:before="0" w:after="283"/>
              <w:jc w:val="left"/>
              <w:rPr/>
            </w:pPr>
            <w:r>
              <w:rPr/>
              <w:t>By:</w:t>
            </w:r>
          </w:p>
        </w:tc>
        <w:tc>
          <w:tcPr>
            <w:tcW w:w="63" w:type="dxa"/>
            <w:tcBorders/>
            <w:vAlign w:val="bottom"/>
          </w:tcPr>
          <w:p>
            <w:pPr>
              <w:pStyle w:val="TableContents"/>
              <w:bidi w:val="0"/>
              <w:spacing w:before="0" w:after="283"/>
              <w:jc w:val="left"/>
              <w:rPr/>
            </w:pPr>
            <w:r>
              <w:rPr/>
              <w:t> </w:t>
            </w:r>
          </w:p>
        </w:tc>
        <w:tc>
          <w:tcPr>
            <w:tcW w:w="355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Paley Chen</w:t>
            </w:r>
          </w:p>
        </w:tc>
      </w:tr>
      <w:tr>
        <w:trPr/>
        <w:tc>
          <w:tcPr>
            <w:tcW w:w="4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3552" w:type="dxa"/>
            <w:tcBorders/>
            <w:vAlign w:val="bottom"/>
          </w:tcPr>
          <w:p>
            <w:pPr>
              <w:pStyle w:val="TableContents"/>
              <w:bidi w:val="0"/>
              <w:spacing w:before="0" w:after="283"/>
              <w:jc w:val="left"/>
              <w:rPr/>
            </w:pPr>
            <w:r>
              <w:rPr/>
              <w:t>Name: Paley Chen</w:t>
            </w:r>
          </w:p>
        </w:tc>
      </w:tr>
      <w:tr>
        <w:trPr/>
        <w:tc>
          <w:tcPr>
            <w:tcW w:w="4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3552" w:type="dxa"/>
            <w:tcBorders/>
            <w:vAlign w:val="bottom"/>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BANK OF AMERICA, N.A.,</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 L/C Issuer and Swing Line Lender</w:t>
            </w:r>
          </w:p>
        </w:tc>
      </w:tr>
      <w:tr>
        <w:trPr>
          <w:trHeight w:val="240" w:hRule="atLeast"/>
        </w:trPr>
        <w:tc>
          <w:tcPr>
            <w:tcW w:w="467" w:type="dxa"/>
            <w:tcBorders/>
            <w:vAlign w:val="center"/>
          </w:tcPr>
          <w:p>
            <w:pPr>
              <w:pStyle w:val="TableContents"/>
              <w:bidi w:val="0"/>
              <w:spacing w:before="0" w:after="283"/>
              <w:jc w:val="left"/>
              <w:rPr>
                <w:sz w:val="4"/>
                <w:szCs w:val="4"/>
              </w:rPr>
            </w:pPr>
            <w:r>
              <w:rPr>
                <w:sz w:val="4"/>
                <w:szCs w:val="4"/>
              </w:rPr>
            </w:r>
          </w:p>
        </w:tc>
        <w:tc>
          <w:tcPr>
            <w:tcW w:w="3615" w:type="dxa"/>
            <w:gridSpan w:val="2"/>
            <w:tcBorders/>
            <w:vAlign w:val="center"/>
          </w:tcPr>
          <w:p>
            <w:pPr>
              <w:pStyle w:val="TableContents"/>
              <w:bidi w:val="0"/>
              <w:spacing w:before="0" w:after="283"/>
              <w:jc w:val="left"/>
              <w:rPr>
                <w:sz w:val="4"/>
                <w:szCs w:val="4"/>
              </w:rPr>
            </w:pPr>
            <w:r>
              <w:rPr>
                <w:sz w:val="4"/>
                <w:szCs w:val="4"/>
              </w:rPr>
            </w:r>
          </w:p>
        </w:tc>
      </w:tr>
      <w:tr>
        <w:trPr/>
        <w:tc>
          <w:tcPr>
            <w:tcW w:w="467" w:type="dxa"/>
            <w:tcBorders/>
            <w:vAlign w:val="bottom"/>
          </w:tcPr>
          <w:p>
            <w:pPr>
              <w:pStyle w:val="TableContents"/>
              <w:bidi w:val="0"/>
              <w:spacing w:before="0" w:after="283"/>
              <w:jc w:val="left"/>
              <w:rPr/>
            </w:pPr>
            <w:r>
              <w:rPr/>
              <w:t>By:</w:t>
            </w:r>
          </w:p>
        </w:tc>
        <w:tc>
          <w:tcPr>
            <w:tcW w:w="63" w:type="dxa"/>
            <w:tcBorders/>
            <w:vAlign w:val="bottom"/>
          </w:tcPr>
          <w:p>
            <w:pPr>
              <w:pStyle w:val="TableContents"/>
              <w:bidi w:val="0"/>
              <w:spacing w:before="0" w:after="283"/>
              <w:jc w:val="left"/>
              <w:rPr/>
            </w:pPr>
            <w:r>
              <w:rPr/>
              <w:t> </w:t>
            </w:r>
          </w:p>
        </w:tc>
        <w:tc>
          <w:tcPr>
            <w:tcW w:w="355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Tyler Morgan</w:t>
            </w:r>
          </w:p>
        </w:tc>
      </w:tr>
      <w:tr>
        <w:trPr/>
        <w:tc>
          <w:tcPr>
            <w:tcW w:w="4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3552" w:type="dxa"/>
            <w:tcBorders/>
            <w:vAlign w:val="bottom"/>
          </w:tcPr>
          <w:p>
            <w:pPr>
              <w:pStyle w:val="TableContents"/>
              <w:bidi w:val="0"/>
              <w:spacing w:before="0" w:after="283"/>
              <w:jc w:val="left"/>
              <w:rPr/>
            </w:pPr>
            <w:r>
              <w:rPr/>
              <w:t>Name: Tyler Morgan</w:t>
            </w:r>
          </w:p>
        </w:tc>
      </w:tr>
      <w:tr>
        <w:trPr/>
        <w:tc>
          <w:tcPr>
            <w:tcW w:w="4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3552"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JPMORGAN CHASE BANK, N.A.,</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 and L/C Issuer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Helen D. Davis</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Helen D. Davis</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Executive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CITIBANK, N.A.,</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Ciok</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Kevin Ciok</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CITIZENS BANK, N.A.,</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Benjamin Sileo</w:t>
            </w:r>
          </w:p>
        </w:tc>
      </w:tr>
      <w:tr>
        <w:trPr/>
        <w:tc>
          <w:tcPr>
            <w:tcW w:w="384"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Name: Benjamin Sileo</w:t>
            </w:r>
          </w:p>
        </w:tc>
      </w:tr>
      <w:tr>
        <w:trPr/>
        <w:tc>
          <w:tcPr>
            <w:tcW w:w="384"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Title: SVP</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DNB CAPITAL, LLC</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Dania Hinedi</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Dania Hinedi</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Senior Vice President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 Douglas</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Bret Douglas</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PNC BANK, NATIONAL ASSOCIATION</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Zingaro</w:t>
            </w:r>
          </w:p>
        </w:tc>
      </w:tr>
      <w:tr>
        <w:trPr/>
        <w:tc>
          <w:tcPr>
            <w:tcW w:w="4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vAlign w:val="bottom"/>
          </w:tcPr>
          <w:p>
            <w:pPr>
              <w:pStyle w:val="TableContents"/>
              <w:bidi w:val="0"/>
              <w:spacing w:before="0" w:after="283"/>
              <w:jc w:val="left"/>
              <w:rPr/>
            </w:pPr>
            <w:r>
              <w:rPr/>
              <w:t>Name: Robert Zingaro</w:t>
            </w:r>
          </w:p>
        </w:tc>
      </w:tr>
      <w:tr>
        <w:trPr/>
        <w:tc>
          <w:tcPr>
            <w:tcW w:w="4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vAlign w:val="bottom"/>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TRUIST BANK,</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Anton Brykalin</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Name: Anton Brykalin</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CAPITAL ONE, NATIONAL ASSOCIATION,</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Warash</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Chris Warash</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Duly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GOLDMAN SACHS BANK USA</w:t>
            </w:r>
            <w:r>
              <w:rPr>
                <w:rFonts w:ascii="Times New Roman" w:hAnsi="Times New Roman"/>
                <w:sz w:val="20"/>
              </w:rPr>
              <w:t>,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Manning</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Thomas Manning</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WELLS FARGO BANK, NATIONAL</w:t>
            </w:r>
          </w:p>
          <w:p>
            <w:pPr>
              <w:pStyle w:val="TableContents"/>
              <w:bidi w:val="0"/>
              <w:spacing w:before="0" w:after="0"/>
              <w:jc w:val="left"/>
              <w:rPr>
                <w:rFonts w:ascii="Times New Roman" w:hAnsi="Times New Roman"/>
                <w:sz w:val="20"/>
              </w:rPr>
            </w:pPr>
            <w:r>
              <w:rPr>
                <w:rFonts w:ascii="Times New Roman" w:hAnsi="Times New Roman"/>
                <w:b/>
                <w:sz w:val="20"/>
              </w:rPr>
              <w:t>ASSOCIATION</w:t>
            </w:r>
            <w:r>
              <w:rPr>
                <w:rFonts w:ascii="Times New Roman" w:hAnsi="Times New Roman"/>
                <w:sz w:val="20"/>
              </w:rPr>
              <w:t>,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Andrea Chen</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Name: Andrea Chen</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BMO BANK N.A.,</w:t>
            </w:r>
            <w:r>
              <w:rPr/>
              <w:t xml:space="preserve"> as</w:t>
            </w:r>
          </w:p>
        </w:tc>
      </w:tr>
      <w:tr>
        <w:trPr/>
        <w:tc>
          <w:tcPr>
            <w:tcW w:w="4082" w:type="dxa"/>
            <w:gridSpan w:val="3"/>
            <w:tcBorders/>
          </w:tcPr>
          <w:p>
            <w:pPr>
              <w:pStyle w:val="TableContents"/>
              <w:bidi w:val="0"/>
              <w:spacing w:before="0" w:after="283"/>
              <w:jc w:val="left"/>
              <w:rPr/>
            </w:pPr>
            <w:r>
              <w:rPr/>
              <w:t>a Lender</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Shifrin</w:t>
            </w:r>
          </w:p>
        </w:tc>
      </w:tr>
      <w:tr>
        <w:trPr/>
        <w:tc>
          <w:tcPr>
            <w:tcW w:w="38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283"/>
              <w:jc w:val="left"/>
              <w:rPr/>
            </w:pPr>
            <w:r>
              <w:rPr/>
              <w:t>Name: Adam Shifrin</w:t>
            </w:r>
          </w:p>
        </w:tc>
      </w:tr>
      <w:tr>
        <w:trPr/>
        <w:tc>
          <w:tcPr>
            <w:tcW w:w="38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283"/>
              <w:jc w:val="left"/>
              <w:rPr/>
            </w:pPr>
            <w:r>
              <w:rPr/>
              <w:t>Title: Director, Commercial Banking</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SANTANDER BANK, N.A.,</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Min</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Joseph Min</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THE HUNTINGTON NATIONAL BANK,</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D. Hricovsky</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Joseph D. Hricovsky</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MORGAN STANLEY BANK, N.A.,</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King</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Michael King</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MUFG BANK, LTD,</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Jamie Craig</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Jamie Craig</w:t>
            </w:r>
          </w:p>
        </w:tc>
      </w:tr>
      <w:tr>
        <w:trPr/>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Pinnacle Bank, d/b/a SYNOVUS BANK,</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Williams</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Alex Williams</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THE BANK OF NOVA SCOTIA,</w:t>
            </w:r>
            <w:r>
              <w:rPr>
                <w:rFonts w:ascii="Times New Roman" w:hAnsi="Times New Roman"/>
                <w:sz w:val="20"/>
              </w:rPr>
              <w:t xml:space="preserve"> as</w:t>
            </w:r>
          </w:p>
          <w:p>
            <w:pPr>
              <w:pStyle w:val="TableContents"/>
              <w:bidi w:val="0"/>
              <w:spacing w:before="0" w:after="20"/>
              <w:jc w:val="left"/>
              <w:rPr>
                <w:rFonts w:ascii="Times New Roman" w:hAnsi="Times New Roman"/>
                <w:sz w:val="20"/>
              </w:rPr>
            </w:pPr>
            <w:r>
              <w:rPr>
                <w:rFonts w:ascii="Times New Roman" w:hAnsi="Times New Roman"/>
                <w:sz w:val="20"/>
              </w:rPr>
              <w:t>a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Iain Stewart</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Iain Stewart</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p>
    <w:p>
      <w:pPr>
        <w:pStyle w:val="TextBody"/>
        <w:bidi w:val="0"/>
        <w:spacing w:before="0" w:after="0"/>
        <w:jc w:val="right"/>
        <w:rPr>
          <w:rFonts w:ascii="Times New Roman" w:hAnsi="Times New Roman"/>
          <w:sz w:val="20"/>
        </w:rPr>
      </w:pPr>
      <w:bookmarkStart w:id="6" w:name="d142199dex102.htm"/>
      <w:bookmarkStart w:id="7" w:name="ksd142199dex102"/>
      <w:bookmarkEnd w:id="6"/>
      <w:bookmarkEnd w:id="7"/>
      <w:r>
        <w:rPr>
          <w:rFonts w:ascii="Times New Roman" w:hAnsi="Times New Roman"/>
          <w:sz w:val="20"/>
        </w:rPr>
        <w:t xml:space="preserve">Exhibit 10.2 </w:t>
      </w:r>
      <w:r>
        <w:br w:type="page"/>
      </w:r>
    </w:p>
    <w:p>
      <w:pPr>
        <w:pStyle w:val="TextBody"/>
        <w:bidi w:val="0"/>
        <w:spacing w:before="0" w:after="0"/>
        <w:jc w:val="left"/>
        <w:rPr>
          <w:rFonts w:ascii="Times New Roman" w:hAnsi="Times New Roman"/>
          <w:b/>
          <w:sz w:val="22"/>
        </w:rPr>
      </w:pPr>
      <w:r>
        <w:rPr>
          <w:rFonts w:ascii="Times New Roman" w:hAnsi="Times New Roman"/>
          <w:b/>
          <w:sz w:val="22"/>
        </w:rPr>
        <w:t xml:space="preserve">RATIFICATION AGREEMENT </w:t>
      </w:r>
    </w:p>
    <w:p>
      <w:pPr>
        <w:pStyle w:val="TextBody"/>
        <w:bidi w:val="0"/>
        <w:spacing w:before="240" w:after="0"/>
        <w:jc w:val="left"/>
        <w:rPr>
          <w:rFonts w:ascii="Times New Roman" w:hAnsi="Times New Roman"/>
          <w:sz w:val="20"/>
        </w:rPr>
      </w:pPr>
      <w:r>
        <w:rPr>
          <w:rFonts w:ascii="Times New Roman" w:hAnsi="Times New Roman"/>
          <w:sz w:val="20"/>
        </w:rPr>
        <w:t>RATIFICATION AGREEMENT dated as of October 19, 2026 (as amended, supplemented or otherwise modified from time to time, this “</w:t>
      </w:r>
      <w:r>
        <w:rPr>
          <w:rFonts w:ascii="Times New Roman" w:hAnsi="Times New Roman"/>
          <w:b/>
          <w:i/>
          <w:sz w:val="20"/>
        </w:rPr>
        <w:t>Ratification Agreement</w:t>
      </w:r>
      <w:r>
        <w:rPr>
          <w:rFonts w:ascii="Times New Roman" w:hAnsi="Times New Roman"/>
          <w:sz w:val="20"/>
        </w:rPr>
        <w:t>”), among Integra LifeSciences Holdings Corporation, a Delaware corporation (the “</w:t>
      </w:r>
      <w:r>
        <w:rPr>
          <w:rFonts w:ascii="Times New Roman" w:hAnsi="Times New Roman"/>
          <w:b/>
          <w:i/>
          <w:sz w:val="20"/>
        </w:rPr>
        <w:t>Borrower</w:t>
      </w:r>
      <w:r>
        <w:rPr>
          <w:rFonts w:ascii="Times New Roman" w:hAnsi="Times New Roman"/>
          <w:sz w:val="20"/>
        </w:rPr>
        <w:t>”), the subsidiaries identified on the signature pages hereto (together with the Borrower, the “</w:t>
      </w:r>
      <w:r>
        <w:rPr>
          <w:rFonts w:ascii="Times New Roman" w:hAnsi="Times New Roman"/>
          <w:b/>
          <w:i/>
          <w:sz w:val="20"/>
        </w:rPr>
        <w:t>Reaffirming Parties</w:t>
      </w:r>
      <w:r>
        <w:rPr>
          <w:rFonts w:ascii="Times New Roman" w:hAnsi="Times New Roman"/>
          <w:sz w:val="20"/>
        </w:rPr>
        <w:t>”) and Bank of America, N.A., as administrative agent and collateral agent under the Credit Agreement referred to below (in such capacity, including any successor thereto, the “</w:t>
      </w:r>
      <w:r>
        <w:rPr>
          <w:rFonts w:ascii="Times New Roman" w:hAnsi="Times New Roman"/>
          <w:b/>
          <w:i/>
          <w:sz w:val="20"/>
        </w:rPr>
        <w:t>Administrative Agent</w:t>
      </w:r>
      <w:r>
        <w:rPr>
          <w:rFonts w:ascii="Times New Roman" w:hAnsi="Times New Roman"/>
          <w:sz w:val="20"/>
        </w:rPr>
        <w:t xml:space="preserve">”). Terms defined in the Credit Agreement (as defined below) and not otherwise defined herein have, as used herein, the respective meanings provided for therein. </w:t>
      </w:r>
    </w:p>
    <w:p>
      <w:pPr>
        <w:pStyle w:val="TextBody"/>
        <w:bidi w:val="0"/>
        <w:spacing w:before="240" w:after="0"/>
        <w:jc w:val="left"/>
        <w:rPr>
          <w:rFonts w:ascii="Times New Roman" w:hAnsi="Times New Roman"/>
          <w:sz w:val="20"/>
        </w:rPr>
      </w:pPr>
      <w:r>
        <w:rPr>
          <w:rFonts w:ascii="Times New Roman" w:hAnsi="Times New Roman"/>
          <w:sz w:val="20"/>
        </w:rPr>
        <w:t>WHEREAS, the Borrower, the lenders party thereto and Bank of America, N.A., as administrative agent and collateral agent, are parties to that certain Seventh Amended and Restated Credit Agreement, dated as of March 24, 2023 (as amended by Amendment No. 1, dated as of June 6, 2025 and as further amended, supplemented or modified from time to time prior to the date hereof, the “</w:t>
      </w:r>
      <w:r>
        <w:rPr>
          <w:rFonts w:ascii="Times New Roman" w:hAnsi="Times New Roman"/>
          <w:b/>
          <w:i/>
          <w:sz w:val="20"/>
        </w:rPr>
        <w:t>Existing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 the Lenders party thereto and the Administrative Agent have entered into the Amended and Restated Credit Agreement, dated as of the date hereof (as amended, supplemented or otherwise modified from time to time, the “</w:t>
      </w:r>
      <w:r>
        <w:rPr>
          <w:rFonts w:ascii="Times New Roman" w:hAnsi="Times New Roman"/>
          <w:b/>
          <w:i/>
          <w:sz w:val="20"/>
        </w:rPr>
        <w:t>Credit Agreement</w:t>
      </w:r>
      <w:r>
        <w:rPr>
          <w:rFonts w:ascii="Times New Roman" w:hAnsi="Times New Roman"/>
          <w:sz w:val="20"/>
        </w:rPr>
        <w:t xml:space="preserve">”), which amends and restates the Existing Credit Agreement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Reaffirming Parties is a party to one or more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Lenders has agreed to extend credit to the Borrower subject to the terms and conditions set forth in the Credit Agreement and the obligations of each of the Lenders to extend such credit are conditioned upon, among other things, the execution and delivery of this Ratification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Loan Parties will derive substantial benefits from the extension of such credit to the Borrower and is willing to execute and deliver this Ratification Agreement in order to induce the Lenders to extend such credit.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and sufficiency of which are hereby acknowledged, the parties hereto agree as follows: </w:t>
      </w:r>
    </w:p>
    <w:p>
      <w:pPr>
        <w:pStyle w:val="TextBody"/>
        <w:bidi w:val="0"/>
        <w:spacing w:before="480" w:after="0"/>
        <w:jc w:val="center"/>
        <w:rPr>
          <w:rFonts w:ascii="Times New Roman" w:hAnsi="Times New Roman"/>
          <w:sz w:val="22"/>
        </w:rPr>
      </w:pPr>
      <w:r>
        <w:rPr>
          <w:rFonts w:ascii="Times New Roman" w:hAnsi="Times New Roman"/>
          <w:sz w:val="22"/>
        </w:rPr>
        <w:t xml:space="preserve">ARTICLE 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Reaffirmation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Reaffirmation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Reaffirming Parties (i) hereby acknowledges receipt of a copy of the Credit Agreement and consents to the Credit Agreement and the transactions contemplated thereby (including the Transactions), (ii) without limiting its obligations under, or the provisions of, the Subsidiary Guaranty, hereby confirms its respective guarantees, as applicable, under the Subsidiary Guaranty, (iii) without limiting its obligations under, or the provisions of, the Security Agreement or the Pledge Agreement, hereby confirms its respective assignments, pledges and grants of security interests, as applicable, under the Security Agreement, the Pledge Agreement and each of the other Loan Documents to which it is party, (iv) without limiting its obligations under, or the provisions of, any Loan Document,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hereby confirms that the obligations of the Borrower under the Credit Agreement are entitled to the benefits of the guarantees and the security interests set forth or created in the Subsidiary Guaranty, the Security Agreement, the Pledge Agreement and the other Loan Documents and constitute “Obligations,” “Guaranteed Obligations,” “Secured Obligations” or other similar terms, as applicable, for purposes thereof, (v) hereby agrees that, notwithstanding the effectiveness of the Credit Agreement and the Transactions, such guarantees, and pledges and grants of security interests, as applicable, shall continue to be in full force and effect and shall continue to apply to the Credit Agreement and to continue to inure to the benefit of the Lenders and the other Secured Parties, (vi) hereby ratifies and confirms its prior grant of Liens pursuant to the Loan Documents and that all Liens granted, conveyed, or assigned to the Administrative Agent by such Person pursuant to any Loan Document to which it is a party remain in full force and effect after giving effect to the Credit Agreement, are not released or reduced, and continue to secure full payment and performance of the obligations under the Credit Agreement and (vii) agrees that the Subsidiary Guaranty, the Security Agreement, the Pledge Agreement and the other Loan Documents to which it is a party are and shall continue to be in full force and effect, are hereby in all respects ratified and confirmed and that the terms and conditions thereof shall remain unchanged except as contemplated by this Ratification Agreement (such consents, confirmations and agreements, collectively, the “</w:t>
      </w:r>
      <w:r>
        <w:rPr>
          <w:rFonts w:ascii="Times New Roman" w:hAnsi="Times New Roman"/>
          <w:b/>
          <w:i/>
          <w:sz w:val="20"/>
        </w:rPr>
        <w:t>Reaffirmation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Reaffirming Parties further agrees to take any action required and reasonably requested by the Administrative Agent to ensure compliance by the Borrower with the provisions of Section 6.12 of the Credit Agreement and hereby reaffirms its obligations under each similar provision of each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Credit Agreement</w:t>
      </w:r>
      <w:r>
        <w:rPr>
          <w:rFonts w:ascii="Times New Roman" w:hAnsi="Times New Roman"/>
          <w:sz w:val="20"/>
        </w:rPr>
        <w:t xml:space="preserve">. As of the Closing Date, unless the context expressly requires otherwise, each reference to the Existing Credit Agreement or the defined terms in the Existing Credit Agreement in any Loan Document shall be deemed a reference to the Credit Agreement or such defined terms in the Credit Agreement, as applicable. </w:t>
      </w:r>
    </w:p>
    <w:p>
      <w:pPr>
        <w:pStyle w:val="TextBody"/>
        <w:bidi w:val="0"/>
        <w:spacing w:before="480" w:after="0"/>
        <w:jc w:val="center"/>
        <w:rPr>
          <w:rFonts w:ascii="Times New Roman" w:hAnsi="Times New Roman"/>
          <w:sz w:val="22"/>
        </w:rPr>
      </w:pPr>
      <w:r>
        <w:rPr>
          <w:rFonts w:ascii="Times New Roman" w:hAnsi="Times New Roman"/>
          <w:sz w:val="22"/>
        </w:rPr>
        <w:t xml:space="preserve">ARTICLE 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Reaffirming Party hereby represents and warrants to the Administrative Agent and each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Authority; Enforceability</w:t>
      </w:r>
      <w:r>
        <w:rPr>
          <w:rFonts w:ascii="Times New Roman" w:hAnsi="Times New Roman"/>
          <w:sz w:val="20"/>
        </w:rPr>
        <w:t xml:space="preserve">. This Ratification Agreement has been duly authorized, executed and delivered by it and constitutes its legal, valid and binding obligation of such Reaffirming Party, enforceable against it in accordance with its terms, subject to equitable principles and Debtor Relief Laws.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 Documents</w:t>
      </w:r>
      <w:r>
        <w:rPr>
          <w:rFonts w:ascii="Times New Roman" w:hAnsi="Times New Roman"/>
          <w:sz w:val="20"/>
        </w:rPr>
        <w:t xml:space="preserve">. The representations and warranties made by it and set forth in the other Loan Documents that are qualified by materiality are true and correct, and the representations and warranties that are not so qualified are true and correct in all material respects, in each case on and as of the date hereof (other than with respect to any representation and warranty that expressly relates to an earlier date, in which case such representation and warranty is true and correct in all material respects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2"/>
        </w:rPr>
      </w:pPr>
      <w:r>
        <w:rPr>
          <w:rFonts w:ascii="Times New Roman" w:hAnsi="Times New Roman"/>
          <w:sz w:val="22"/>
        </w:rPr>
        <w:t xml:space="preserve">ARTICLE 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Notices</w:t>
      </w:r>
      <w:r>
        <w:rPr>
          <w:rFonts w:ascii="Times New Roman" w:hAnsi="Times New Roman"/>
          <w:sz w:val="20"/>
        </w:rPr>
        <w:t xml:space="preserve">. All communications and notices hereunder shall be in writing and given as provided in Section 10.02 of the Credit Agreement. All communications and notices hereunder to any Reaffirming Party shall be given to it in care of the Borrower as provided in Section 10.02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Loan Document</w:t>
      </w:r>
      <w:r>
        <w:rPr>
          <w:rFonts w:ascii="Times New Roman" w:hAnsi="Times New Roman"/>
          <w:sz w:val="20"/>
        </w:rPr>
        <w:t xml:space="preserve">. This Ratification Agreement is a Loan Document executed pursuant to Section 4.01(a)(ii) of the Credit Agreement and shall (unless otherwise expressly indicated herein) be construed, administered and applied in accordance with the terms and provisions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Effectiveness; Counterparts</w:t>
      </w:r>
      <w:r>
        <w:rPr>
          <w:rFonts w:ascii="Times New Roman" w:hAnsi="Times New Roman"/>
          <w:sz w:val="20"/>
        </w:rPr>
        <w:t xml:space="preserve">. This Ratification Agreement may be executed in counterparts (and by different parties hereto in different counterparts), each of which shall constitute an original, but all of which when taken together shall constitute a single contract. This Ratification Agreement and the other Loan Documents and any separate letter agreements with respect to fees payable to the Administrative Agent or the L/C Issuers, constitute the entire contract among the parties relating to the subject matter hereof and supersede any and all previous agreements and understandings, oral or written, relating to the subject matter hereof. This Ratification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Ratification Agreement by telecopy, .pdf or other electronic imaging means shall be effective as delivery of a manually executed counterpart of this Ratification Agreement. Any signature to this Ratification Agreement may be delivered by telecopy, .pdf, electronic mail or any electronic signature complying with the U.S. federal ESIGN Act of 2000 or the New York Electronic Signature and Records Act or other transmission method any counterpart so delivered shall be deemed to have been duly and validly delivered and be valid and effective for all purposes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No Novation</w:t>
      </w:r>
      <w:r>
        <w:rPr>
          <w:rFonts w:ascii="Times New Roman" w:hAnsi="Times New Roman"/>
          <w:sz w:val="20"/>
        </w:rPr>
        <w:t xml:space="preserve">. This Ratification Agreement shall not extinguish the Obligations or Secured Obligations or discharge or release the priority of any Loan Document or any other security therefor. Nothing herein shall be construed as a substitution or novation of the Obligations, Secured Obligations or of any other obligations under any Loan Document, which shall remain in full force and effect. Nothing herein shall constitute a novation of the Credit Agreement or of any other Loan Document. Nothing in or implied by this Ratification Agreement or in any other document contemplated hereby shall be construed as a release or other discharge of the Borrower or any other Loan Party under any Loan Document from any of its obligations and liabilities thereunder. Each of the Credit Agreement and the other Loan Documents shall remain in full force and effect notwithstanding the execution and delivery of this Ratification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Governing Law; Jurisdiction; Consent to Service of Process; Waiver of Jury Trial</w:t>
      </w:r>
      <w:r>
        <w:rPr>
          <w:rFonts w:ascii="Times New Roman" w:hAnsi="Times New Roman"/>
          <w:sz w:val="20"/>
        </w:rPr>
        <w:t xml:space="preserve">. The governing law, submission to jurisdiction, waiver of venue, service of process and waiver of jury trial provisions set forth in Sections 10.14 and 10.15 of the Credit Agreement are hereby incorporated herein </w:t>
      </w:r>
      <w:r>
        <w:rPr>
          <w:rFonts w:ascii="Times New Roman" w:hAnsi="Times New Roman"/>
          <w:i/>
          <w:sz w:val="20"/>
        </w:rPr>
        <w:t>mutatis</w:t>
      </w:r>
      <w:r>
        <w:rPr>
          <w:rFonts w:ascii="Times New Roman" w:hAnsi="Times New Roman"/>
          <w:sz w:val="20"/>
        </w:rPr>
        <w:t xml:space="preserve"> </w:t>
      </w:r>
      <w:r>
        <w:rPr>
          <w:rFonts w:ascii="Times New Roman" w:hAnsi="Times New Roman"/>
          <w:i/>
          <w:sz w:val="20"/>
        </w:rPr>
        <w:t>mutandis</w:t>
      </w:r>
      <w:r>
        <w:rPr>
          <w:rFonts w:ascii="Times New Roman" w:hAnsi="Times New Roman"/>
          <w:sz w:val="20"/>
        </w:rPr>
        <w:t xml:space="preserve"> with all references to the “Agreement” therein being deemed references to this Ratification Agreement and all references to the “Borrower” therein being deemed references to the Reaffirming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Severability</w:t>
      </w:r>
      <w:r>
        <w:rPr>
          <w:rFonts w:ascii="Times New Roman" w:hAnsi="Times New Roman"/>
          <w:i/>
          <w:sz w:val="20"/>
        </w:rPr>
        <w:t xml:space="preserve">. </w:t>
      </w:r>
      <w:r>
        <w:rPr>
          <w:rFonts w:ascii="Times New Roman" w:hAnsi="Times New Roman"/>
          <w:sz w:val="20"/>
        </w:rPr>
        <w:t xml:space="preserve">Any provision of this Ratification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Headings</w:t>
      </w:r>
      <w:r>
        <w:rPr>
          <w:rFonts w:ascii="Times New Roman" w:hAnsi="Times New Roman"/>
          <w:i/>
          <w:sz w:val="20"/>
        </w:rPr>
        <w:t xml:space="preserve">. </w:t>
      </w:r>
      <w:r>
        <w:rPr>
          <w:rFonts w:ascii="Times New Roman" w:hAnsi="Times New Roman"/>
          <w:sz w:val="20"/>
        </w:rPr>
        <w:t xml:space="preserve">Article and Section headings used herein are for convenience of reference only, are not part of this Ratification Agreement and shall not affect the construction of, or be taken into consideration in interpreting, this Ratification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No Other Amendments; Confirmation</w:t>
      </w:r>
      <w:r>
        <w:rPr>
          <w:rFonts w:ascii="Times New Roman" w:hAnsi="Times New Roman"/>
          <w:sz w:val="20"/>
        </w:rPr>
        <w:t xml:space="preserve">. Except as expressly set forth herein, this Ratification Agreement shall not by implication or otherwise limit, impair, constitute a waiver of or otherwise affect the rights and remedies of the Lenders, the Administrative Agent or the other Secured Parties under the Credit Agreement or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executed and delivered this Ratification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INTEGRA LIFESCIENCES HOLDINGS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Timothy Swiss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 Treasurer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Ratification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
        <w:gridCol w:w="60"/>
        <w:gridCol w:w="3614"/>
      </w:tblGrid>
      <w:tr>
        <w:trPr/>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ACCLARENT, INC.,</w:t>
            </w:r>
          </w:p>
        </w:tc>
      </w:tr>
      <w:tr>
        <w:trPr/>
        <w:tc>
          <w:tcPr>
            <w:tcW w:w="4082" w:type="dxa"/>
            <w:gridSpan w:val="3"/>
            <w:tcBorders/>
          </w:tcPr>
          <w:p>
            <w:pPr>
              <w:pStyle w:val="TableContents"/>
              <w:bidi w:val="0"/>
              <w:spacing w:before="0" w:after="283"/>
              <w:jc w:val="left"/>
              <w:rPr/>
            </w:pPr>
            <w:r>
              <w:rPr/>
              <w:t>ACELL, INC.,</w:t>
            </w:r>
          </w:p>
        </w:tc>
      </w:tr>
      <w:tr>
        <w:trPr/>
        <w:tc>
          <w:tcPr>
            <w:tcW w:w="4082" w:type="dxa"/>
            <w:gridSpan w:val="3"/>
            <w:tcBorders/>
          </w:tcPr>
          <w:p>
            <w:pPr>
              <w:pStyle w:val="TableContents"/>
              <w:bidi w:val="0"/>
              <w:spacing w:before="0" w:after="283"/>
              <w:jc w:val="left"/>
              <w:rPr/>
            </w:pPr>
            <w:r>
              <w:rPr/>
              <w:t>CONFLUENT SURGICAL, INC.,</w:t>
            </w:r>
          </w:p>
        </w:tc>
      </w:tr>
      <w:tr>
        <w:trPr/>
        <w:tc>
          <w:tcPr>
            <w:tcW w:w="4082" w:type="dxa"/>
            <w:gridSpan w:val="3"/>
            <w:tcBorders/>
          </w:tcPr>
          <w:p>
            <w:pPr>
              <w:pStyle w:val="TableContents"/>
              <w:bidi w:val="0"/>
              <w:spacing w:before="0" w:after="283"/>
              <w:jc w:val="left"/>
              <w:rPr/>
            </w:pPr>
            <w:r>
              <w:rPr/>
              <w:t>ENDOSOLUTIONS, INC.,</w:t>
            </w:r>
          </w:p>
        </w:tc>
      </w:tr>
      <w:tr>
        <w:trPr/>
        <w:tc>
          <w:tcPr>
            <w:tcW w:w="4082" w:type="dxa"/>
            <w:gridSpan w:val="3"/>
            <w:tcBorders/>
          </w:tcPr>
          <w:p>
            <w:pPr>
              <w:pStyle w:val="TableContents"/>
              <w:bidi w:val="0"/>
              <w:spacing w:before="0" w:after="283"/>
              <w:jc w:val="left"/>
              <w:rPr/>
            </w:pPr>
            <w:r>
              <w:rPr/>
              <w:t>INTEGRA LIFESCIENCES PRODUCTION CORPORATION,</w:t>
            </w:r>
          </w:p>
        </w:tc>
      </w:tr>
      <w:tr>
        <w:trPr/>
        <w:tc>
          <w:tcPr>
            <w:tcW w:w="4082" w:type="dxa"/>
            <w:gridSpan w:val="3"/>
            <w:tcBorders/>
          </w:tcPr>
          <w:p>
            <w:pPr>
              <w:pStyle w:val="TableContents"/>
              <w:bidi w:val="0"/>
              <w:spacing w:before="0" w:after="283"/>
              <w:jc w:val="left"/>
              <w:rPr/>
            </w:pPr>
            <w:r>
              <w:rPr/>
              <w:t>INTEGRA NEUROSCIENCES (INTERNATIONAL), INC.,</w:t>
            </w:r>
          </w:p>
        </w:tc>
      </w:tr>
      <w:tr>
        <w:trPr/>
        <w:tc>
          <w:tcPr>
            <w:tcW w:w="4082" w:type="dxa"/>
            <w:gridSpan w:val="3"/>
            <w:tcBorders/>
          </w:tcPr>
          <w:p>
            <w:pPr>
              <w:pStyle w:val="TableContents"/>
              <w:bidi w:val="0"/>
              <w:spacing w:before="0" w:after="283"/>
              <w:jc w:val="left"/>
              <w:rPr/>
            </w:pPr>
            <w:r>
              <w:rPr/>
              <w:t>INTEGRA BURLINGTON MA, INC.,</w:t>
            </w:r>
          </w:p>
        </w:tc>
      </w:tr>
      <w:tr>
        <w:trPr/>
        <w:tc>
          <w:tcPr>
            <w:tcW w:w="4082" w:type="dxa"/>
            <w:gridSpan w:val="3"/>
            <w:tcBorders/>
          </w:tcPr>
          <w:p>
            <w:pPr>
              <w:pStyle w:val="TableContents"/>
              <w:bidi w:val="0"/>
              <w:spacing w:before="0" w:after="283"/>
              <w:jc w:val="left"/>
              <w:rPr/>
            </w:pPr>
            <w:r>
              <w:rPr/>
              <w:t>INTEGRA YORK PA, INC.,</w:t>
            </w:r>
          </w:p>
        </w:tc>
      </w:tr>
      <w:tr>
        <w:trPr/>
        <w:tc>
          <w:tcPr>
            <w:tcW w:w="4082" w:type="dxa"/>
            <w:gridSpan w:val="3"/>
            <w:tcBorders/>
          </w:tcPr>
          <w:p>
            <w:pPr>
              <w:pStyle w:val="TableContents"/>
              <w:bidi w:val="0"/>
              <w:spacing w:before="0" w:after="283"/>
              <w:jc w:val="left"/>
              <w:rPr/>
            </w:pPr>
            <w:r>
              <w:rPr/>
              <w:t>J. JAMNER SURGICAL INSTRUMENTS, INC.,</w:t>
            </w:r>
          </w:p>
        </w:tc>
      </w:tr>
      <w:tr>
        <w:trPr/>
        <w:tc>
          <w:tcPr>
            <w:tcW w:w="4082" w:type="dxa"/>
            <w:gridSpan w:val="3"/>
            <w:tcBorders/>
          </w:tcPr>
          <w:p>
            <w:pPr>
              <w:pStyle w:val="TableContents"/>
              <w:bidi w:val="0"/>
              <w:spacing w:before="0" w:after="283"/>
              <w:jc w:val="left"/>
              <w:rPr/>
            </w:pPr>
            <w:r>
              <w:rPr/>
              <w:t>INTEGRA LIFESCIENCES BRAINTREE INC.,</w:t>
            </w:r>
          </w:p>
        </w:tc>
      </w:tr>
      <w:tr>
        <w:trPr/>
        <w:tc>
          <w:tcPr>
            <w:tcW w:w="4082" w:type="dxa"/>
            <w:gridSpan w:val="3"/>
            <w:tcBorders/>
          </w:tcPr>
          <w:p>
            <w:pPr>
              <w:pStyle w:val="TableContents"/>
              <w:bidi w:val="0"/>
              <w:spacing w:before="0" w:after="283"/>
              <w:jc w:val="left"/>
              <w:rPr/>
            </w:pPr>
            <w:r>
              <w:rPr/>
              <w:t>TEI MEDICAL INC.,</w:t>
            </w:r>
          </w:p>
        </w:tc>
      </w:tr>
      <w:tr>
        <w:trPr/>
        <w:tc>
          <w:tcPr>
            <w:tcW w:w="4082" w:type="dxa"/>
            <w:gridSpan w:val="3"/>
            <w:tcBorders/>
          </w:tcPr>
          <w:p>
            <w:pPr>
              <w:pStyle w:val="TableContents"/>
              <w:bidi w:val="0"/>
              <w:spacing w:before="0" w:after="283"/>
              <w:jc w:val="left"/>
              <w:rPr/>
            </w:pPr>
            <w:r>
              <w:rPr/>
              <w:t>SURGICAL INNOVATION ASSOCIATES, INC.</w:t>
            </w:r>
          </w:p>
        </w:tc>
      </w:tr>
      <w:tr>
        <w:trPr>
          <w:trHeight w:val="240" w:hRule="atLeast"/>
        </w:trPr>
        <w:tc>
          <w:tcPr>
            <w:tcW w:w="408" w:type="dxa"/>
            <w:tcBorders/>
            <w:vAlign w:val="center"/>
          </w:tcPr>
          <w:p>
            <w:pPr>
              <w:pStyle w:val="TableContents"/>
              <w:bidi w:val="0"/>
              <w:spacing w:before="0" w:after="283"/>
              <w:jc w:val="left"/>
              <w:rPr>
                <w:sz w:val="4"/>
                <w:szCs w:val="4"/>
              </w:rPr>
            </w:pPr>
            <w:r>
              <w:rPr>
                <w:sz w:val="4"/>
                <w:szCs w:val="4"/>
              </w:rPr>
            </w:r>
          </w:p>
        </w:tc>
        <w:tc>
          <w:tcPr>
            <w:tcW w:w="3674"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Name: Timothy Swiss</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INTEGRA LIFESCIENCES SALES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Integra LifeSciences Corporation, its Sole Member</w:t>
            </w:r>
          </w:p>
        </w:tc>
      </w:tr>
      <w:tr>
        <w:trPr>
          <w:trHeight w:val="240" w:hRule="atLeast"/>
        </w:trPr>
        <w:tc>
          <w:tcPr>
            <w:tcW w:w="408" w:type="dxa"/>
            <w:tcBorders/>
            <w:vAlign w:val="center"/>
          </w:tcPr>
          <w:p>
            <w:pPr>
              <w:pStyle w:val="TableContents"/>
              <w:bidi w:val="0"/>
              <w:spacing w:before="0" w:after="283"/>
              <w:jc w:val="left"/>
              <w:rPr>
                <w:sz w:val="4"/>
                <w:szCs w:val="4"/>
              </w:rPr>
            </w:pPr>
            <w:r>
              <w:rPr>
                <w:sz w:val="4"/>
                <w:szCs w:val="4"/>
              </w:rPr>
            </w:r>
          </w:p>
        </w:tc>
        <w:tc>
          <w:tcPr>
            <w:tcW w:w="3674"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Name: Timothy Swiss</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Title: Vice President,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INTEGRA LIFESCIENCES CORPORATION</w:t>
            </w:r>
          </w:p>
        </w:tc>
      </w:tr>
      <w:tr>
        <w:trPr>
          <w:trHeight w:val="240" w:hRule="atLeast"/>
        </w:trPr>
        <w:tc>
          <w:tcPr>
            <w:tcW w:w="408" w:type="dxa"/>
            <w:tcBorders/>
            <w:vAlign w:val="center"/>
          </w:tcPr>
          <w:p>
            <w:pPr>
              <w:pStyle w:val="TableContents"/>
              <w:bidi w:val="0"/>
              <w:spacing w:before="0" w:after="283"/>
              <w:jc w:val="left"/>
              <w:rPr>
                <w:sz w:val="4"/>
                <w:szCs w:val="4"/>
              </w:rPr>
            </w:pPr>
            <w:r>
              <w:rPr>
                <w:sz w:val="4"/>
                <w:szCs w:val="4"/>
              </w:rPr>
            </w:r>
          </w:p>
        </w:tc>
        <w:tc>
          <w:tcPr>
            <w:tcW w:w="3674"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Name: Timothy Swiss</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Title: Vice President,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ILS FINANCING CORPORATION,</w:t>
            </w:r>
          </w:p>
        </w:tc>
      </w:tr>
      <w:tr>
        <w:trPr>
          <w:trHeight w:val="240" w:hRule="atLeast"/>
        </w:trPr>
        <w:tc>
          <w:tcPr>
            <w:tcW w:w="408" w:type="dxa"/>
            <w:tcBorders/>
            <w:vAlign w:val="center"/>
          </w:tcPr>
          <w:p>
            <w:pPr>
              <w:pStyle w:val="TableContents"/>
              <w:bidi w:val="0"/>
              <w:spacing w:before="0" w:after="283"/>
              <w:jc w:val="left"/>
              <w:rPr>
                <w:sz w:val="4"/>
                <w:szCs w:val="4"/>
              </w:rPr>
            </w:pPr>
            <w:r>
              <w:rPr>
                <w:sz w:val="4"/>
                <w:szCs w:val="4"/>
              </w:rPr>
            </w:r>
          </w:p>
        </w:tc>
        <w:tc>
          <w:tcPr>
            <w:tcW w:w="3674"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Swiss</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Name: Timothy Swiss</w:t>
            </w:r>
          </w:p>
        </w:tc>
      </w:tr>
      <w:tr>
        <w:trPr/>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4" w:type="dxa"/>
            <w:tcBorders/>
          </w:tcPr>
          <w:p>
            <w:pPr>
              <w:pStyle w:val="TableContents"/>
              <w:bidi w:val="0"/>
              <w:spacing w:before="0" w:after="283"/>
              <w:jc w:val="left"/>
              <w:rPr/>
            </w:pPr>
            <w:r>
              <w:rPr/>
              <w:t>Title: Vice President, Treasurer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Ratification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agreed:</w:t>
            </w:r>
          </w:p>
        </w:tc>
      </w:tr>
      <w:tr>
        <w:trPr/>
        <w:tc>
          <w:tcPr>
            <w:tcW w:w="4082" w:type="dxa"/>
            <w:gridSpan w:val="3"/>
            <w:tcBorders/>
          </w:tcPr>
          <w:p>
            <w:pPr>
              <w:pStyle w:val="TableContents"/>
              <w:bidi w:val="0"/>
              <w:spacing w:before="0" w:after="283"/>
              <w:jc w:val="left"/>
              <w:rPr/>
            </w:pPr>
            <w:r>
              <w:rPr/>
              <w:t>BANK OF AMERICA, N.A., as Administrative Agent,</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Paley Chen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Paley Chen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Ratification Agreement] </w:t>
      </w:r>
    </w:p>
    <w:p>
      <w:pPr>
        <w:pStyle w:val="TextBody"/>
        <w:bidi w:val="0"/>
        <w:spacing w:before="0" w:after="0"/>
        <w:jc w:val="right"/>
        <w:rPr>
          <w:rFonts w:ascii="Times New Roman" w:hAnsi="Times New Roman"/>
          <w:sz w:val="20"/>
        </w:rPr>
      </w:pPr>
      <w:bookmarkStart w:id="8" w:name="d142199dex991.htm"/>
      <w:bookmarkStart w:id="9" w:name="ksd142199dex991"/>
      <w:bookmarkEnd w:id="8"/>
      <w:bookmarkEnd w:id="9"/>
      <w:r>
        <w:rPr>
          <w:rFonts w:ascii="Times New Roman" w:hAnsi="Times New Roman"/>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Integra Announces Completion of Refinancing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PRINCETON, N.J., Oct 19, 2026 (GLOBE NEWSWIRE) — Integra LifeSciences Holdings Corporation (NASDAQ:IART) today announced that it has closed a private offering of $450.0 million aggregate principal amount of 9.500% senior secured notes due 2033 (the “Notes”). In addition, Integra announced today that it has amended and restated its existing credit facility, with an overall size of approximately $1.65 billion consisting of (i) a $600 million senior secured revolving credit facility with a five year maturity, (ii) a $600 million senior secured term loan A facility with a five year maturity and (iii) a $450 million senior secured term loan B facility with a seven year maturity (collectively, the “Credit Facility”). The Notes will be general senior secured obligations of the Company and will be guaranteed by the Company’s wholly-owned domestic subsidiaries that are guarantors under the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Integra used the net proceeds, together with borrowings under the Credit Facility, to refinance its existing credit facility and pay fees and expenses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state or other jurisdiction. The Notes were offered only to persons reasonably believed to be qualified institutional buyers in reliance on the exemption from registration provided by Rule 144A of the Securities Act and to certain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being issued pursuant to Rule 135c of the Securities Act and is neither an offer to sell, nor a solicitation of an offer to buy, any of the securities mentioned above and shall not constitute an offer, solicitation or sale in any jurisdiction in which such offer, solicitation or sale is unlawful. Any offer of the securities mentioned above will be made only by means of a private offering memorandum. </w:t>
      </w:r>
    </w:p>
    <w:p>
      <w:pPr>
        <w:pStyle w:val="TextBody"/>
        <w:bidi w:val="0"/>
        <w:spacing w:before="360" w:after="0"/>
        <w:jc w:val="left"/>
        <w:rPr>
          <w:rFonts w:ascii="Times New Roman" w:hAnsi="Times New Roman"/>
          <w:b/>
          <w:sz w:val="20"/>
        </w:rPr>
      </w:pPr>
      <w:r>
        <w:rPr>
          <w:rFonts w:ascii="Times New Roman" w:hAnsi="Times New Roman"/>
          <w:b/>
          <w:sz w:val="20"/>
        </w:rPr>
        <w:t xml:space="preserve">About Integra </w:t>
      </w:r>
    </w:p>
    <w:p>
      <w:pPr>
        <w:pStyle w:val="TextBody"/>
        <w:bidi w:val="0"/>
        <w:spacing w:before="120" w:after="0"/>
        <w:jc w:val="left"/>
        <w:rPr>
          <w:rFonts w:ascii="Times New Roman" w:hAnsi="Times New Roman"/>
          <w:sz w:val="20"/>
        </w:rPr>
      </w:pPr>
      <w:r>
        <w:rPr>
          <w:rFonts w:ascii="Times New Roman" w:hAnsi="Times New Roman"/>
          <w:sz w:val="20"/>
        </w:rPr>
        <w:t xml:space="preserve">Integra LifeSciences (Nasdaq: IART) is a global medical technology leader dedicated to restoring lives. We are advancing transformational care through impactful innovation in neurosurgery and tissue reconstruction, specialized fields that demand exceptional expertise and precision. Our portfolio of highly differentiated, gold-standard technologies is trusted by healthcare professionals to deliver transformative care.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that involve risks and uncertainties and reflect Integra’s judgment as of the date of this release. All statements, other than statements of historical fact, are statements that could be deemed forward-looking statements. Some of these forward-looking statements may contain words like “will,” “believe,” “may,” “could,” “would,” “might,” “possible,” “should,” “expect,” “intend,” “plan,” “anticipate,” or “continue,” the negative of these words, other terms of similar meaning or they may use future dates. Forward-looking statements contained in this press release include, but are not limited to, the expectations, plans and prospects for Integra, including the anticipated use of proceeds of the offering of the Notes and borrowings under the Credit Facility, which should be the many risks and uncertainties that affect Integra’s business and market, including market and other general economic conditions, and other risks identified under the heading “Risk Factors” included in item 1A of Integra’s Annual Report on Form 10-K for the year ended December 31, 2025, and information contained in subsequent filings with the Securities and Exchange Commission. Such forward-looking statements involve risks and uncertainties that could cause actual results to differ materially from predicted or expected results. These forward-looking statements are made only as of the date hereof, and Integra undertakes no obligation to update or revise the forward-looking statements, whether as a result of new information, future events or otherwise,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Contacts: </w:t>
      </w:r>
    </w:p>
    <w:p>
      <w:pPr>
        <w:pStyle w:val="TextBody"/>
        <w:bidi w:val="0"/>
        <w:spacing w:before="120" w:after="0"/>
        <w:jc w:val="left"/>
        <w:rPr>
          <w:rFonts w:ascii="Times New Roman" w:hAnsi="Times New Roman"/>
          <w:sz w:val="20"/>
        </w:rPr>
      </w:pPr>
      <w:r>
        <w:rPr>
          <w:rFonts w:ascii="Times New Roman" w:hAnsi="Times New Roman"/>
          <w:sz w:val="20"/>
        </w:rPr>
        <w:t xml:space="preserve">Chris Ward </w:t>
      </w:r>
    </w:p>
    <w:p>
      <w:pPr>
        <w:pStyle w:val="TextBody"/>
        <w:bidi w:val="0"/>
        <w:spacing w:before="0" w:after="0"/>
        <w:jc w:val="left"/>
        <w:rPr>
          <w:rFonts w:ascii="Times New Roman" w:hAnsi="Times New Roman"/>
          <w:sz w:val="20"/>
        </w:rPr>
      </w:pPr>
      <w:r>
        <w:rPr>
          <w:rFonts w:ascii="Times New Roman" w:hAnsi="Times New Roman"/>
          <w:sz w:val="20"/>
        </w:rPr>
        <w:t xml:space="preserve">(609) 772-7736 </w:t>
      </w:r>
    </w:p>
    <w:p>
      <w:pPr>
        <w:pStyle w:val="TextBody"/>
        <w:bidi w:val="0"/>
        <w:spacing w:before="0" w:after="0"/>
        <w:jc w:val="left"/>
        <w:rPr>
          <w:rFonts w:ascii="Times New Roman" w:hAnsi="Times New Roman"/>
          <w:sz w:val="20"/>
        </w:rPr>
      </w:pPr>
      <w:r>
        <w:rPr>
          <w:rFonts w:ascii="Times New Roman" w:hAnsi="Times New Roman"/>
          <w:sz w:val="20"/>
        </w:rPr>
        <w:t xml:space="preserve">chris.ward@integralife.com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Laurene Isip </w:t>
      </w:r>
    </w:p>
    <w:p>
      <w:pPr>
        <w:pStyle w:val="TextBody"/>
        <w:bidi w:val="0"/>
        <w:spacing w:before="0" w:after="0"/>
        <w:jc w:val="left"/>
        <w:rPr>
          <w:rFonts w:ascii="Times New Roman" w:hAnsi="Times New Roman"/>
          <w:sz w:val="20"/>
        </w:rPr>
      </w:pPr>
      <w:r>
        <w:rPr>
          <w:rFonts w:ascii="Times New Roman" w:hAnsi="Times New Roman"/>
          <w:sz w:val="20"/>
        </w:rPr>
        <w:t xml:space="preserve">(609) 208-8121 </w:t>
      </w:r>
    </w:p>
    <w:p>
      <w:pPr>
        <w:pStyle w:val="TextBody"/>
        <w:bidi w:val="0"/>
        <w:spacing w:before="0" w:after="0"/>
        <w:jc w:val="left"/>
        <w:rPr>
          <w:rFonts w:ascii="Times New Roman" w:hAnsi="Times New Roman"/>
          <w:sz w:val="20"/>
        </w:rPr>
      </w:pPr>
      <w:r>
        <w:rPr>
          <w:rFonts w:ascii="Times New Roman" w:hAnsi="Times New Roman"/>
          <w:sz w:val="20"/>
        </w:rPr>
        <w:t xml:space="preserve">laurene.isip@integralife.com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337</Pages>
  <Words>186709</Words>
  <Characters>981926</Characters>
  <CharactersWithSpaces>1169982</CharactersWithSpaces>
  <Paragraphs>6727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