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FORM 10-K</w:t>
      </w: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2"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0" w:lineRule="exact"/>
        <w:rPr>
          <w:sz w:val="24"/>
          <w:szCs w:val="24"/>
          <w:color w:val="auto"/>
        </w:rPr>
      </w:pPr>
    </w:p>
    <w:p>
      <w:pPr>
        <w:ind w:left="680" w:right="80" w:hanging="643"/>
        <w:spacing w:after="0" w:line="246"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15" w:lineRule="exact"/>
        <w:rPr>
          <w:sz w:val="24"/>
          <w:szCs w:val="24"/>
          <w:color w:val="auto"/>
        </w:rPr>
      </w:pPr>
    </w:p>
    <w:p>
      <w:pPr>
        <w:ind w:left="3960"/>
        <w:spacing w:after="0"/>
        <w:tabs>
          <w:tab w:leader="none" w:pos="65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0-26224</w:t>
      </w:r>
    </w:p>
    <w:p>
      <w:pPr>
        <w:spacing w:after="0" w:line="297"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INTEGRA LIFESCIENCES HOLDINGS CORPORATION</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5000" w:type="dxa"/>
            <w:vAlign w:val="bottom"/>
          </w:tcPr>
          <w:p>
            <w:pPr>
              <w:jc w:val="center"/>
              <w:ind w:right="1580"/>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tcPr>
          <w:p>
            <w:pPr>
              <w:jc w:val="right"/>
              <w:ind w:right="262"/>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2"/>
        </w:trPr>
        <w:tc>
          <w:tcPr>
            <w:tcW w:w="5000" w:type="dxa"/>
            <w:vAlign w:val="bottom"/>
          </w:tcPr>
          <w:p>
            <w:pPr>
              <w:jc w:val="center"/>
              <w:ind w:right="1580"/>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180" w:type="dxa"/>
            <w:vAlign w:val="bottom"/>
          </w:tcPr>
          <w:p>
            <w:pPr>
              <w:jc w:val="center"/>
              <w:ind w:left="1582"/>
              <w:spacing w:after="0" w:line="142"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4"/>
        </w:trPr>
        <w:tc>
          <w:tcPr>
            <w:tcW w:w="5000" w:type="dxa"/>
            <w:vAlign w:val="bottom"/>
          </w:tcPr>
          <w:p>
            <w:pPr>
              <w:jc w:val="center"/>
              <w:ind w:right="1580"/>
              <w:spacing w:after="0"/>
              <w:rPr>
                <w:sz w:val="20"/>
                <w:szCs w:val="20"/>
                <w:color w:val="auto"/>
              </w:rPr>
            </w:pPr>
            <w:r>
              <w:rPr>
                <w:rFonts w:ascii="Arial" w:cs="Arial" w:eastAsia="Arial" w:hAnsi="Arial"/>
                <w:sz w:val="14"/>
                <w:szCs w:val="14"/>
                <w:b w:val="1"/>
                <w:bCs w:val="1"/>
                <w:color w:val="auto"/>
              </w:rPr>
              <w:t>INCORPORATION OR ORGANIZATION)</w:t>
            </w:r>
          </w:p>
        </w:tc>
        <w:tc>
          <w:tcPr>
            <w:tcW w:w="3180" w:type="dxa"/>
            <w:vAlign w:val="bottom"/>
          </w:tcPr>
          <w:p>
            <w:pPr>
              <w:jc w:val="center"/>
              <w:ind w:left="1562"/>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88"/>
        </w:trPr>
        <w:tc>
          <w:tcPr>
            <w:tcW w:w="5000" w:type="dxa"/>
            <w:vAlign w:val="bottom"/>
          </w:tcPr>
          <w:p>
            <w:pPr>
              <w:jc w:val="center"/>
              <w:ind w:right="1580"/>
              <w:spacing w:after="0"/>
              <w:rPr>
                <w:sz w:val="20"/>
                <w:szCs w:val="20"/>
                <w:color w:val="auto"/>
              </w:rPr>
            </w:pPr>
            <w:r>
              <w:rPr>
                <w:rFonts w:ascii="Arial" w:cs="Arial" w:eastAsia="Arial" w:hAnsi="Arial"/>
                <w:sz w:val="18"/>
                <w:szCs w:val="18"/>
                <w:b w:val="1"/>
                <w:bCs w:val="1"/>
                <w:color w:val="auto"/>
                <w:w w:val="87"/>
              </w:rPr>
              <w:t>1100 Campus Road</w:t>
            </w:r>
          </w:p>
        </w:tc>
        <w:tc>
          <w:tcPr>
            <w:tcW w:w="3180" w:type="dxa"/>
            <w:vAlign w:val="bottom"/>
          </w:tcPr>
          <w:p>
            <w:pPr>
              <w:jc w:val="right"/>
              <w:ind w:right="462"/>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2"/>
        </w:trPr>
        <w:tc>
          <w:tcPr>
            <w:tcW w:w="5000" w:type="dxa"/>
            <w:vAlign w:val="bottom"/>
          </w:tcPr>
          <w:p>
            <w:pPr>
              <w:ind w:left="820"/>
              <w:spacing w:after="0"/>
              <w:rPr>
                <w:sz w:val="20"/>
                <w:szCs w:val="20"/>
                <w:color w:val="auto"/>
              </w:rPr>
            </w:pPr>
            <w:r>
              <w:rPr>
                <w:rFonts w:ascii="Arial" w:cs="Arial" w:eastAsia="Arial" w:hAnsi="Arial"/>
                <w:sz w:val="18"/>
                <w:szCs w:val="18"/>
                <w:b w:val="1"/>
                <w:bCs w:val="1"/>
                <w:color w:val="auto"/>
              </w:rPr>
              <w:t>Princeton ,  New Jersey</w:t>
            </w:r>
          </w:p>
        </w:tc>
        <w:tc>
          <w:tcPr>
            <w:tcW w:w="3180" w:type="dxa"/>
            <w:vAlign w:val="bottom"/>
            <w:vMerge w:val="restart"/>
          </w:tcPr>
          <w:p>
            <w:pPr>
              <w:jc w:val="center"/>
              <w:ind w:left="1562"/>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000" w:type="dxa"/>
            <w:vAlign w:val="bottom"/>
            <w:vMerge w:val="restart"/>
          </w:tcPr>
          <w:p>
            <w:pPr>
              <w:jc w:val="center"/>
              <w:ind w:right="1580"/>
              <w:spacing w:after="0"/>
              <w:rPr>
                <w:sz w:val="20"/>
                <w:szCs w:val="20"/>
                <w:color w:val="auto"/>
              </w:rPr>
            </w:pPr>
            <w:r>
              <w:rPr>
                <w:rFonts w:ascii="Arial" w:cs="Arial" w:eastAsia="Arial" w:hAnsi="Arial"/>
                <w:sz w:val="14"/>
                <w:szCs w:val="14"/>
                <w:b w:val="1"/>
                <w:bCs w:val="1"/>
                <w:color w:val="auto"/>
              </w:rPr>
              <w:t>(ADDRESS OF PRINCIPAL EXECUTIVE OFFICES)</w:t>
            </w: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500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1"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Title of Each Class</w:t>
            </w:r>
          </w:p>
        </w:tc>
        <w:tc>
          <w:tcPr>
            <w:tcW w:w="1300" w:type="dxa"/>
            <w:vAlign w:val="bottom"/>
          </w:tcPr>
          <w:p>
            <w:pPr>
              <w:spacing w:after="0"/>
              <w:rPr>
                <w:sz w:val="16"/>
                <w:szCs w:val="16"/>
                <w:color w:val="auto"/>
              </w:rPr>
            </w:pPr>
          </w:p>
        </w:tc>
        <w:tc>
          <w:tcPr>
            <w:tcW w:w="1560" w:type="dxa"/>
            <w:vAlign w:val="bottom"/>
            <w:gridSpan w:val="2"/>
          </w:tcPr>
          <w:p>
            <w:pPr>
              <w:jc w:val="center"/>
              <w:ind w:left="380"/>
              <w:spacing w:after="0"/>
              <w:rPr>
                <w:sz w:val="20"/>
                <w:szCs w:val="20"/>
                <w:color w:val="auto"/>
              </w:rPr>
            </w:pPr>
            <w:r>
              <w:rPr>
                <w:rFonts w:ascii="Arial" w:cs="Arial" w:eastAsia="Arial" w:hAnsi="Arial"/>
                <w:sz w:val="16"/>
                <w:szCs w:val="16"/>
                <w:b w:val="1"/>
                <w:bCs w:val="1"/>
                <w:color w:val="auto"/>
                <w:w w:val="90"/>
              </w:rPr>
              <w:t>Trading Symbol</w:t>
            </w:r>
          </w:p>
        </w:tc>
        <w:tc>
          <w:tcPr>
            <w:tcW w:w="136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44"/>
        </w:trPr>
        <w:tc>
          <w:tcPr>
            <w:tcW w:w="3420" w:type="dxa"/>
            <w:vAlign w:val="bottom"/>
            <w:gridSpan w:val="3"/>
          </w:tcPr>
          <w:p>
            <w:pPr>
              <w:jc w:val="center"/>
              <w:ind w:right="460"/>
              <w:spacing w:after="0"/>
              <w:rPr>
                <w:sz w:val="20"/>
                <w:szCs w:val="20"/>
                <w:color w:val="auto"/>
              </w:rPr>
            </w:pPr>
            <w:r>
              <w:rPr>
                <w:rFonts w:ascii="Arial" w:cs="Arial" w:eastAsia="Arial" w:hAnsi="Arial"/>
                <w:sz w:val="18"/>
                <w:szCs w:val="18"/>
                <w:color w:val="auto"/>
                <w:w w:val="87"/>
              </w:rPr>
              <w:t>Common Stock, Par Value $.01 Per Share</w:t>
            </w: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36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Nasdaq Global Select Market</w:t>
            </w:r>
          </w:p>
        </w:tc>
      </w:tr>
    </w:tbl>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57" w:lineRule="exact"/>
        <w:rPr>
          <w:sz w:val="24"/>
          <w:szCs w:val="24"/>
          <w:color w:val="auto"/>
        </w:rPr>
      </w:pPr>
    </w:p>
    <w:p>
      <w:pPr>
        <w:ind w:right="2140"/>
        <w:spacing w:after="0" w:line="29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Indicate by check mark if the registrant is not required to file reports pursuant to Section 13 or 15(d) of the Securities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26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28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1" w:lineRule="exact"/>
        <w:rPr>
          <w:sz w:val="24"/>
          <w:szCs w:val="24"/>
          <w:color w:val="auto"/>
        </w:rPr>
      </w:pPr>
    </w:p>
    <w:p>
      <w:pPr>
        <w:ind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24" w:right="479" w:bottom="1440" w:gutter="0" w:footer="0" w:header="0"/>
        </w:sectPr>
      </w:pPr>
    </w:p>
    <w:bookmarkStart w:id="1" w:name="page2"/>
    <w:bookmarkEnd w:id="1"/>
    <w:p>
      <w:pPr>
        <w:spacing w:after="0" w:line="25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64"/>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2"/>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2" w:lineRule="exact"/>
        <w:rPr>
          <w:sz w:val="20"/>
          <w:szCs w:val="20"/>
          <w:color w:val="auto"/>
        </w:rPr>
      </w:pPr>
    </w:p>
    <w:p>
      <w:pPr>
        <w:ind w:right="700"/>
        <w:spacing w:after="0" w:line="214" w:lineRule="exact"/>
        <w:rPr>
          <w:sz w:val="20"/>
          <w:szCs w:val="20"/>
          <w:color w:val="auto"/>
        </w:rPr>
      </w:pPr>
      <w:r>
        <w:rPr>
          <w:rFonts w:ascii="Arial" w:cs="Arial" w:eastAsia="Arial" w:hAnsi="Arial"/>
          <w:sz w:val="16"/>
          <w:szCs w:val="16"/>
          <w:color w:val="auto"/>
        </w:rPr>
        <w:t xml:space="preserve">If an emerging growth company, indicate by check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7"/>
          <w:szCs w:val="17"/>
          <w:color w:val="auto"/>
        </w:rPr>
        <w:t>☐</w:t>
      </w:r>
    </w:p>
    <w:p>
      <w:pPr>
        <w:spacing w:after="0" w:line="51" w:lineRule="exact"/>
        <w:rPr>
          <w:sz w:val="20"/>
          <w:szCs w:val="20"/>
          <w:color w:val="auto"/>
        </w:rPr>
      </w:pPr>
    </w:p>
    <w:p>
      <w:pPr>
        <w:jc w:val="both"/>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1" w:lineRule="exact"/>
        <w:rPr>
          <w:sz w:val="20"/>
          <w:szCs w:val="20"/>
          <w:color w:val="auto"/>
        </w:rPr>
      </w:pPr>
    </w:p>
    <w:p>
      <w:pPr>
        <w:spacing w:after="0" w:line="184" w:lineRule="exact"/>
        <w:tabs>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of June 30, 2021, the aggregate market value of the registrant’s common stock held by non-affiliates was approximately $4,968.6 million based upon the closing sales price of the registrant’s common stock on The Nasdaq Global Select Market on such date. The number of shares of the registrant’s Common Stock, $0.01 par value, outstanding as of February 22, 2022 was 83,243,031.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Certain portions of the registrant’s definitive proxy statement relating to its scheduled May 13, 2022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gridSpan w:val="11"/>
          </w:tcPr>
          <w:p>
            <w:pPr>
              <w:jc w:val="center"/>
              <w:ind w:right="1820"/>
              <w:spacing w:after="0"/>
              <w:rPr>
                <w:sz w:val="20"/>
                <w:szCs w:val="20"/>
                <w:color w:val="auto"/>
              </w:rPr>
            </w:pPr>
            <w:r>
              <w:rPr>
                <w:rFonts w:ascii="Arial" w:cs="Arial" w:eastAsia="Arial" w:hAnsi="Arial"/>
                <w:sz w:val="18"/>
                <w:szCs w:val="18"/>
                <w:b w:val="1"/>
                <w:bCs w:val="1"/>
                <w:color w:val="auto"/>
                <w:w w:val="99"/>
              </w:rPr>
              <w:t>INTEGRA LIFESCIENCES HOLDINGS CORPORATION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6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7"/>
              </w:rPr>
              <w:t>TABLE OF CONTENTS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Page</w:t>
            </w:r>
          </w:p>
        </w:tc>
      </w:tr>
      <w:tr>
        <w:trPr>
          <w:trHeight w:val="158"/>
        </w:trPr>
        <w:tc>
          <w:tcPr>
            <w:tcW w:w="580" w:type="dxa"/>
            <w:vAlign w:val="bottom"/>
            <w:tcBorders>
              <w:bottom w:val="single" w:sz="8" w:color="0000FF"/>
            </w:tcBorders>
          </w:tcPr>
          <w:p>
            <w:pPr>
              <w:spacing w:after="0" w:line="158" w:lineRule="exact"/>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9640" w:type="dxa"/>
            <w:vAlign w:val="bottom"/>
            <w:gridSpan w:val="21"/>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6"/>
        </w:trPr>
        <w:tc>
          <w:tcPr>
            <w:tcW w:w="580" w:type="dxa"/>
            <w:vAlign w:val="bottom"/>
          </w:tcPr>
          <w:p>
            <w:pPr>
              <w:spacing w:after="0"/>
              <w:rPr>
                <w:sz w:val="21"/>
                <w:szCs w:val="21"/>
                <w:color w:val="auto"/>
              </w:rPr>
            </w:pPr>
          </w:p>
        </w:tc>
        <w:tc>
          <w:tcPr>
            <w:tcW w:w="920" w:type="dxa"/>
            <w:vAlign w:val="bottom"/>
            <w:gridSpan w:val="2"/>
          </w:tcPr>
          <w:p>
            <w:pPr>
              <w:spacing w:after="0"/>
              <w:rPr>
                <w:rFonts w:ascii="Arial" w:cs="Arial" w:eastAsia="Arial" w:hAnsi="Arial"/>
                <w:sz w:val="16"/>
                <w:szCs w:val="16"/>
                <w:color w:val="0000FF"/>
                <w:w w:val="76"/>
              </w:rPr>
            </w:pPr>
            <w:hyperlink w:anchor="page4">
              <w:r>
                <w:rPr>
                  <w:rFonts w:ascii="Arial" w:cs="Arial" w:eastAsia="Arial" w:hAnsi="Arial"/>
                  <w:sz w:val="16"/>
                  <w:szCs w:val="16"/>
                  <w:color w:val="0000FF"/>
                  <w:w w:val="76"/>
                </w:rPr>
                <w:t>Item 1. Business</w:t>
              </w:r>
            </w:hyperlink>
          </w:p>
        </w:tc>
        <w:tc>
          <w:tcPr>
            <w:tcW w:w="8720" w:type="dxa"/>
            <w:vAlign w:val="bottom"/>
            <w:gridSpan w:val="19"/>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1A. Risk Factors</w:t>
              </w:r>
            </w:hyperlink>
          </w:p>
        </w:tc>
        <w:tc>
          <w:tcPr>
            <w:tcW w:w="960" w:type="dxa"/>
            <w:vAlign w:val="bottom"/>
            <w:gridSpan w:val="4"/>
          </w:tcPr>
          <w:p>
            <w:pPr>
              <w:jc w:val="right"/>
              <w:ind w:right="20"/>
              <w:spacing w:after="0"/>
              <w:rPr>
                <w:rFonts w:ascii="Arial" w:cs="Arial" w:eastAsia="Arial" w:hAnsi="Arial"/>
                <w:sz w:val="16"/>
                <w:szCs w:val="16"/>
                <w:color w:val="0000FF"/>
              </w:rPr>
            </w:pPr>
            <w:hyperlink w:anchor="page15">
              <w:r>
                <w:rPr>
                  <w:rFonts w:ascii="Arial" w:cs="Arial" w:eastAsia="Arial" w:hAnsi="Arial"/>
                  <w:sz w:val="16"/>
                  <w:szCs w:val="16"/>
                  <w:color w:val="0000FF"/>
                </w:rPr>
                <w:t>16</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1B. Unresolved Staff Comment</w:t>
              </w:r>
            </w:hyperlink>
            <w:r>
              <w:rPr>
                <w:rFonts w:ascii="Arial" w:cs="Arial" w:eastAsia="Arial" w:hAnsi="Arial"/>
                <w:sz w:val="16"/>
                <w:szCs w:val="16"/>
                <w:u w:val="single" w:color="auto"/>
                <w:color w:val="1A3CBF"/>
              </w:rPr>
              <w:t>s</w:t>
            </w:r>
          </w:p>
        </w:tc>
        <w:tc>
          <w:tcPr>
            <w:tcW w:w="960" w:type="dxa"/>
            <w:vAlign w:val="bottom"/>
            <w:gridSpan w:val="4"/>
          </w:tcPr>
          <w:p>
            <w:pPr>
              <w:jc w:val="right"/>
              <w:ind w:right="20"/>
              <w:spacing w:after="0"/>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000" w:type="dxa"/>
            <w:vAlign w:val="bottom"/>
            <w:gridSpan w:val="3"/>
          </w:tcPr>
          <w:p>
            <w:pPr>
              <w:spacing w:after="0"/>
              <w:rPr>
                <w:rFonts w:ascii="Arial" w:cs="Arial" w:eastAsia="Arial" w:hAnsi="Arial"/>
                <w:sz w:val="16"/>
                <w:szCs w:val="16"/>
                <w:color w:val="0000FF"/>
                <w:w w:val="77"/>
              </w:rPr>
            </w:pPr>
            <w:hyperlink w:anchor="page28">
              <w:r>
                <w:rPr>
                  <w:rFonts w:ascii="Arial" w:cs="Arial" w:eastAsia="Arial" w:hAnsi="Arial"/>
                  <w:sz w:val="16"/>
                  <w:szCs w:val="16"/>
                  <w:color w:val="0000FF"/>
                  <w:w w:val="77"/>
                </w:rPr>
                <w:t>Item 2. Properties</w:t>
              </w:r>
            </w:hyperlink>
          </w:p>
        </w:tc>
        <w:tc>
          <w:tcPr>
            <w:tcW w:w="1200" w:type="dxa"/>
            <w:vAlign w:val="bottom"/>
            <w:gridSpan w:val="7"/>
          </w:tcPr>
          <w:p>
            <w:pPr>
              <w:spacing w:after="0"/>
              <w:rPr>
                <w:sz w:val="16"/>
                <w:szCs w:val="16"/>
                <w:color w:val="auto"/>
              </w:rPr>
            </w:pPr>
          </w:p>
        </w:tc>
        <w:tc>
          <w:tcPr>
            <w:tcW w:w="7440" w:type="dxa"/>
            <w:vAlign w:val="bottom"/>
            <w:gridSpan w:val="11"/>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28</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540" w:type="dxa"/>
            <w:vAlign w:val="bottom"/>
            <w:gridSpan w:val="5"/>
          </w:tcPr>
          <w:p>
            <w:pPr>
              <w:spacing w:after="0"/>
              <w:rPr>
                <w:rFonts w:ascii="Arial" w:cs="Arial" w:eastAsia="Arial" w:hAnsi="Arial"/>
                <w:sz w:val="16"/>
                <w:szCs w:val="16"/>
                <w:color w:val="0000FF"/>
                <w:w w:val="81"/>
              </w:rPr>
            </w:pPr>
            <w:hyperlink w:anchor="page29">
              <w:r>
                <w:rPr>
                  <w:rFonts w:ascii="Arial" w:cs="Arial" w:eastAsia="Arial" w:hAnsi="Arial"/>
                  <w:sz w:val="16"/>
                  <w:szCs w:val="16"/>
                  <w:color w:val="0000FF"/>
                  <w:w w:val="81"/>
                </w:rPr>
                <w:t>Item 3. Legal Proceedings</w:t>
              </w:r>
            </w:hyperlink>
          </w:p>
        </w:tc>
        <w:tc>
          <w:tcPr>
            <w:tcW w:w="8100" w:type="dxa"/>
            <w:vAlign w:val="bottom"/>
            <w:gridSpan w:val="1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 Mine Safety Disclosures</w:t>
              </w:r>
            </w:hyperlink>
          </w:p>
        </w:tc>
        <w:tc>
          <w:tcPr>
            <w:tcW w:w="96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9">
              <w:r>
                <w:rPr>
                  <w:rFonts w:ascii="Arial" w:cs="Arial" w:eastAsia="Arial" w:hAnsi="Arial"/>
                  <w:sz w:val="16"/>
                  <w:szCs w:val="16"/>
                  <w:color w:val="0000FF"/>
                  <w:w w:val="96"/>
                </w:rPr>
                <w:t>PART II</w:t>
              </w:r>
            </w:hyperlink>
          </w:p>
        </w:tc>
        <w:tc>
          <w:tcPr>
            <w:tcW w:w="9640" w:type="dxa"/>
            <w:vAlign w:val="bottom"/>
            <w:gridSpan w:val="21"/>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5. Market for Registrant's Common Equity, Related Stockholder Matters and Issuer Purchases of Equity Securities</w:t>
              </w:r>
            </w:hyperlink>
          </w:p>
        </w:tc>
        <w:tc>
          <w:tcPr>
            <w:tcW w:w="96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7520" w:type="dxa"/>
            <w:vAlign w:val="bottom"/>
            <w:gridSpan w:val="20"/>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6. [</w:t>
              </w:r>
            </w:hyperlink>
            <w:r>
              <w:rPr>
                <w:rFonts w:ascii="Arial" w:cs="Arial" w:eastAsia="Arial" w:hAnsi="Arial"/>
                <w:sz w:val="16"/>
                <w:szCs w:val="16"/>
                <w:color w:val="000000"/>
              </w:rPr>
              <w:t>Reserved]</w:t>
            </w:r>
          </w:p>
        </w:tc>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30</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7"/>
          </w:tcPr>
          <w:p>
            <w:pPr>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Item 7. Management's Discussion and Analysis of Financial Condition and Results of Operations</w:t>
              </w:r>
            </w:hyperlink>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30</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7"/>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7A. Quantitative and Qualitative Disclosures About Market Risk</w:t>
              </w:r>
            </w:hyperlink>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47</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360" w:type="dxa"/>
            <w:vAlign w:val="bottom"/>
            <w:gridSpan w:val="14"/>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8. Financial Statements and Supplementary Data</w:t>
              </w:r>
            </w:hyperlink>
          </w:p>
        </w:tc>
        <w:tc>
          <w:tcPr>
            <w:tcW w:w="5280" w:type="dxa"/>
            <w:vAlign w:val="bottom"/>
            <w:gridSpan w:val="7"/>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48</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200" w:type="dxa"/>
            <w:vAlign w:val="bottom"/>
            <w:gridSpan w:val="18"/>
          </w:tcPr>
          <w:p>
            <w:pPr>
              <w:spacing w:after="0"/>
              <w:rPr>
                <w:rFonts w:ascii="Arial" w:cs="Arial" w:eastAsia="Arial" w:hAnsi="Arial"/>
                <w:sz w:val="16"/>
                <w:szCs w:val="16"/>
                <w:color w:val="0000FF"/>
                <w:w w:val="88"/>
              </w:rPr>
            </w:pPr>
            <w:hyperlink w:anchor="page48">
              <w:r>
                <w:rPr>
                  <w:rFonts w:ascii="Arial" w:cs="Arial" w:eastAsia="Arial" w:hAnsi="Arial"/>
                  <w:sz w:val="16"/>
                  <w:szCs w:val="16"/>
                  <w:color w:val="0000FF"/>
                  <w:w w:val="88"/>
                </w:rPr>
                <w:t>Item 9. Changes in and Disagreements with Accountants on Accounting and Financial Disclosures</w:t>
              </w:r>
            </w:hyperlink>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48</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9"/>
          </w:tcPr>
          <w:p>
            <w:pPr>
              <w:spacing w:after="0"/>
              <w:rPr>
                <w:rFonts w:ascii="Arial" w:cs="Arial" w:eastAsia="Arial" w:hAnsi="Arial"/>
                <w:sz w:val="16"/>
                <w:szCs w:val="16"/>
                <w:color w:val="0000FF"/>
                <w:w w:val="83"/>
              </w:rPr>
            </w:pPr>
            <w:hyperlink w:anchor="page48">
              <w:r>
                <w:rPr>
                  <w:rFonts w:ascii="Arial" w:cs="Arial" w:eastAsia="Arial" w:hAnsi="Arial"/>
                  <w:sz w:val="16"/>
                  <w:szCs w:val="16"/>
                  <w:color w:val="0000FF"/>
                  <w:w w:val="83"/>
                </w:rPr>
                <w:t>Item 9A. Controls and Procedures</w:t>
              </w:r>
            </w:hyperlink>
          </w:p>
        </w:tc>
        <w:tc>
          <w:tcPr>
            <w:tcW w:w="4140" w:type="dxa"/>
            <w:vAlign w:val="bottom"/>
            <w:gridSpan w:val="9"/>
          </w:tcPr>
          <w:p>
            <w:pPr>
              <w:spacing w:after="0"/>
              <w:rPr>
                <w:sz w:val="16"/>
                <w:szCs w:val="16"/>
                <w:color w:val="auto"/>
              </w:rPr>
            </w:pPr>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9"/>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9B. Other Information</w:t>
              </w:r>
            </w:hyperlink>
          </w:p>
        </w:tc>
        <w:tc>
          <w:tcPr>
            <w:tcW w:w="7580" w:type="dxa"/>
            <w:vAlign w:val="bottom"/>
            <w:gridSpan w:val="1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840" w:type="dxa"/>
            <w:vAlign w:val="bottom"/>
            <w:gridSpan w:val="15"/>
          </w:tcPr>
          <w:p>
            <w:pPr>
              <w:spacing w:after="0"/>
              <w:rPr>
                <w:rFonts w:ascii="Arial" w:cs="Arial" w:eastAsia="Arial" w:hAnsi="Arial"/>
                <w:sz w:val="16"/>
                <w:szCs w:val="16"/>
                <w:color w:val="0000FF"/>
                <w:w w:val="88"/>
              </w:rPr>
            </w:pPr>
            <w:hyperlink w:anchor="page49">
              <w:r>
                <w:rPr>
                  <w:rFonts w:ascii="Arial" w:cs="Arial" w:eastAsia="Arial" w:hAnsi="Arial"/>
                  <w:sz w:val="16"/>
                  <w:szCs w:val="16"/>
                  <w:color w:val="0000FF"/>
                  <w:w w:val="88"/>
                </w:rPr>
                <w:t>Item 9C. Disclosure Regarding Foreign Jurisdictions that Prevent Inspections</w:t>
              </w:r>
            </w:hyperlink>
          </w:p>
        </w:tc>
        <w:tc>
          <w:tcPr>
            <w:tcW w:w="48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20" w:type="dxa"/>
            <w:vAlign w:val="bottom"/>
            <w:gridSpan w:val="22"/>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PART III</w:t>
              </w:r>
            </w:hyperlink>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3"/>
          </w:tcPr>
          <w:p>
            <w:pPr>
              <w:spacing w:after="0"/>
              <w:rPr>
                <w:rFonts w:ascii="Arial" w:cs="Arial" w:eastAsia="Arial" w:hAnsi="Arial"/>
                <w:sz w:val="16"/>
                <w:szCs w:val="16"/>
                <w:color w:val="0000FF"/>
                <w:w w:val="88"/>
              </w:rPr>
            </w:pPr>
            <w:hyperlink w:anchor="page49">
              <w:r>
                <w:rPr>
                  <w:rFonts w:ascii="Arial" w:cs="Arial" w:eastAsia="Arial" w:hAnsi="Arial"/>
                  <w:sz w:val="16"/>
                  <w:szCs w:val="16"/>
                  <w:color w:val="0000FF"/>
                  <w:w w:val="88"/>
                </w:rPr>
                <w:t>Item 10. Directors, Executive Officers and Corporate Governance</w:t>
              </w:r>
            </w:hyperlink>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3"/>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11. Executive Compensation</w:t>
              </w:r>
            </w:hyperlink>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12. Security Ownership of Certain Beneficial Owners and Management and Related Stockholder Matter</w:t>
              </w:r>
            </w:hyperlink>
            <w:r>
              <w:rPr>
                <w:rFonts w:ascii="Arial" w:cs="Arial" w:eastAsia="Arial" w:hAnsi="Arial"/>
                <w:sz w:val="16"/>
                <w:szCs w:val="16"/>
                <w:color w:val="000000"/>
              </w:rPr>
              <w:t>s</w:t>
            </w:r>
          </w:p>
        </w:tc>
        <w:tc>
          <w:tcPr>
            <w:tcW w:w="96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860" w:type="dxa"/>
            <w:vAlign w:val="bottom"/>
            <w:gridSpan w:val="19"/>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13. Certain Relationships, Related Transactions, and Director Independence</w:t>
              </w:r>
            </w:hyperlink>
          </w:p>
        </w:tc>
        <w:tc>
          <w:tcPr>
            <w:tcW w:w="27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gridSpan w:val="4"/>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5060" w:type="dxa"/>
            <w:vAlign w:val="bottom"/>
            <w:gridSpan w:val="16"/>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14. Principal Accountant Fees and Services</w:t>
              </w:r>
            </w:hyperlink>
          </w:p>
        </w:tc>
        <w:tc>
          <w:tcPr>
            <w:tcW w:w="4580" w:type="dxa"/>
            <w:vAlign w:val="bottom"/>
            <w:gridSpan w:val="5"/>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50">
              <w:r>
                <w:rPr>
                  <w:rFonts w:ascii="Arial" w:cs="Arial" w:eastAsia="Arial" w:hAnsi="Arial"/>
                  <w:sz w:val="16"/>
                  <w:szCs w:val="16"/>
                  <w:color w:val="0000FF"/>
                  <w:w w:val="86"/>
                </w:rPr>
                <w:t>PART IV</w:t>
              </w:r>
            </w:hyperlink>
          </w:p>
        </w:tc>
        <w:tc>
          <w:tcPr>
            <w:tcW w:w="9640" w:type="dxa"/>
            <w:vAlign w:val="bottom"/>
            <w:gridSpan w:val="21"/>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6"/>
        </w:trPr>
        <w:tc>
          <w:tcPr>
            <w:tcW w:w="580" w:type="dxa"/>
            <w:vAlign w:val="bottom"/>
          </w:tcPr>
          <w:p>
            <w:pPr>
              <w:spacing w:after="0"/>
              <w:rPr>
                <w:sz w:val="21"/>
                <w:szCs w:val="21"/>
                <w:color w:val="auto"/>
              </w:rPr>
            </w:pPr>
          </w:p>
        </w:tc>
        <w:tc>
          <w:tcPr>
            <w:tcW w:w="3280" w:type="dxa"/>
            <w:vAlign w:val="bottom"/>
            <w:gridSpan w:val="12"/>
          </w:tcPr>
          <w:p>
            <w:pPr>
              <w:spacing w:after="0"/>
              <w:rPr>
                <w:rFonts w:ascii="Arial" w:cs="Arial" w:eastAsia="Arial" w:hAnsi="Arial"/>
                <w:sz w:val="16"/>
                <w:szCs w:val="16"/>
                <w:color w:val="0000FF"/>
                <w:w w:val="86"/>
              </w:rPr>
            </w:pPr>
            <w:hyperlink w:anchor="page50">
              <w:r>
                <w:rPr>
                  <w:rFonts w:ascii="Arial" w:cs="Arial" w:eastAsia="Arial" w:hAnsi="Arial"/>
                  <w:sz w:val="16"/>
                  <w:szCs w:val="16"/>
                  <w:color w:val="0000FF"/>
                  <w:w w:val="86"/>
                </w:rPr>
                <w:t>Item 15. Exhibits and Financial Statements Schedule</w:t>
              </w:r>
            </w:hyperlink>
          </w:p>
        </w:tc>
        <w:tc>
          <w:tcPr>
            <w:tcW w:w="6360" w:type="dxa"/>
            <w:vAlign w:val="bottom"/>
            <w:gridSpan w:val="9"/>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3280" w:type="dxa"/>
            <w:vAlign w:val="bottom"/>
            <w:gridSpan w:val="12"/>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Item 16. Form 10-K Summary</w:t>
              </w:r>
            </w:hyperlink>
          </w:p>
        </w:tc>
        <w:tc>
          <w:tcPr>
            <w:tcW w:w="636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58">
              <w:r>
                <w:rPr>
                  <w:rFonts w:ascii="Arial" w:cs="Arial" w:eastAsia="Arial" w:hAnsi="Arial"/>
                  <w:sz w:val="16"/>
                  <w:szCs w:val="16"/>
                  <w:color w:val="0000FF"/>
                  <w:w w:val="78"/>
                </w:rPr>
                <w:t>58</w:t>
              </w:r>
            </w:hyperlink>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980" w:type="dxa"/>
            <w:vAlign w:val="bottom"/>
            <w:gridSpan w:val="2"/>
          </w:tcPr>
          <w:p>
            <w:pPr>
              <w:spacing w:after="0"/>
              <w:rPr>
                <w:rFonts w:ascii="Arial" w:cs="Arial" w:eastAsia="Arial" w:hAnsi="Arial"/>
                <w:sz w:val="16"/>
                <w:szCs w:val="16"/>
                <w:color w:val="0000FF"/>
                <w:w w:val="90"/>
              </w:rPr>
            </w:pPr>
            <w:hyperlink w:anchor="page58">
              <w:r>
                <w:rPr>
                  <w:rFonts w:ascii="Arial" w:cs="Arial" w:eastAsia="Arial" w:hAnsi="Arial"/>
                  <w:sz w:val="16"/>
                  <w:szCs w:val="16"/>
                  <w:color w:val="0000FF"/>
                  <w:w w:val="90"/>
                </w:rPr>
                <w:t>SIGNATURES</w:t>
              </w:r>
            </w:hyperlink>
          </w:p>
        </w:tc>
        <w:tc>
          <w:tcPr>
            <w:tcW w:w="9240" w:type="dxa"/>
            <w:vAlign w:val="bottom"/>
            <w:gridSpan w:val="20"/>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58">
              <w:r>
                <w:rPr>
                  <w:rFonts w:ascii="Arial" w:cs="Arial" w:eastAsia="Arial" w:hAnsi="Arial"/>
                  <w:sz w:val="16"/>
                  <w:szCs w:val="16"/>
                  <w:color w:val="0000FF"/>
                  <w:w w:val="78"/>
                </w:rPr>
                <w:t>59</w:t>
              </w:r>
            </w:hyperlink>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75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Integra products are sold in more than 130 countries through a direct sales force as well as distributors and wholesalers. We manufacture and sell medical technologies and products in two reportable business segments: Codman Specialty Surgical ("CSS") and Tissue Technologies ("TT"). The CSS segment, which represents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Canada, China, France, Germany, Ireland and Switzerland. We source most of our handheld surgical instruments and dural sealant products through specialized third-party vendors.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aspire to continue to be a worldwide leader in neurosurgery and reconstructive surgery with a portfolio of leading businesses that delivers outstanding customer experiences through innovation, execution and teamwork to positively impact the lives of millions of patients and their families.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An important part of the Company's strategy is pursuing strategic transactions and licensing agreements that increase relevant scale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clinical areas in which Integra competes. During 2021, the Company acquired ACell Inc. ("ACell"), an innovative regenerative medicine company specializing in the manufacturing of porcine urinary bladder extracellular matrices. This acquisition not only expanded the Company’s product offering of regenerative technologies, but it also supported the Company’s long-term growth and profitability strategy as this product line has a financial profile similar to Integra’s other regenerative tissue products. All critical components of ACell have been integrated into the Company’s TT segment. See Note 4,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Divestitures</w:t>
      </w:r>
      <w:r>
        <w:rPr>
          <w:rFonts w:ascii="Arial" w:cs="Arial" w:eastAsia="Arial" w:hAnsi="Arial"/>
          <w:sz w:val="18"/>
          <w:szCs w:val="18"/>
          <w:color w:val="auto"/>
        </w:rPr>
        <w:t>, to the Notes to Consolidated Financial Statements (Part II, Item 8 of this Form 10-K) for additional details. In 2021, we continued 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the development of pioneering neurosurgical technologies from our 2019 acquisitions, Arkis Biosciences, Inc. and Rebound Therapeutics Corporation.</w:t>
      </w:r>
    </w:p>
    <w:p>
      <w:pPr>
        <w:spacing w:after="0" w:line="2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Portfolio Optimization and New Product Introductions. </w:t>
      </w:r>
      <w:r>
        <w:rPr>
          <w:rFonts w:ascii="Arial" w:cs="Arial" w:eastAsia="Arial" w:hAnsi="Arial"/>
          <w:sz w:val="15"/>
          <w:szCs w:val="15"/>
          <w:color w:val="auto"/>
        </w:rPr>
        <w:t>We are investing in innovative product development to drive a multi-generational pipeline for our key</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franchises. Our product development efforts span across our key global franchises focused on potential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In January 2021, we completed the sale of our Extremity Orthopedics business to Smith &amp; Nephew USD Limited ("Smith &amp; Nephew"), a subsidiary of Smith</w:t>
      </w:r>
    </w:p>
    <w:p>
      <w:pPr>
        <w:spacing w:after="0" w:line="27" w:lineRule="exact"/>
        <w:rPr>
          <w:sz w:val="20"/>
          <w:szCs w:val="20"/>
          <w:color w:val="auto"/>
        </w:rPr>
      </w:pPr>
    </w:p>
    <w:p>
      <w:pPr>
        <w:ind w:left="5580" w:right="4580" w:hanging="5574"/>
        <w:spacing w:after="0" w:line="865"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Nephew plc, for approximately $240 million in cash. This transaction enables us to increase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 w:name="page5"/>
    <w:bookmarkEnd w:id="4"/>
    <w:p>
      <w:pPr>
        <w:jc w:val="both"/>
        <w:spacing w:after="0" w:line="230" w:lineRule="auto"/>
        <w:rPr>
          <w:sz w:val="20"/>
          <w:szCs w:val="20"/>
          <w:color w:val="auto"/>
        </w:rPr>
      </w:pPr>
      <w:r>
        <w:rPr>
          <w:rFonts w:ascii="Arial" w:cs="Arial" w:eastAsia="Arial" w:hAnsi="Arial"/>
          <w:sz w:val="18"/>
          <w:szCs w:val="18"/>
          <w:color w:val="auto"/>
        </w:rPr>
        <w:t xml:space="preserve">our investments in our core neurosurgery and tissue technologies businesses and fund pipeline opportunities to expand our addressable markets to strengthen our existing leadership positions in these segments and drive future growth.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Notes to Consolidated Financial Statements (Part II, Item 8 of this Form 10-K) for details.</w:t>
      </w:r>
    </w:p>
    <w:p>
      <w:pPr>
        <w:spacing w:after="0" w:line="8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i w:val="1"/>
          <w:iCs w:val="1"/>
          <w:color w:val="auto"/>
        </w:rPr>
        <w:t>Commercial Channel Investments</w:t>
      </w:r>
      <w:r>
        <w:rPr>
          <w:rFonts w:ascii="Arial" w:cs="Arial" w:eastAsia="Arial" w:hAnsi="Arial"/>
          <w:sz w:val="15"/>
          <w:szCs w:val="15"/>
          <w:color w:val="auto"/>
        </w:rPr>
        <w:t>. Investing in our sales channels is a core part of our strategy to create specialization and greater focus on reaching new and</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customers and addressing their needs. To support our commercial efforts in Tissue Technologies, we expanded our two-tier specialist model to increase our presence in focused segments by creating a virtual selling organization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These investments in our international sales channel position us well for expansion and long-term growth.</w:t>
      </w:r>
    </w:p>
    <w:p>
      <w:pPr>
        <w:spacing w:after="0" w:line="4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Customer Experience</w:t>
      </w:r>
      <w:r>
        <w:rPr>
          <w:rFonts w:ascii="Arial" w:cs="Arial" w:eastAsia="Arial" w:hAnsi="Arial"/>
          <w:sz w:val="17"/>
          <w:szCs w:val="17"/>
          <w:color w:val="auto"/>
        </w:rPr>
        <w:t>. We aspire to be ranked as a best-in-class provider and are committed to strengthen our relationships with all customers. We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technologies, systems and processes to enhance the customer experience. Additionally, we launched digital tools and programs, resources and virtual product training to drive continued customer familiarity with our growing portfolio of medical technologies globally.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Integra currently manufactures and sells our products and technologies in the following two global reportable business segments: Codman Specialty Surgical and Tissue Technologies. We include financial information regarding our reportable business segments and certain geographic information under "Item 7. Management's Discussion and Analysis of Financial Condition and Results of Operations",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to the Notes to Consolidated Financial Statements (Part II, Item 8 of this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10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Codman Specialty Surgical business consists of a broad portfolio of market-leading brands, such as Codman</w:t>
      </w:r>
      <w:r>
        <w:rPr>
          <w:rFonts w:ascii="Arial" w:cs="Arial" w:eastAsia="Arial" w:hAnsi="Arial"/>
          <w:sz w:val="22"/>
          <w:szCs w:val="22"/>
          <w:color w:val="auto"/>
          <w:vertAlign w:val="superscript"/>
        </w:rPr>
        <w:t>®</w:t>
      </w:r>
      <w:r>
        <w:rPr>
          <w:rFonts w:ascii="Arial" w:cs="Arial" w:eastAsia="Arial" w:hAnsi="Arial"/>
          <w:sz w:val="17"/>
          <w:szCs w:val="17"/>
          <w:color w:val="auto"/>
        </w:rPr>
        <w:t>, DuraGen</w:t>
      </w:r>
      <w:r>
        <w:rPr>
          <w:rFonts w:ascii="Arial" w:cs="Arial" w:eastAsia="Arial" w:hAnsi="Arial"/>
          <w:sz w:val="22"/>
          <w:szCs w:val="22"/>
          <w:color w:val="auto"/>
          <w:vertAlign w:val="superscript"/>
        </w:rPr>
        <w:t>®</w:t>
      </w:r>
      <w:r>
        <w:rPr>
          <w:rFonts w:ascii="Arial" w:cs="Arial" w:eastAsia="Arial" w:hAnsi="Arial"/>
          <w:sz w:val="17"/>
          <w:szCs w:val="17"/>
          <w:color w:val="auto"/>
        </w:rPr>
        <w:t>, DuraSeal</w:t>
      </w:r>
      <w:r>
        <w:rPr>
          <w:rFonts w:ascii="Arial" w:cs="Arial" w:eastAsia="Arial" w:hAnsi="Arial"/>
          <w:sz w:val="22"/>
          <w:szCs w:val="22"/>
          <w:color w:val="auto"/>
          <w:vertAlign w:val="superscript"/>
        </w:rPr>
        <w:t>®</w:t>
      </w:r>
      <w:r>
        <w:rPr>
          <w:rFonts w:ascii="Arial" w:cs="Arial" w:eastAsia="Arial" w:hAnsi="Arial"/>
          <w:sz w:val="17"/>
          <w:szCs w:val="17"/>
          <w:color w:val="auto"/>
        </w:rPr>
        <w:t>, CUSA</w:t>
      </w:r>
      <w:r>
        <w:rPr>
          <w:rFonts w:ascii="Arial" w:cs="Arial" w:eastAsia="Arial" w:hAnsi="Arial"/>
          <w:sz w:val="22"/>
          <w:szCs w:val="22"/>
          <w:color w:val="auto"/>
          <w:vertAlign w:val="superscript"/>
        </w:rPr>
        <w:t>®</w:t>
      </w:r>
      <w:r>
        <w:rPr>
          <w:rFonts w:ascii="Arial" w:cs="Arial" w:eastAsia="Arial" w:hAnsi="Arial"/>
          <w:sz w:val="17"/>
          <w:szCs w:val="17"/>
          <w:color w:val="auto"/>
        </w:rPr>
        <w:t>, Mayfield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Bactiseal</w:t>
      </w:r>
      <w:r>
        <w:rPr>
          <w:rFonts w:ascii="Arial" w:cs="Arial" w:eastAsia="Arial" w:hAnsi="Arial"/>
          <w:sz w:val="22"/>
          <w:szCs w:val="22"/>
          <w:color w:val="auto"/>
          <w:vertAlign w:val="superscript"/>
        </w:rPr>
        <w:t>®</w:t>
      </w:r>
      <w:r>
        <w:rPr>
          <w:rFonts w:ascii="Arial" w:cs="Arial" w:eastAsia="Arial" w:hAnsi="Arial"/>
          <w:sz w:val="17"/>
          <w:szCs w:val="17"/>
          <w:color w:val="auto"/>
        </w:rPr>
        <w:t>, which are used for the management of multiple disease states, including brain tumors, traumatic brain injury, hydrocephalus and other neurological conditions. The growth in this business in the recent years has been fueled by geographic expansion and new product registrations in markets, such as China, Japan, and Europe, which we expect to continue in the near to long term.</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expanded our product offerings in 2021 with the launch of our new intracranial pressure ("ICP") monitoring system, CereLink™ in the U.S. and Europe. It provides clinicians with advanced continuous ICP monitoring that until now, has not been available when treating patients with traumatic brain injuries</w:t>
      </w:r>
    </w:p>
    <w:p>
      <w:pPr>
        <w:spacing w:after="0" w:line="8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Moreover, we are expanding into minimally invasive surgery ("MIS") and the surgical management of intracerebral hemorrhages ("ICH"), with the 2021 clinical launch of Aurora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Surgiscope</w:t>
      </w:r>
      <w:r>
        <w:rPr>
          <w:rFonts w:ascii="Arial" w:cs="Arial" w:eastAsia="Arial" w:hAnsi="Arial"/>
          <w:sz w:val="23"/>
          <w:szCs w:val="23"/>
          <w:color w:val="auto"/>
          <w:vertAlign w:val="superscript"/>
        </w:rPr>
        <w:t>®</w:t>
      </w:r>
      <w:r>
        <w:rPr>
          <w:rFonts w:ascii="Arial" w:cs="Arial" w:eastAsia="Arial" w:hAnsi="Arial"/>
          <w:sz w:val="18"/>
          <w:szCs w:val="18"/>
          <w:color w:val="auto"/>
        </w:rPr>
        <w:t>, a proprietary surgical solution with integrated visualization and capabilities designed specifically for use in deep-seated brain lesions. We started gathering clinical evidence using this same technology for early surgical intervention for the treatment of ICH. We believe this technology offers the promise of transforming the standard of care in neurosurgery.</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Rounding out the portfolio is a catalog of surgical headlamps and surgical instrumentation, as well as after-market service. With thousands of surgical instrument products, including specialty surgical instruments, we call on the central sterile processing unit of hospitals and acute care surgical centers. Additionally, through a strong U.S. distribution model, we serve the needs of hundreds of medical offices.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Tissue Technologies</w:t>
      </w:r>
    </w:p>
    <w:p>
      <w:pPr>
        <w:spacing w:after="0" w:line="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Following the sale of the Extremity Orthopedics business in the first quarter of 2021, we rebranded the Orthopedics and Tissue Technologies segment as Tissue Technologies.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Notes to Consolidated Financial Statements (Part II, Item 8 of this Form 10-K) for details.</w:t>
      </w:r>
    </w:p>
    <w:p>
      <w:pPr>
        <w:spacing w:after="0" w:line="20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Tissue Technologies segment consists of four unique regenerative technology areas - highly engineered bovine collagen, bovine dermis, porcine urinary bladder, and human amniotic tissue. This broad regenerative platform, which includes multiple leading brands such as Integra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Dermal Matrices, AmnioExcel</w:t>
      </w:r>
      <w:r>
        <w:rPr>
          <w:rFonts w:ascii="Arial" w:cs="Arial" w:eastAsia="Arial" w:hAnsi="Arial"/>
          <w:sz w:val="23"/>
          <w:szCs w:val="23"/>
          <w:color w:val="auto"/>
          <w:vertAlign w:val="superscript"/>
        </w:rPr>
        <w:t>®</w:t>
      </w:r>
      <w:r>
        <w:rPr>
          <w:rFonts w:ascii="Arial" w:cs="Arial" w:eastAsia="Arial" w:hAnsi="Arial"/>
          <w:sz w:val="18"/>
          <w:szCs w:val="18"/>
          <w:color w:val="auto"/>
        </w:rPr>
        <w:t>, SurgiMend</w:t>
      </w:r>
      <w:r>
        <w:rPr>
          <w:rFonts w:ascii="Arial" w:cs="Arial" w:eastAsia="Arial" w:hAnsi="Arial"/>
          <w:sz w:val="23"/>
          <w:szCs w:val="23"/>
          <w:color w:val="auto"/>
          <w:vertAlign w:val="superscript"/>
        </w:rPr>
        <w:t>®</w:t>
      </w:r>
      <w:r>
        <w:rPr>
          <w:rFonts w:ascii="Arial" w:cs="Arial" w:eastAsia="Arial" w:hAnsi="Arial"/>
          <w:sz w:val="18"/>
          <w:szCs w:val="18"/>
          <w:color w:val="auto"/>
        </w:rPr>
        <w:t>, MicroMatrix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NeuraGen</w:t>
      </w:r>
      <w:r>
        <w:rPr>
          <w:rFonts w:ascii="Arial" w:cs="Arial" w:eastAsia="Arial" w:hAnsi="Arial"/>
          <w:sz w:val="23"/>
          <w:szCs w:val="23"/>
          <w:color w:val="auto"/>
          <w:vertAlign w:val="superscript"/>
        </w:rPr>
        <w:t>®</w:t>
      </w:r>
      <w:r>
        <w:rPr>
          <w:rFonts w:ascii="Arial" w:cs="Arial" w:eastAsia="Arial" w:hAnsi="Arial"/>
          <w:sz w:val="18"/>
          <w:szCs w:val="18"/>
          <w:color w:val="auto"/>
        </w:rPr>
        <w:t>, primarily addresses the needs of plastic, reconstructive and general surgeons focused on the treatment of acute wounds, such as burns,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chronic wounds, including diabetic foot ulcers, and surgical tissue repair, such as hernia, tendon, peripheral nerve repair and protection.</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specialized sales organization composed of directly employed sales representatives, as well as specialty distributors, organized based upon their call point. Our wound reconstruction sales representatives call on surgeons doing procedures in limb salvage, trauma, wound reconstruction and burns, chronic wounds primarily in the inpatient wound care clinic setting. We also have a dedicated surgical reconstruction sales team focused on plastic and reconstructive surgery and hernia procedures with differentiated products. Finally, we have a distributor network focused on biologics. Outside the U.S., we have a combination of direct and indirect sales channels in international markets to sell certain product lines.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spine, surgical and wound care.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anticipate new product introductions and new clinical indications will continue to contribute to the growth of the segment. In the third quarter of 2021, we filed the premarket approval application for a specific indication for SurgiMend in the use of post-mastectomy breast reconstruction, for which we hope to obtain FDA approval in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competitors for CSS are Medtronic, Inc., Stryker Corporation, Becton Dickinson and Company and Aesculap, a division of B. Braun Medical, Inc. In addition, we compete with many smaller specialized companies and larger companies that do not otherwise focus on the offerings of Codman Specialty Surgical technologies. We rely on the depth and breadth of our sales and marketing organization, our innovative technologies, and our procurement and manufacturing operations to maintain our competitive position.</w:t>
      </w:r>
    </w:p>
    <w:p>
      <w:pPr>
        <w:spacing w:after="0" w:line="7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competition in TT includes Smith &amp; Nephew plc, Organogenesis Holdings Inc., MiMedx Group, Inc., LifeCell Corporation, a subsidiary of Allergan PLC, C.R. Bard, a subsidiary of Becton Dickinson and Company, and Axogen, Inc. We compete with many additional companies who partially participate in soft tissue reconstruction of complex wounds, peripheral nerve repair and surgical reconstruction.</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products also compete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innovate products for neurosurgical, wound applications, plastic surgery, and reconstructive surgery and we have extensive R&amp;D development programs for our core platforms of electromechanical technologies. Additionally, we conduct products and clinical studies to generate efficacy and health economic evidence.</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Regenerative Technologies</w:t>
      </w:r>
      <w:r>
        <w:rPr>
          <w:rFonts w:ascii="Arial" w:cs="Arial" w:eastAsia="Arial" w:hAnsi="Arial"/>
          <w:sz w:val="17"/>
          <w:szCs w:val="17"/>
          <w:color w:val="auto"/>
        </w:rPr>
        <w:t>. Integra was the first Company to receive a United States Food and Drug Administration ("FDA") claim for regeneration of dermal</w:t>
      </w:r>
      <w:r>
        <w:rPr>
          <w:rFonts w:ascii="Arial" w:cs="Arial" w:eastAsia="Arial" w:hAnsi="Arial"/>
          <w:sz w:val="17"/>
          <w:szCs w:val="17"/>
          <w:i w:val="1"/>
          <w:iCs w:val="1"/>
          <w:color w:val="auto"/>
        </w:rPr>
        <w:t xml:space="preserve"> </w:t>
      </w:r>
      <w:r>
        <w:rPr>
          <w:rFonts w:ascii="Arial" w:cs="Arial" w:eastAsia="Arial" w:hAnsi="Arial"/>
          <w:sz w:val="17"/>
          <w:szCs w:val="17"/>
          <w:color w:val="auto"/>
        </w:rPr>
        <w:t>tissue and is a world leader in regenerative 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Our regenerative technology platform includes our legacy Integra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Dermal Regeneration Template ("IDRT") products and complementary technologies that we have acquired. Our collagen manufacturing capability, combined with our history of innovation, provides us with strong platform technologies for multiple indications.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2020, we announced positive clinical and economic data on Integra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IBWM helps address the efficiency needed in operating rooms by reducing both the operating time and costs to hospitals and patients. In 2021, we completed one of the largest diabetic foot ulcers ("DFU"), randomized controlled trials of the PriMatrix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7"/>
          <w:szCs w:val="17"/>
          <w:i w:val="1"/>
          <w:iCs w:val="1"/>
          <w:color w:val="auto"/>
        </w:rPr>
        <w:t>Electromechanical Technologies and Instrumentation</w:t>
      </w:r>
      <w:r>
        <w:rPr>
          <w:rFonts w:ascii="Arial" w:cs="Arial" w:eastAsia="Arial" w:hAnsi="Arial"/>
          <w:sz w:val="17"/>
          <w:szCs w:val="17"/>
          <w:color w:val="auto"/>
        </w:rPr>
        <w:t>. Because our electromechanical products and instruments address significant needs in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CSF management, neuro-critical care monitoring, minimally invasive instruments and electrosurgery and ultrasonic medical technologies, as well as our ambition to transform the standard of care in neurosurgery with product advancements in MIS and ICH. Our lighting franchise is among the most dynamic in the industry.</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benefitted from our product launches from prior years, including our new electrosurgery generator and irrigator system, an innovative customer-centric toolkit for our Certas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Plus Programmable Valve along with additional shunt configurations. In Japan, we are experiencing strong growth as a result of the successful launch of DuraGen in mid-2019, which is the first and only collagen xenograft approved for use as a dural substitute in the country. We are focused on the development of core clinical applications in our electromechanical technologies portfolio. Also, we continue to update our CUSA Clarity platform by incorporating new ultrasonic handpiece, surgical tips and integrated electrosurgical capabilities. We continue to work with several instrument partners to bring new surgical instrument platforms to the market.</w:t>
      </w:r>
    </w:p>
    <w:p>
      <w:pPr>
        <w:spacing w:after="0" w:line="7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the third quarter of 2021, we launched our CereLink ICP Monitor System in the U.S. and Europe. CereLink provides enhanced accuracy, usability and advanced data presentation that provides clinicians with uncompromised, advanced continuous ICP monitoring that until now, has not been available when treating patients with traumatic brain injuries.</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2021, we continued to advance the early-stage technology platforms we acquired in 2019. Through the acquisition of Arkis Biosciences, we added a platform technology, CerebroFlo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external ventricular drainage ("EVD"), catheter with Endexo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a Company that specialized in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the treatment of ICH.</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practice is to maintain sufficient inventory of components so that our production will not be significantly disrupted even if a particular component or material is not available for a period of time.</w:t>
      </w:r>
    </w:p>
    <w:p>
      <w:pPr>
        <w:spacing w:after="0" w:line="6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Certain of our products, including but not limited to our dermal regeneration products, duraplasty products, wound care products, and nerve and tendon repair products, contain material derived from bovine tissue. We take great care to provide products that are safe and free of agents that can cause disease. In particular, the collagen used in the products that we manufacture is derived from the deep flexor tendon of cattle less than 24 months old from New Zealand, a country that has never had a reported case of bovine spongiform encephalopathy ("BSE") (otherwise known as mad cow disease), from the U.S. or from fetal bovine dermis. The World Health Organization classifies different types of cattle tissue for relative risk of BSE transmission. Deep flexor tendon and fetal bovine skin are in the lowest-risk category for BSE transmission, and therefore considered to have a negligible risk of containing the agent that causes BSE.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6"/>
          <w:szCs w:val="16"/>
          <w:color w:val="auto"/>
        </w:rPr>
        <w:t>AccuDrain</w:t>
      </w:r>
      <w:r>
        <w:rPr>
          <w:rFonts w:ascii="Arial" w:cs="Arial" w:eastAsia="Arial" w:hAnsi="Arial"/>
          <w:sz w:val="21"/>
          <w:szCs w:val="21"/>
          <w:color w:val="auto"/>
          <w:vertAlign w:val="superscript"/>
        </w:rPr>
        <w:t>®</w:t>
      </w:r>
      <w:r>
        <w:rPr>
          <w:rFonts w:ascii="Arial" w:cs="Arial" w:eastAsia="Arial" w:hAnsi="Arial"/>
          <w:sz w:val="16"/>
          <w:szCs w:val="16"/>
          <w:color w:val="auto"/>
        </w:rPr>
        <w:t>, AmnioExcel</w:t>
      </w:r>
      <w:r>
        <w:rPr>
          <w:rFonts w:ascii="Arial" w:cs="Arial" w:eastAsia="Arial" w:hAnsi="Arial"/>
          <w:sz w:val="21"/>
          <w:szCs w:val="21"/>
          <w:color w:val="auto"/>
          <w:vertAlign w:val="superscript"/>
        </w:rPr>
        <w:t>®</w:t>
      </w:r>
      <w:r>
        <w:rPr>
          <w:rFonts w:ascii="Arial" w:cs="Arial" w:eastAsia="Arial" w:hAnsi="Arial"/>
          <w:sz w:val="16"/>
          <w:szCs w:val="16"/>
          <w:color w:val="auto"/>
        </w:rPr>
        <w:t>, Aquasonic</w:t>
      </w:r>
      <w:r>
        <w:rPr>
          <w:rFonts w:ascii="Arial" w:cs="Arial" w:eastAsia="Arial" w:hAnsi="Arial"/>
          <w:sz w:val="21"/>
          <w:szCs w:val="21"/>
          <w:color w:val="auto"/>
          <w:vertAlign w:val="superscript"/>
        </w:rPr>
        <w:t>®</w:t>
      </w:r>
      <w:r>
        <w:rPr>
          <w:rFonts w:ascii="Arial" w:cs="Arial" w:eastAsia="Arial" w:hAnsi="Arial"/>
          <w:sz w:val="16"/>
          <w:szCs w:val="16"/>
          <w:color w:val="auto"/>
        </w:rPr>
        <w:t>, Auragen</w:t>
      </w:r>
      <w:r>
        <w:rPr>
          <w:rFonts w:ascii="Arial" w:cs="Arial" w:eastAsia="Arial" w:hAnsi="Arial"/>
          <w:sz w:val="21"/>
          <w:szCs w:val="21"/>
          <w:color w:val="auto"/>
          <w:vertAlign w:val="superscript"/>
        </w:rPr>
        <w:t>®</w:t>
      </w:r>
      <w:r>
        <w:rPr>
          <w:rFonts w:ascii="Arial" w:cs="Arial" w:eastAsia="Arial" w:hAnsi="Arial"/>
          <w:sz w:val="16"/>
          <w:szCs w:val="16"/>
          <w:color w:val="auto"/>
        </w:rPr>
        <w:t>, Aurora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Surgiscope</w:t>
      </w:r>
      <w:r>
        <w:rPr>
          <w:rFonts w:ascii="Arial" w:cs="Arial" w:eastAsia="Arial" w:hAnsi="Arial"/>
          <w:sz w:val="20"/>
          <w:szCs w:val="20"/>
          <w:color w:val="auto"/>
          <w:vertAlign w:val="superscript"/>
        </w:rPr>
        <w:t>®</w:t>
      </w:r>
      <w:r>
        <w:rPr>
          <w:rFonts w:ascii="Arial" w:cs="Arial" w:eastAsia="Arial" w:hAnsi="Arial"/>
          <w:sz w:val="19"/>
          <w:szCs w:val="19"/>
          <w:color w:val="auto"/>
        </w:rPr>
        <w:t>,</w:t>
      </w:r>
      <w:r>
        <w:rPr>
          <w:rFonts w:ascii="Arial" w:cs="Arial" w:eastAsia="Arial" w:hAnsi="Arial"/>
          <w:sz w:val="16"/>
          <w:szCs w:val="16"/>
          <w:color w:val="auto"/>
        </w:rPr>
        <w:t xml:space="preserve"> Bactiseal</w:t>
      </w:r>
      <w:r>
        <w:rPr>
          <w:rFonts w:ascii="Arial" w:cs="Arial" w:eastAsia="Arial" w:hAnsi="Arial"/>
          <w:sz w:val="21"/>
          <w:szCs w:val="21"/>
          <w:color w:val="auto"/>
          <w:vertAlign w:val="superscript"/>
        </w:rPr>
        <w:t>®</w:t>
      </w:r>
      <w:r>
        <w:rPr>
          <w:rFonts w:ascii="Arial" w:cs="Arial" w:eastAsia="Arial" w:hAnsi="Arial"/>
          <w:sz w:val="16"/>
          <w:szCs w:val="16"/>
          <w:color w:val="auto"/>
        </w:rPr>
        <w:t>, BioDFence</w:t>
      </w:r>
      <w:r>
        <w:rPr>
          <w:rFonts w:ascii="Arial" w:cs="Arial" w:eastAsia="Arial" w:hAnsi="Arial"/>
          <w:sz w:val="21"/>
          <w:szCs w:val="21"/>
          <w:color w:val="auto"/>
          <w:vertAlign w:val="superscript"/>
        </w:rPr>
        <w:t>®</w:t>
      </w:r>
      <w:r>
        <w:rPr>
          <w:rFonts w:ascii="Arial" w:cs="Arial" w:eastAsia="Arial" w:hAnsi="Arial"/>
          <w:sz w:val="16"/>
          <w:szCs w:val="16"/>
          <w:color w:val="auto"/>
        </w:rPr>
        <w:t>, BioDOptix</w:t>
      </w:r>
      <w:r>
        <w:rPr>
          <w:rFonts w:ascii="Arial" w:cs="Arial" w:eastAsia="Arial" w:hAnsi="Arial"/>
          <w:sz w:val="21"/>
          <w:szCs w:val="21"/>
          <w:color w:val="auto"/>
          <w:vertAlign w:val="superscript"/>
        </w:rPr>
        <w:t>®</w:t>
      </w:r>
      <w:r>
        <w:rPr>
          <w:rFonts w:ascii="Arial" w:cs="Arial" w:eastAsia="Arial" w:hAnsi="Arial"/>
          <w:sz w:val="16"/>
          <w:szCs w:val="16"/>
          <w:color w:val="auto"/>
        </w:rPr>
        <w:t>, Brainet</w:t>
      </w:r>
      <w:r>
        <w:rPr>
          <w:rFonts w:ascii="Arial" w:cs="Arial" w:eastAsia="Arial" w:hAnsi="Arial"/>
          <w:sz w:val="21"/>
          <w:szCs w:val="21"/>
          <w:color w:val="auto"/>
          <w:vertAlign w:val="superscript"/>
        </w:rPr>
        <w:t>®</w:t>
      </w:r>
      <w:r>
        <w:rPr>
          <w:rFonts w:ascii="Arial" w:cs="Arial" w:eastAsia="Arial" w:hAnsi="Arial"/>
          <w:sz w:val="16"/>
          <w:szCs w:val="16"/>
          <w:color w:val="auto"/>
        </w:rPr>
        <w:t>, Budde</w:t>
      </w:r>
      <w:r>
        <w:rPr>
          <w:rFonts w:ascii="Arial" w:cs="Arial" w:eastAsia="Arial" w:hAnsi="Arial"/>
          <w:sz w:val="21"/>
          <w:szCs w:val="21"/>
          <w:color w:val="auto"/>
          <w:vertAlign w:val="superscript"/>
        </w:rPr>
        <w:t>®</w:t>
      </w:r>
      <w:r>
        <w:rPr>
          <w:rFonts w:ascii="Arial" w:cs="Arial" w:eastAsia="Arial" w:hAnsi="Arial"/>
          <w:sz w:val="16"/>
          <w:szCs w:val="16"/>
          <w:color w:val="auto"/>
        </w:rPr>
        <w:t>, Buzz™, CereLink™, CerebroFlo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EVD Catheter with Endexo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Codman</w:t>
      </w:r>
      <w:r>
        <w:rPr>
          <w:rFonts w:ascii="Arial" w:cs="Arial" w:eastAsia="Arial" w:hAnsi="Arial"/>
          <w:sz w:val="21"/>
          <w:szCs w:val="21"/>
          <w:color w:val="auto"/>
          <w:vertAlign w:val="superscript"/>
        </w:rPr>
        <w:t>®</w:t>
      </w:r>
      <w:r>
        <w:rPr>
          <w:rFonts w:ascii="Arial" w:cs="Arial" w:eastAsia="Arial" w:hAnsi="Arial"/>
          <w:sz w:val="16"/>
          <w:szCs w:val="16"/>
          <w:color w:val="auto"/>
        </w:rPr>
        <w:t>, Codman Accu-Flo</w:t>
      </w:r>
      <w:r>
        <w:rPr>
          <w:rFonts w:ascii="Arial" w:cs="Arial" w:eastAsia="Arial" w:hAnsi="Arial"/>
          <w:sz w:val="21"/>
          <w:szCs w:val="21"/>
          <w:color w:val="auto"/>
          <w:vertAlign w:val="superscript"/>
        </w:rPr>
        <w:t>®</w:t>
      </w:r>
      <w:r>
        <w:rPr>
          <w:rFonts w:ascii="Arial" w:cs="Arial" w:eastAsia="Arial" w:hAnsi="Arial"/>
          <w:sz w:val="16"/>
          <w:szCs w:val="16"/>
          <w:color w:val="auto"/>
        </w:rPr>
        <w:t>, Codman Bicol</w:t>
      </w:r>
      <w:r>
        <w:rPr>
          <w:rFonts w:ascii="Arial" w:cs="Arial" w:eastAsia="Arial" w:hAnsi="Arial"/>
          <w:sz w:val="21"/>
          <w:szCs w:val="21"/>
          <w:color w:val="auto"/>
          <w:vertAlign w:val="superscript"/>
        </w:rPr>
        <w:t>®</w:t>
      </w:r>
      <w:r>
        <w:rPr>
          <w:rFonts w:ascii="Arial" w:cs="Arial" w:eastAsia="Arial" w:hAnsi="Arial"/>
          <w:sz w:val="16"/>
          <w:szCs w:val="16"/>
          <w:color w:val="auto"/>
        </w:rPr>
        <w:t>, Codman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Certas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Plus, Codman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Hakim</w:t>
      </w:r>
      <w:r>
        <w:rPr>
          <w:rFonts w:ascii="Arial" w:cs="Arial" w:eastAsia="Arial" w:hAnsi="Arial"/>
          <w:sz w:val="21"/>
          <w:szCs w:val="21"/>
          <w:color w:val="auto"/>
          <w:vertAlign w:val="superscript"/>
        </w:rPr>
        <w:t>®</w:t>
      </w:r>
      <w:r>
        <w:rPr>
          <w:rFonts w:ascii="Arial" w:cs="Arial" w:eastAsia="Arial" w:hAnsi="Arial"/>
          <w:sz w:val="16"/>
          <w:szCs w:val="16"/>
          <w:color w:val="auto"/>
        </w:rPr>
        <w:t>Programmable valve, Codman Holter</w:t>
      </w:r>
      <w:r>
        <w:rPr>
          <w:rFonts w:ascii="Arial" w:cs="Arial" w:eastAsia="Arial" w:hAnsi="Arial"/>
          <w:sz w:val="21"/>
          <w:szCs w:val="21"/>
          <w:color w:val="auto"/>
          <w:vertAlign w:val="superscript"/>
        </w:rPr>
        <w:t>®</w:t>
      </w:r>
      <w:r>
        <w:rPr>
          <w:rFonts w:ascii="Arial" w:cs="Arial" w:eastAsia="Arial" w:hAnsi="Arial"/>
          <w:sz w:val="16"/>
          <w:szCs w:val="16"/>
          <w:color w:val="auto"/>
        </w:rPr>
        <w:t>, Codman ICP Express</w:t>
      </w:r>
      <w:r>
        <w:rPr>
          <w:rFonts w:ascii="Arial" w:cs="Arial" w:eastAsia="Arial" w:hAnsi="Arial"/>
          <w:sz w:val="21"/>
          <w:szCs w:val="21"/>
          <w:color w:val="auto"/>
          <w:vertAlign w:val="superscript"/>
        </w:rPr>
        <w:t>®</w:t>
      </w:r>
      <w:r>
        <w:rPr>
          <w:rFonts w:ascii="Arial" w:cs="Arial" w:eastAsia="Arial" w:hAnsi="Arial"/>
          <w:sz w:val="16"/>
          <w:szCs w:val="16"/>
          <w:color w:val="auto"/>
        </w:rPr>
        <w:t>, Codman Microsensor</w:t>
      </w:r>
      <w:r>
        <w:rPr>
          <w:rFonts w:ascii="Arial" w:cs="Arial" w:eastAsia="Arial" w:hAnsi="Arial"/>
          <w:sz w:val="21"/>
          <w:szCs w:val="21"/>
          <w:color w:val="auto"/>
          <w:vertAlign w:val="superscript"/>
        </w:rPr>
        <w:t>®</w:t>
      </w:r>
      <w:r>
        <w:rPr>
          <w:rFonts w:ascii="Arial" w:cs="Arial" w:eastAsia="Arial" w:hAnsi="Arial"/>
          <w:sz w:val="16"/>
          <w:szCs w:val="16"/>
          <w:color w:val="auto"/>
        </w:rPr>
        <w:t>, Codman VersaTru</w:t>
      </w:r>
      <w:r>
        <w:rPr>
          <w:rFonts w:ascii="Arial" w:cs="Arial" w:eastAsia="Arial" w:hAnsi="Arial"/>
          <w:sz w:val="21"/>
          <w:szCs w:val="21"/>
          <w:color w:val="auto"/>
          <w:vertAlign w:val="superscript"/>
        </w:rPr>
        <w:t>®</w:t>
      </w:r>
      <w:r>
        <w:rPr>
          <w:rFonts w:ascii="Arial" w:cs="Arial" w:eastAsia="Arial" w:hAnsi="Arial"/>
          <w:sz w:val="16"/>
          <w:szCs w:val="16"/>
          <w:color w:val="auto"/>
        </w:rPr>
        <w:t>, Codman VPV</w:t>
      </w:r>
      <w:r>
        <w:rPr>
          <w:rFonts w:ascii="Arial" w:cs="Arial" w:eastAsia="Arial" w:hAnsi="Arial"/>
          <w:sz w:val="21"/>
          <w:szCs w:val="21"/>
          <w:color w:val="auto"/>
          <w:vertAlign w:val="superscript"/>
        </w:rPr>
        <w:t>®</w:t>
      </w:r>
      <w:r>
        <w:rPr>
          <w:rFonts w:ascii="Arial" w:cs="Arial" w:eastAsia="Arial" w:hAnsi="Arial"/>
          <w:sz w:val="16"/>
          <w:szCs w:val="16"/>
          <w:color w:val="auto"/>
        </w:rPr>
        <w:t>, Contour-Flex</w:t>
      </w:r>
      <w:r>
        <w:rPr>
          <w:rFonts w:ascii="Arial" w:cs="Arial" w:eastAsia="Arial" w:hAnsi="Arial"/>
          <w:sz w:val="21"/>
          <w:szCs w:val="21"/>
          <w:color w:val="auto"/>
          <w:vertAlign w:val="superscript"/>
        </w:rPr>
        <w:t>®</w:t>
      </w:r>
      <w:r>
        <w:rPr>
          <w:rFonts w:ascii="Arial" w:cs="Arial" w:eastAsia="Arial" w:hAnsi="Arial"/>
          <w:sz w:val="16"/>
          <w:szCs w:val="16"/>
          <w:color w:val="auto"/>
        </w:rPr>
        <w:t>, Cranioplastic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CRW</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CRW Precision™, Ctherm™, CUSA</w:t>
      </w:r>
      <w:r>
        <w:rPr>
          <w:rFonts w:ascii="Arial" w:cs="Arial" w:eastAsia="Arial" w:hAnsi="Arial"/>
          <w:sz w:val="21"/>
          <w:szCs w:val="21"/>
          <w:color w:val="auto"/>
          <w:vertAlign w:val="superscript"/>
        </w:rPr>
        <w:t>®</w:t>
      </w:r>
      <w:r>
        <w:rPr>
          <w:rFonts w:ascii="Arial" w:cs="Arial" w:eastAsia="Arial" w:hAnsi="Arial"/>
          <w:sz w:val="16"/>
          <w:szCs w:val="16"/>
          <w:color w:val="auto"/>
        </w:rPr>
        <w:t>, Cytal</w:t>
      </w:r>
      <w:r>
        <w:rPr>
          <w:rFonts w:ascii="Arial" w:cs="Arial" w:eastAsia="Arial" w:hAnsi="Arial"/>
          <w:sz w:val="21"/>
          <w:szCs w:val="21"/>
          <w:color w:val="auto"/>
          <w:vertAlign w:val="superscript"/>
        </w:rPr>
        <w:t>®</w:t>
      </w:r>
      <w:r>
        <w:rPr>
          <w:rFonts w:ascii="Arial" w:cs="Arial" w:eastAsia="Arial" w:hAnsi="Arial"/>
          <w:sz w:val="16"/>
          <w:szCs w:val="16"/>
          <w:color w:val="auto"/>
        </w:rPr>
        <w:t>, DirectLink</w:t>
      </w:r>
      <w:r>
        <w:rPr>
          <w:rFonts w:ascii="Arial" w:cs="Arial" w:eastAsia="Arial" w:hAnsi="Arial"/>
          <w:sz w:val="21"/>
          <w:szCs w:val="21"/>
          <w:color w:val="auto"/>
          <w:vertAlign w:val="superscript"/>
        </w:rPr>
        <w:t>®</w:t>
      </w:r>
      <w:r>
        <w:rPr>
          <w:rFonts w:ascii="Arial" w:cs="Arial" w:eastAsia="Arial" w:hAnsi="Arial"/>
          <w:sz w:val="16"/>
          <w:szCs w:val="16"/>
          <w:color w:val="auto"/>
        </w:rPr>
        <w:t>, DuraGen</w:t>
      </w:r>
      <w:r>
        <w:rPr>
          <w:rFonts w:ascii="Arial" w:cs="Arial" w:eastAsia="Arial" w:hAnsi="Arial"/>
          <w:sz w:val="21"/>
          <w:szCs w:val="21"/>
          <w:color w:val="auto"/>
          <w:vertAlign w:val="superscript"/>
        </w:rPr>
        <w:t>®</w:t>
      </w:r>
      <w:r>
        <w:rPr>
          <w:rFonts w:ascii="Arial" w:cs="Arial" w:eastAsia="Arial" w:hAnsi="Arial"/>
          <w:sz w:val="16"/>
          <w:szCs w:val="16"/>
          <w:color w:val="auto"/>
        </w:rPr>
        <w:t>, DuraSeal</w:t>
      </w:r>
      <w:r>
        <w:rPr>
          <w:rFonts w:ascii="Arial" w:cs="Arial" w:eastAsia="Arial" w:hAnsi="Arial"/>
          <w:sz w:val="21"/>
          <w:szCs w:val="21"/>
          <w:color w:val="auto"/>
          <w:vertAlign w:val="superscript"/>
        </w:rPr>
        <w:t>®</w:t>
      </w:r>
      <w:r>
        <w:rPr>
          <w:rFonts w:ascii="Arial" w:cs="Arial" w:eastAsia="Arial" w:hAnsi="Arial"/>
          <w:sz w:val="16"/>
          <w:szCs w:val="16"/>
          <w:color w:val="auto"/>
        </w:rPr>
        <w:t>, Gentrix</w:t>
      </w:r>
      <w:r>
        <w:rPr>
          <w:rFonts w:ascii="Arial" w:cs="Arial" w:eastAsia="Arial" w:hAnsi="Arial"/>
          <w:sz w:val="21"/>
          <w:szCs w:val="21"/>
          <w:color w:val="auto"/>
          <w:vertAlign w:val="superscript"/>
        </w:rPr>
        <w:t>®</w:t>
      </w:r>
      <w:r>
        <w:rPr>
          <w:rFonts w:ascii="Arial" w:cs="Arial" w:eastAsia="Arial" w:hAnsi="Arial"/>
          <w:sz w:val="16"/>
          <w:szCs w:val="16"/>
          <w:color w:val="auto"/>
        </w:rPr>
        <w:t>, HeliCote</w:t>
      </w:r>
      <w:r>
        <w:rPr>
          <w:rFonts w:ascii="Arial" w:cs="Arial" w:eastAsia="Arial" w:hAnsi="Arial"/>
          <w:sz w:val="21"/>
          <w:szCs w:val="21"/>
          <w:color w:val="auto"/>
          <w:vertAlign w:val="superscript"/>
        </w:rPr>
        <w:t>®</w:t>
      </w:r>
      <w:r>
        <w:rPr>
          <w:rFonts w:ascii="Arial" w:cs="Arial" w:eastAsia="Arial" w:hAnsi="Arial"/>
          <w:sz w:val="16"/>
          <w:szCs w:val="16"/>
          <w:color w:val="auto"/>
        </w:rPr>
        <w:t>, HeliPlug</w:t>
      </w:r>
      <w:r>
        <w:rPr>
          <w:rFonts w:ascii="Arial" w:cs="Arial" w:eastAsia="Arial" w:hAnsi="Arial"/>
          <w:sz w:val="21"/>
          <w:szCs w:val="21"/>
          <w:color w:val="auto"/>
          <w:vertAlign w:val="superscript"/>
        </w:rPr>
        <w:t>®</w:t>
      </w:r>
      <w:r>
        <w:rPr>
          <w:rFonts w:ascii="Arial" w:cs="Arial" w:eastAsia="Arial" w:hAnsi="Arial"/>
          <w:sz w:val="16"/>
          <w:szCs w:val="16"/>
          <w:color w:val="auto"/>
        </w:rPr>
        <w:t>, HeliTape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HeliMend</w:t>
      </w:r>
      <w:r>
        <w:rPr>
          <w:rFonts w:ascii="Arial" w:cs="Arial" w:eastAsia="Arial" w:hAnsi="Arial"/>
          <w:sz w:val="21"/>
          <w:szCs w:val="21"/>
          <w:color w:val="auto"/>
          <w:vertAlign w:val="superscript"/>
        </w:rPr>
        <w:t>®</w:t>
      </w:r>
      <w:r>
        <w:rPr>
          <w:rFonts w:ascii="Arial" w:cs="Arial" w:eastAsia="Arial" w:hAnsi="Arial"/>
          <w:sz w:val="16"/>
          <w:szCs w:val="16"/>
          <w:color w:val="auto"/>
        </w:rPr>
        <w:t>, Helistat</w:t>
      </w:r>
      <w:r>
        <w:rPr>
          <w:rFonts w:ascii="Arial" w:cs="Arial" w:eastAsia="Arial" w:hAnsi="Arial"/>
          <w:sz w:val="21"/>
          <w:szCs w:val="21"/>
          <w:color w:val="auto"/>
          <w:vertAlign w:val="superscript"/>
        </w:rPr>
        <w:t>®</w:t>
      </w:r>
      <w:r>
        <w:rPr>
          <w:rFonts w:ascii="Arial" w:cs="Arial" w:eastAsia="Arial" w:hAnsi="Arial"/>
          <w:sz w:val="16"/>
          <w:szCs w:val="16"/>
          <w:color w:val="auto"/>
        </w:rPr>
        <w:t>, Helitene</w:t>
      </w:r>
      <w:r>
        <w:rPr>
          <w:rFonts w:ascii="Arial" w:cs="Arial" w:eastAsia="Arial" w:hAnsi="Arial"/>
          <w:sz w:val="21"/>
          <w:szCs w:val="21"/>
          <w:color w:val="auto"/>
          <w:vertAlign w:val="superscript"/>
        </w:rPr>
        <w:t>®</w:t>
      </w:r>
      <w:r>
        <w:rPr>
          <w:rFonts w:ascii="Arial" w:cs="Arial" w:eastAsia="Arial" w:hAnsi="Arial"/>
          <w:sz w:val="16"/>
          <w:szCs w:val="16"/>
          <w:color w:val="auto"/>
        </w:rPr>
        <w:t>, Hermetic™, Hy-Tape</w:t>
      </w:r>
      <w:r>
        <w:rPr>
          <w:rFonts w:ascii="Arial" w:cs="Arial" w:eastAsia="Arial" w:hAnsi="Arial"/>
          <w:sz w:val="21"/>
          <w:szCs w:val="21"/>
          <w:color w:val="auto"/>
          <w:vertAlign w:val="superscript"/>
        </w:rPr>
        <w:t>®</w:t>
      </w:r>
      <w:r>
        <w:rPr>
          <w:rFonts w:ascii="Arial" w:cs="Arial" w:eastAsia="Arial" w:hAnsi="Arial"/>
          <w:sz w:val="16"/>
          <w:szCs w:val="16"/>
          <w:color w:val="auto"/>
        </w:rPr>
        <w:t>, Integra</w:t>
      </w:r>
      <w:r>
        <w:rPr>
          <w:rFonts w:ascii="Arial" w:cs="Arial" w:eastAsia="Arial" w:hAnsi="Arial"/>
          <w:sz w:val="21"/>
          <w:szCs w:val="21"/>
          <w:color w:val="auto"/>
          <w:vertAlign w:val="superscript"/>
        </w:rPr>
        <w:t>®</w:t>
      </w:r>
      <w:r>
        <w:rPr>
          <w:rFonts w:ascii="Arial" w:cs="Arial" w:eastAsia="Arial" w:hAnsi="Arial"/>
          <w:sz w:val="16"/>
          <w:szCs w:val="16"/>
          <w:color w:val="auto"/>
        </w:rPr>
        <w:t>, IntegraLink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Isocool</w:t>
      </w:r>
      <w:r>
        <w:rPr>
          <w:rFonts w:ascii="Arial" w:cs="Arial" w:eastAsia="Arial" w:hAnsi="Arial"/>
          <w:sz w:val="21"/>
          <w:szCs w:val="21"/>
          <w:color w:val="auto"/>
          <w:vertAlign w:val="superscript"/>
        </w:rPr>
        <w:t>®</w:t>
      </w:r>
      <w:r>
        <w:rPr>
          <w:rFonts w:ascii="Arial" w:cs="Arial" w:eastAsia="Arial" w:hAnsi="Arial"/>
          <w:sz w:val="16"/>
          <w:szCs w:val="16"/>
          <w:color w:val="auto"/>
        </w:rPr>
        <w:t>, Jarit</w:t>
      </w:r>
      <w:r>
        <w:rPr>
          <w:rFonts w:ascii="Arial" w:cs="Arial" w:eastAsia="Arial" w:hAnsi="Arial"/>
          <w:sz w:val="21"/>
          <w:szCs w:val="21"/>
          <w:color w:val="auto"/>
          <w:vertAlign w:val="superscript"/>
        </w:rPr>
        <w:t>®</w:t>
      </w:r>
      <w:r>
        <w:rPr>
          <w:rFonts w:ascii="Arial" w:cs="Arial" w:eastAsia="Arial" w:hAnsi="Arial"/>
          <w:sz w:val="16"/>
          <w:szCs w:val="16"/>
          <w:color w:val="auto"/>
        </w:rPr>
        <w:t>, Lead-Lok™, Licox</w:t>
      </w:r>
      <w:r>
        <w:rPr>
          <w:rFonts w:ascii="Arial" w:cs="Arial" w:eastAsia="Arial" w:hAnsi="Arial"/>
          <w:sz w:val="21"/>
          <w:szCs w:val="21"/>
          <w:color w:val="auto"/>
          <w:vertAlign w:val="superscript"/>
        </w:rPr>
        <w:t>®</w:t>
      </w:r>
      <w:r>
        <w:rPr>
          <w:rFonts w:ascii="Arial" w:cs="Arial" w:eastAsia="Arial" w:hAnsi="Arial"/>
          <w:sz w:val="16"/>
          <w:szCs w:val="16"/>
          <w:color w:val="auto"/>
        </w:rPr>
        <w:t>, LimiTorr™, Luxtec</w:t>
      </w:r>
      <w:r>
        <w:rPr>
          <w:rFonts w:ascii="Arial" w:cs="Arial" w:eastAsia="Arial" w:hAnsi="Arial"/>
          <w:sz w:val="21"/>
          <w:szCs w:val="21"/>
          <w:color w:val="auto"/>
          <w:vertAlign w:val="superscript"/>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 w:name="page8"/>
    <w:bookmarkEnd w:id="7"/>
    <w:p>
      <w:pPr>
        <w:jc w:val="both"/>
        <w:spacing w:after="0" w:line="213" w:lineRule="auto"/>
        <w:rPr>
          <w:sz w:val="20"/>
          <w:szCs w:val="20"/>
          <w:color w:val="auto"/>
        </w:rPr>
      </w:pPr>
      <w:r>
        <w:rPr>
          <w:rFonts w:ascii="Arial" w:cs="Arial" w:eastAsia="Arial" w:hAnsi="Arial"/>
          <w:sz w:val="16"/>
          <w:szCs w:val="16"/>
          <w:color w:val="auto"/>
        </w:rPr>
        <w:t>Mayfield</w:t>
      </w:r>
      <w:r>
        <w:rPr>
          <w:rFonts w:ascii="Arial" w:cs="Arial" w:eastAsia="Arial" w:hAnsi="Arial"/>
          <w:sz w:val="21"/>
          <w:szCs w:val="21"/>
          <w:color w:val="auto"/>
          <w:vertAlign w:val="superscript"/>
        </w:rPr>
        <w:t>®</w:t>
      </w:r>
      <w:r>
        <w:rPr>
          <w:rFonts w:ascii="Arial" w:cs="Arial" w:eastAsia="Arial" w:hAnsi="Arial"/>
          <w:sz w:val="16"/>
          <w:szCs w:val="16"/>
          <w:color w:val="auto"/>
        </w:rPr>
        <w:t>, MatriStem UBM™, MediHone</w:t>
      </w:r>
      <w:r>
        <w:rPr>
          <w:rFonts w:ascii="Arial" w:cs="Arial" w:eastAsia="Arial" w:hAnsi="Arial"/>
          <w:sz w:val="21"/>
          <w:szCs w:val="21"/>
          <w:color w:val="auto"/>
          <w:vertAlign w:val="superscript"/>
        </w:rPr>
        <w:t>y®</w:t>
      </w:r>
      <w:r>
        <w:rPr>
          <w:rFonts w:ascii="Arial" w:cs="Arial" w:eastAsia="Arial" w:hAnsi="Arial"/>
          <w:sz w:val="16"/>
          <w:szCs w:val="16"/>
          <w:color w:val="auto"/>
        </w:rPr>
        <w:t>, MicroFrance</w:t>
      </w:r>
      <w:r>
        <w:rPr>
          <w:rFonts w:ascii="Arial" w:cs="Arial" w:eastAsia="Arial" w:hAnsi="Arial"/>
          <w:sz w:val="21"/>
          <w:szCs w:val="21"/>
          <w:color w:val="auto"/>
          <w:vertAlign w:val="superscript"/>
        </w:rPr>
        <w:t>®</w:t>
      </w:r>
      <w:r>
        <w:rPr>
          <w:rFonts w:ascii="Arial" w:cs="Arial" w:eastAsia="Arial" w:hAnsi="Arial"/>
          <w:sz w:val="16"/>
          <w:szCs w:val="16"/>
          <w:color w:val="auto"/>
        </w:rPr>
        <w:t>, MicroMatrix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Miltex</w:t>
      </w:r>
      <w:r>
        <w:rPr>
          <w:rFonts w:ascii="Arial" w:cs="Arial" w:eastAsia="Arial" w:hAnsi="Arial"/>
          <w:sz w:val="21"/>
          <w:szCs w:val="21"/>
          <w:color w:val="auto"/>
          <w:vertAlign w:val="superscript"/>
        </w:rPr>
        <w:t>®</w:t>
      </w:r>
      <w:r>
        <w:rPr>
          <w:rFonts w:ascii="Arial" w:cs="Arial" w:eastAsia="Arial" w:hAnsi="Arial"/>
          <w:sz w:val="16"/>
          <w:szCs w:val="16"/>
          <w:color w:val="auto"/>
        </w:rPr>
        <w:t>, Mischler™, MoniTorr ICP™, Natus</w:t>
      </w:r>
      <w:r>
        <w:rPr>
          <w:rFonts w:ascii="Arial" w:cs="Arial" w:eastAsia="Arial" w:hAnsi="Arial"/>
          <w:sz w:val="21"/>
          <w:szCs w:val="21"/>
          <w:color w:val="auto"/>
          <w:vertAlign w:val="superscript"/>
        </w:rPr>
        <w:t>®</w:t>
      </w:r>
      <w:r>
        <w:rPr>
          <w:rFonts w:ascii="Arial" w:cs="Arial" w:eastAsia="Arial" w:hAnsi="Arial"/>
          <w:sz w:val="16"/>
          <w:szCs w:val="16"/>
          <w:color w:val="auto"/>
        </w:rPr>
        <w:t>, NeuraGen</w:t>
      </w:r>
      <w:r>
        <w:rPr>
          <w:rFonts w:ascii="Arial" w:cs="Arial" w:eastAsia="Arial" w:hAnsi="Arial"/>
          <w:sz w:val="21"/>
          <w:szCs w:val="21"/>
          <w:color w:val="auto"/>
          <w:vertAlign w:val="superscript"/>
        </w:rPr>
        <w:t>®</w:t>
      </w:r>
      <w:r>
        <w:rPr>
          <w:rFonts w:ascii="Arial" w:cs="Arial" w:eastAsia="Arial" w:hAnsi="Arial"/>
          <w:sz w:val="16"/>
          <w:szCs w:val="16"/>
          <w:color w:val="auto"/>
        </w:rPr>
        <w:t>, NeuraWrap™, Nicolet</w:t>
      </w:r>
      <w:r>
        <w:rPr>
          <w:rFonts w:ascii="Arial" w:cs="Arial" w:eastAsia="Arial" w:hAnsi="Arial"/>
          <w:sz w:val="21"/>
          <w:szCs w:val="21"/>
          <w:color w:val="auto"/>
          <w:vertAlign w:val="superscript"/>
        </w:rPr>
        <w:t>®</w:t>
      </w:r>
      <w:r>
        <w:rPr>
          <w:rFonts w:ascii="Arial" w:cs="Arial" w:eastAsia="Arial" w:hAnsi="Arial"/>
          <w:sz w:val="16"/>
          <w:szCs w:val="16"/>
          <w:color w:val="auto"/>
        </w:rPr>
        <w:t>, Omnigraft</w:t>
      </w:r>
      <w:r>
        <w:rPr>
          <w:rFonts w:ascii="Arial" w:cs="Arial" w:eastAsia="Arial" w:hAnsi="Arial"/>
          <w:sz w:val="21"/>
          <w:szCs w:val="21"/>
          <w:color w:val="auto"/>
          <w:vertAlign w:val="superscript"/>
        </w:rPr>
        <w:t>®</w:t>
      </w:r>
      <w:r>
        <w:rPr>
          <w:rFonts w:ascii="Arial" w:cs="Arial" w:eastAsia="Arial" w:hAnsi="Arial"/>
          <w:sz w:val="16"/>
          <w:szCs w:val="16"/>
          <w:color w:val="auto"/>
        </w:rPr>
        <w:t>, Omni-Tract</w:t>
      </w:r>
      <w:r>
        <w:rPr>
          <w:rFonts w:ascii="Arial" w:cs="Arial" w:eastAsia="Arial" w:hAnsi="Arial"/>
          <w:sz w:val="21"/>
          <w:szCs w:val="21"/>
          <w:color w:val="auto"/>
          <w:vertAlign w:val="superscript"/>
        </w:rPr>
        <w:t>®</w:t>
      </w:r>
      <w:r>
        <w:rPr>
          <w:rFonts w:ascii="Arial" w:cs="Arial" w:eastAsia="Arial" w:hAnsi="Arial"/>
          <w:sz w:val="16"/>
          <w:szCs w:val="16"/>
          <w:color w:val="auto"/>
        </w:rPr>
        <w:t>, OSV II</w:t>
      </w:r>
      <w:r>
        <w:rPr>
          <w:rFonts w:ascii="Arial" w:cs="Arial" w:eastAsia="Arial" w:hAnsi="Arial"/>
          <w:sz w:val="21"/>
          <w:szCs w:val="21"/>
          <w:color w:val="auto"/>
          <w:vertAlign w:val="superscript"/>
        </w:rPr>
        <w:t>®</w:t>
      </w:r>
      <w:r>
        <w:rPr>
          <w:rFonts w:ascii="Arial" w:cs="Arial" w:eastAsia="Arial" w:hAnsi="Arial"/>
          <w:sz w:val="16"/>
          <w:szCs w:val="16"/>
          <w:color w:val="auto"/>
        </w:rPr>
        <w:t>, Padgett</w:t>
      </w:r>
      <w:r>
        <w:rPr>
          <w:rFonts w:ascii="Arial" w:cs="Arial" w:eastAsia="Arial" w:hAnsi="Arial"/>
          <w:sz w:val="21"/>
          <w:szCs w:val="21"/>
          <w:color w:val="auto"/>
          <w:vertAlign w:val="superscript"/>
        </w:rPr>
        <w:t>®</w:t>
      </w:r>
      <w:r>
        <w:rPr>
          <w:rFonts w:ascii="Arial" w:cs="Arial" w:eastAsia="Arial" w:hAnsi="Arial"/>
          <w:sz w:val="16"/>
          <w:szCs w:val="16"/>
          <w:color w:val="auto"/>
        </w:rPr>
        <w:t>, PriMatrix</w:t>
      </w:r>
      <w:r>
        <w:rPr>
          <w:rFonts w:ascii="Arial" w:cs="Arial" w:eastAsia="Arial" w:hAnsi="Arial"/>
          <w:sz w:val="21"/>
          <w:szCs w:val="21"/>
          <w:color w:val="auto"/>
          <w:vertAlign w:val="superscript"/>
        </w:rPr>
        <w:t>®</w:t>
      </w:r>
      <w:r>
        <w:rPr>
          <w:rFonts w:ascii="Arial" w:cs="Arial" w:eastAsia="Arial" w:hAnsi="Arial"/>
          <w:sz w:val="16"/>
          <w:szCs w:val="16"/>
          <w:color w:val="auto"/>
        </w:rPr>
        <w:t>, Pureflow™, Q-Snor™, Redmond™, Revize™, Ruggles</w:t>
      </w:r>
      <w:r>
        <w:rPr>
          <w:rFonts w:ascii="Arial" w:cs="Arial" w:eastAsia="Arial" w:hAnsi="Arial"/>
          <w:sz w:val="21"/>
          <w:szCs w:val="21"/>
          <w:color w:val="auto"/>
          <w:vertAlign w:val="superscript"/>
        </w:rPr>
        <w:t>®</w:t>
      </w:r>
      <w:r>
        <w:rPr>
          <w:rFonts w:ascii="Arial" w:cs="Arial" w:eastAsia="Arial" w:hAnsi="Arial"/>
          <w:sz w:val="16"/>
          <w:szCs w:val="16"/>
          <w:color w:val="auto"/>
        </w:rPr>
        <w:t>, Signacreme</w:t>
      </w:r>
      <w:r>
        <w:rPr>
          <w:rFonts w:ascii="Arial" w:cs="Arial" w:eastAsia="Arial" w:hAnsi="Arial"/>
          <w:sz w:val="21"/>
          <w:szCs w:val="21"/>
          <w:color w:val="auto"/>
          <w:vertAlign w:val="superscript"/>
        </w:rPr>
        <w:t>®</w:t>
      </w:r>
      <w:r>
        <w:rPr>
          <w:rFonts w:ascii="Arial" w:cs="Arial" w:eastAsia="Arial" w:hAnsi="Arial"/>
          <w:sz w:val="16"/>
          <w:szCs w:val="16"/>
          <w:color w:val="auto"/>
        </w:rPr>
        <w:t>, SurgiMend</w:t>
      </w:r>
      <w:r>
        <w:rPr>
          <w:rFonts w:ascii="Arial" w:cs="Arial" w:eastAsia="Arial" w:hAnsi="Arial"/>
          <w:sz w:val="21"/>
          <w:szCs w:val="21"/>
          <w:color w:val="auto"/>
          <w:vertAlign w:val="superscript"/>
        </w:rPr>
        <w:t>®</w:t>
      </w:r>
      <w:r>
        <w:rPr>
          <w:rFonts w:ascii="Arial" w:cs="Arial" w:eastAsia="Arial" w:hAnsi="Arial"/>
          <w:sz w:val="16"/>
          <w:szCs w:val="16"/>
          <w:color w:val="auto"/>
        </w:rPr>
        <w:t>, TCC-EZ</w:t>
      </w:r>
      <w:r>
        <w:rPr>
          <w:rFonts w:ascii="Arial" w:cs="Arial" w:eastAsia="Arial" w:hAnsi="Arial"/>
          <w:sz w:val="21"/>
          <w:szCs w:val="21"/>
          <w:color w:val="auto"/>
          <w:vertAlign w:val="superscript"/>
        </w:rPr>
        <w:t>®</w:t>
      </w:r>
      <w:r>
        <w:rPr>
          <w:rFonts w:ascii="Arial" w:cs="Arial" w:eastAsia="Arial" w:hAnsi="Arial"/>
          <w:sz w:val="16"/>
          <w:szCs w:val="16"/>
          <w:color w:val="auto"/>
        </w:rPr>
        <w:t>, TenoGlide</w:t>
      </w:r>
      <w:r>
        <w:rPr>
          <w:rFonts w:ascii="Arial" w:cs="Arial" w:eastAsia="Arial" w:hAnsi="Arial"/>
          <w:sz w:val="21"/>
          <w:szCs w:val="21"/>
          <w:color w:val="auto"/>
          <w:vertAlign w:val="superscript"/>
        </w:rPr>
        <w:t>®</w:t>
      </w:r>
      <w:r>
        <w:rPr>
          <w:rFonts w:ascii="Arial" w:cs="Arial" w:eastAsia="Arial" w:hAnsi="Arial"/>
          <w:sz w:val="16"/>
          <w:szCs w:val="16"/>
          <w:color w:val="auto"/>
        </w:rPr>
        <w:t>, TissueMend</w:t>
      </w:r>
      <w:r>
        <w:rPr>
          <w:rFonts w:ascii="Arial" w:cs="Arial" w:eastAsia="Arial" w:hAnsi="Arial"/>
          <w:sz w:val="21"/>
          <w:szCs w:val="21"/>
          <w:color w:val="auto"/>
          <w:vertAlign w:val="superscript"/>
        </w:rPr>
        <w:t>®</w:t>
      </w:r>
      <w:r>
        <w:rPr>
          <w:rFonts w:ascii="Arial" w:cs="Arial" w:eastAsia="Arial" w:hAnsi="Arial"/>
          <w:sz w:val="16"/>
          <w:szCs w:val="16"/>
          <w:color w:val="auto"/>
        </w:rPr>
        <w:t>, Ultra VS™, VersaTru</w:t>
      </w:r>
      <w:r>
        <w:rPr>
          <w:rFonts w:ascii="Arial" w:cs="Arial" w:eastAsia="Arial" w:hAnsi="Arial"/>
          <w:sz w:val="21"/>
          <w:szCs w:val="21"/>
          <w:color w:val="auto"/>
          <w:vertAlign w:val="superscript"/>
        </w:rPr>
        <w:t>®</w:t>
      </w:r>
      <w:r>
        <w:rPr>
          <w:rFonts w:ascii="Arial" w:cs="Arial" w:eastAsia="Arial" w:hAnsi="Arial"/>
          <w:sz w:val="16"/>
          <w:szCs w:val="16"/>
          <w:color w:val="auto"/>
        </w:rPr>
        <w:t>, Xtrasorb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zRIP™, and the Integra logo are some of the material trademarks of Integra LifeSciences Corporation and its subsidiaries. MAYFIELD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acquisitions as well as impacts of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COVID-19 pandemic, the Company's focus remained on supporting patients, providing customers with life-saving products, and protecting the well-being of our employees. The rapid and evolving spread of the virus and subsequent variants have resulted in unprecedented challenges to the global healthcare industry. In response to the pandemic, we acted swiftly by implementing protocols to ensure continuity of our manufacturing and distribution sites around the world and to provide for the safety of our employees.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continues to have widespread and unpredictable impacts and the Company has continued to manage risks in this uncertain environment. We remain confident that the underlying markets in which the Company competes remain attractive. We also remain focused on managing the business for the long-term. The Company's adaptability and resiliency in the face of this unprecedented crisis is made possible in part by prior investments in technology infrastructure and operations, as well as our talented and committed global workforce.</w:t>
      </w:r>
    </w:p>
    <w:p>
      <w:pPr>
        <w:spacing w:after="0" w:line="20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Capital markets and worldwide economies have also been significantly impacted by the COVID-19 pandemic, and it is possible that the pandemic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disruption and/or higher costs to the Company’s supply chain, staffing shortages in hospitals and labor constraints in our facilities, could further impact our sales, margins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182" w:lineRule="exact"/>
        <w:rPr>
          <w:sz w:val="20"/>
          <w:szCs w:val="20"/>
          <w:color w:val="auto"/>
        </w:rPr>
      </w:pPr>
    </w:p>
    <w:p>
      <w:pPr>
        <w:ind w:right="320"/>
        <w:spacing w:after="0" w:line="369" w:lineRule="auto"/>
        <w:rPr>
          <w:sz w:val="20"/>
          <w:szCs w:val="20"/>
          <w:color w:val="auto"/>
        </w:rPr>
      </w:pPr>
      <w:r>
        <w:rPr>
          <w:rFonts w:ascii="Arial" w:cs="Arial" w:eastAsia="Arial" w:hAnsi="Arial"/>
          <w:sz w:val="18"/>
          <w:szCs w:val="18"/>
          <w:color w:val="auto"/>
        </w:rPr>
        <w:t xml:space="preserve">Information pertaining to risk factors as it relates to the COVID-19 pandemic can be found in Item 1A. Risk Factors of this Annual Report on Form 10-K. </w:t>
      </w:r>
      <w:r>
        <w:rPr>
          <w:rFonts w:ascii="Arial" w:cs="Arial" w:eastAsia="Arial" w:hAnsi="Arial"/>
          <w:sz w:val="18"/>
          <w:szCs w:val="18"/>
          <w:b w:val="1"/>
          <w:bCs w:val="1"/>
          <w:color w:val="auto"/>
        </w:rPr>
        <w:t>GOVERNMENT REGULATION AND COMPLIANCE</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are a manufacturer and marketer of medical devices and Human Tissue and Cell Based Products ("HCT/Ps")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and HCT/Ps, the observance of certain standards with respect to the design, manufacture, testing, labeling, promotion and sales of the products, the maintenance of certain records, the ability to track devices, the reporting of potential product defects, the import and export of products, and other matters.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premarket approval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 an Investigational Device Exemption from the FDA. The FDA also may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Integra, through the acquisition of Derma Sciences and BioD LLC ("BioD"), is involved with the recovery, processing, storage, transportation and distribution of donated amniotic tissue. The FDA has specific regulations governing HCT/Ps. An HCT/P is a product containing, or consisting of, human cells or tissue intended for transplantation into a human patient. Examples of HCT/Ps include bone, ligament, skin and cornea.</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Practices when processing, storing, labeling, and distributing HCT/Ps, including required labeling information, stringent record keeping, and adverse event reporting.</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Procurement of certain human organs and tissue for transplantation is subject to the restrictions of the National Organ 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BioD, our wholly-owned subsidiary, is a registered Tissue Bank and is involved with the recovery, storage and transportation of donated human amniotic tissue.</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June 22, 2015, the FDA issued an Untitled Letter (the "Untitled Letter") alleging that BioD's morselized amniotic membrane tissue-based products do not meet the criteria for regulation as HCT/Ps solely under Section 361 and that, as a result,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“2020 HCT/P Final Guidance”). The 2020 HCT/P Final Guidance document supersedes the November 2017 guidance by the same title.</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2020 HCT/P Final Guidance maintained this approach and extended the discretionary enforcement period to May 31,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 w:name="page10"/>
    <w:bookmarkEnd w:id="9"/>
    <w:p>
      <w:pPr>
        <w:jc w:val="both"/>
        <w:spacing w:after="0" w:line="256" w:lineRule="auto"/>
        <w:rPr>
          <w:sz w:val="20"/>
          <w:szCs w:val="20"/>
          <w:color w:val="auto"/>
        </w:rPr>
      </w:pPr>
      <w:r>
        <w:rPr>
          <w:rFonts w:ascii="Arial" w:cs="Arial" w:eastAsia="Arial" w:hAnsi="Arial"/>
          <w:sz w:val="18"/>
          <w:szCs w:val="18"/>
          <w:color w:val="auto"/>
        </w:rPr>
        <w:t>Considering the risk of enforcement action, the Company discontinued the manufacturing of all morselized amniotic membrane tissue-based products prior to May 31, 2021. We no longer distribute these products. As of December 31, 2021, the Company has not received any further notice of enforcement action from the FDA regarding its morselized amniotic membrane tissue-based products.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Revenues from the now discontinued BioD morselized amniotic membrane-based products for the year ended December 31, 2021 were less than 1.0% of consolidated revenues.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 All Integra manufacturing facilities participate in the Medical Device Single Audit Program and are audited annually for compliance with the Quality System for US FDA, Canada, Australia, Brazil, and Japan.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U.S. These laws range from comprehensive medical device approval and Quality System requirements for some or all of our medical device products to simpler requests for product data or certifications. Under the European Union Medical Device Directive, medical devices must meet the Medical Device Directive standards and receive CE Mark Certification prior to marketing in the European Union ("EU"). In addition, the EU enacted the EU Medical Device Regulation, which imposes stricter requirements on the marketing and sales of medical devices including but not limited to quality systems, labeling and clinical data. CE Mark Certification requires a comprehensive quality system program, technical documentation, clinical evaluation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Medical Device Regulation,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Certain countries, as well as the EU, have issued regulations that govern products that contain materials derived from animal sources. Regulatory authorities are particularly concerned with materials infected with the agent that causes BSE.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Arial" w:cs="Arial" w:eastAsia="Arial" w:hAnsi="Arial"/>
          <w:sz w:val="17"/>
          <w:szCs w:val="17"/>
          <w:i w:val="1"/>
          <w:iCs w:val="1"/>
          <w:color w:val="auto"/>
        </w:rPr>
        <w:t>Certain of our products contain materials derived from animal sources and may become subject to additional regulation</w:t>
      </w:r>
      <w:r>
        <w:rPr>
          <w:rFonts w:ascii="Arial" w:cs="Arial" w:eastAsia="Arial" w:hAnsi="Arial"/>
          <w:sz w:val="17"/>
          <w:szCs w:val="17"/>
          <w:color w:val="auto"/>
        </w:rPr>
        <w:t>” of this Annual Report on Form 10-K.</w:t>
      </w:r>
    </w:p>
    <w:p>
      <w:pPr>
        <w:spacing w:after="0" w:line="7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Postmarket Requirements. </w:t>
      </w:r>
      <w:r>
        <w:rPr>
          <w:rFonts w:ascii="Arial" w:cs="Arial" w:eastAsia="Arial" w:hAnsi="Arial"/>
          <w:sz w:val="15"/>
          <w:szCs w:val="15"/>
          <w:color w:val="auto"/>
        </w:rPr>
        <w:t>After a device is cleared or approved for commercial distribution, numerous regulatory requirements apply. These include the FDA</w:t>
      </w:r>
      <w:r>
        <w:rPr>
          <w:rFonts w:ascii="Arial" w:cs="Arial" w:eastAsia="Arial" w:hAnsi="Arial"/>
          <w:sz w:val="15"/>
          <w:szCs w:val="15"/>
          <w:i w:val="1"/>
          <w:iCs w:val="1"/>
          <w:color w:val="auto"/>
        </w:rPr>
        <w:t xml:space="preserve"> </w:t>
      </w:r>
      <w:r>
        <w:rPr>
          <w:rFonts w:ascii="Arial" w:cs="Arial" w:eastAsia="Arial" w:hAnsi="Arial"/>
          <w:sz w:val="15"/>
          <w:szCs w:val="15"/>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 Postmarket requirements are also followed globally where our products are registered and approved. These foreign jurisdictions have similar requirements to the FDA which include reporting requirements such as adverse events and recalls.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U.S., we are subject to laws and regulations pertaining to healthcare fraud and abuse, including anti-kickback laws and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interactions with healthcare professionals, and customer discount arrangements. See “Item 1A. Risk Factors - </w:t>
      </w:r>
      <w:r>
        <w:rPr>
          <w:rFonts w:ascii="Arial" w:cs="Arial" w:eastAsia="Arial" w:hAnsi="Arial"/>
          <w:sz w:val="17"/>
          <w:szCs w:val="17"/>
          <w:i w:val="1"/>
          <w:iCs w:val="1"/>
          <w:color w:val="auto"/>
        </w:rPr>
        <w:t>We are exposed to a variety of risks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sales and operations</w:t>
      </w:r>
      <w:r>
        <w:rPr>
          <w:rFonts w:ascii="Arial" w:cs="Arial" w:eastAsia="Arial" w:hAnsi="Arial"/>
          <w:sz w:val="17"/>
          <w:szCs w:val="17"/>
          <w:color w:val="auto"/>
        </w:rPr>
        <w:t>” of this Annual Report on Form 10-K for further details.</w:t>
      </w:r>
    </w:p>
    <w:p>
      <w:pPr>
        <w:spacing w:after="0" w:line="79" w:lineRule="exact"/>
        <w:rPr>
          <w:sz w:val="20"/>
          <w:szCs w:val="20"/>
          <w:color w:val="auto"/>
        </w:rPr>
      </w:pPr>
    </w:p>
    <w:p>
      <w:pPr>
        <w:jc w:val="both"/>
        <w:spacing w:after="0" w:line="331" w:lineRule="auto"/>
        <w:rPr>
          <w:sz w:val="20"/>
          <w:szCs w:val="20"/>
          <w:color w:val="auto"/>
        </w:rPr>
      </w:pPr>
      <w:r>
        <w:rPr>
          <w:rFonts w:ascii="Arial" w:cs="Arial" w:eastAsia="Arial" w:hAnsi="Arial"/>
          <w:sz w:val="15"/>
          <w:szCs w:val="15"/>
          <w:i w:val="1"/>
          <w:iCs w:val="1"/>
          <w:color w:val="auto"/>
        </w:rPr>
        <w:t>Import-export</w:t>
      </w:r>
      <w:r>
        <w:rPr>
          <w:rFonts w:ascii="Arial" w:cs="Arial" w:eastAsia="Arial" w:hAnsi="Arial"/>
          <w:sz w:val="15"/>
          <w:szCs w:val="15"/>
          <w:color w:val="auto"/>
        </w:rPr>
        <w:t>. Our international operations subject us to laws regarding sanctioned countries, entities and persons, customs, and import-export.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and face a liability that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7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i w:val="1"/>
          <w:iCs w:val="1"/>
          <w:color w:val="auto"/>
        </w:rPr>
        <w:t>Data Privacy and Cybersecurity Laws and Regulations</w:t>
      </w:r>
      <w:r>
        <w:rPr>
          <w:rFonts w:ascii="Arial" w:cs="Arial" w:eastAsia="Arial" w:hAnsi="Arial"/>
          <w:sz w:val="15"/>
          <w:szCs w:val="15"/>
          <w:color w:val="auto"/>
        </w:rPr>
        <w:t>. As a business with a significant global footprint, compliance with evolving regulations and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7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 for example, we are subject to EU General Data Protection Regulation ("GDPR") which requires member states to impose minimum restrictions on the collection, use and transfer of personal data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4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Please refer to “Item 1A. Risk Factors - </w:t>
      </w:r>
      <w:r>
        <w:rPr>
          <w:rFonts w:ascii="Arial" w:cs="Arial" w:eastAsia="Arial" w:hAnsi="Arial"/>
          <w:sz w:val="16"/>
          <w:szCs w:val="16"/>
          <w:i w:val="1"/>
          <w:iCs w:val="1"/>
          <w:color w:val="auto"/>
        </w:rPr>
        <w:t>We are subject to requirements relating to information technology which could adversely affect our business”</w:t>
      </w:r>
      <w:r>
        <w:rPr>
          <w:rFonts w:ascii="Arial" w:cs="Arial" w:eastAsia="Arial" w:hAnsi="Arial"/>
          <w:sz w:val="16"/>
          <w:szCs w:val="16"/>
          <w:color w:val="auto"/>
        </w:rPr>
        <w:t xml:space="preserve"> of this Annual Report on Form 10-K for additional discussion of the risks accompanying compliance with data privacy and cybersecurity laws and regulations</w:t>
      </w:r>
      <w:r>
        <w:rPr>
          <w:rFonts w:ascii="Arial" w:cs="Arial" w:eastAsia="Arial" w:hAnsi="Arial"/>
          <w:sz w:val="19"/>
          <w:szCs w:val="19"/>
          <w:i w:val="1"/>
          <w:iCs w:val="1"/>
          <w:color w:val="auto"/>
        </w:rPr>
        <w:t>.</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Demographics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2021, we had approximately 3,800 regular full and part time employees and 900 contingent, subcontracted, and outsourced partners.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65% of our employees are located in the United States, 23% in Europe, Middle East and Africa, 4% in Latin America and Canada and 8% in Asia Pacific which includes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55245</wp:posOffset>
            </wp:positionV>
            <wp:extent cx="4638040" cy="2386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8040" cy="238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Diversity and Inclusion</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diverse workforce and an inclusive culture and work environment is a business priority and a key to our long-term success. Our commitment to diversity and inclusion ("D&amp;I") starts at the top with our Board of Directors and CEO. At all levels of the company, we focus on attracting, retaining, and developing our diverse talent.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Commitment and Accountability</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Executive leadership team members set the D&amp;I goals for the company and advancing diversity and inclusion initiatives to build stronger teams remains a company-wide goal.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Councils, Employee Resource Groups and External Partnerships: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are accountable to our D&amp;I commitment through our leadership councils, employee resource groups, and external partnerships.</w:t>
      </w:r>
    </w:p>
    <w:p>
      <w:pPr>
        <w:spacing w:after="0" w:line="112" w:lineRule="exact"/>
        <w:rPr>
          <w:sz w:val="20"/>
          <w:szCs w:val="20"/>
          <w:color w:val="auto"/>
        </w:rPr>
      </w:pPr>
    </w:p>
    <w:p>
      <w:pPr>
        <w:jc w:val="both"/>
        <w:ind w:left="640" w:hanging="315"/>
        <w:spacing w:after="0" w:line="27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Women’s Leadership Council, since its establishment in 2017, is an action and results-oriented advisory group comprised of fifteen of our senior women leaders across Integra. The specific charter of the Council is to work together to identify ways to continue to attract and retain female talent, advance the development of our women into leadership roles, increase the cultural awareness of the value of inclusion and diversity in our company, and create specific development forums for our high performing women at Integra.</w:t>
      </w:r>
    </w:p>
    <w:p>
      <w:pPr>
        <w:spacing w:after="0" w:line="202" w:lineRule="exact"/>
        <w:rPr>
          <w:rFonts w:ascii="Arial" w:cs="Arial" w:eastAsia="Arial" w:hAnsi="Arial"/>
          <w:sz w:val="17"/>
          <w:szCs w:val="17"/>
          <w:color w:val="auto"/>
        </w:rPr>
      </w:pPr>
    </w:p>
    <w:p>
      <w:pPr>
        <w:jc w:val="both"/>
        <w:ind w:left="640" w:hanging="315"/>
        <w:spacing w:after="0" w:line="25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resources groups encourage a culture of awareness and inclusion, assist in the attraction and retention of diverse talent, and help colleagues develop leadership skills. Members of the executive leadership team serve as sponsors for each of Integra’s employee resource groups. Integra has five Employee Resources Groups:</w:t>
      </w:r>
    </w:p>
    <w:p>
      <w:pPr>
        <w:spacing w:after="0" w:line="1" w:lineRule="exact"/>
        <w:rPr>
          <w:rFonts w:ascii="Arial" w:cs="Arial" w:eastAsia="Arial" w:hAnsi="Arial"/>
          <w:sz w:val="18"/>
          <w:szCs w:val="18"/>
          <w:color w:val="auto"/>
        </w:rPr>
      </w:pP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Women of Integra Networks ("WIN") with 20+ chapters globally</w:t>
      </w:r>
    </w:p>
    <w:p>
      <w:pPr>
        <w:spacing w:after="0" w:line="5" w:lineRule="exact"/>
        <w:rPr>
          <w:rFonts w:ascii="Arial" w:cs="Arial" w:eastAsia="Arial" w:hAnsi="Arial"/>
          <w:sz w:val="18"/>
          <w:szCs w:val="18"/>
          <w:color w:val="auto"/>
        </w:rPr>
      </w:pP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African American Affinity Group</w:t>
      </w:r>
    </w:p>
    <w:p>
      <w:pPr>
        <w:spacing w:after="0" w:line="5" w:lineRule="exact"/>
        <w:rPr>
          <w:rFonts w:ascii="Arial" w:cs="Arial" w:eastAsia="Arial" w:hAnsi="Arial"/>
          <w:sz w:val="18"/>
          <w:szCs w:val="18"/>
          <w:color w:val="auto"/>
        </w:rPr>
      </w:pP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Veteran Employee Resource Group</w:t>
      </w:r>
    </w:p>
    <w:p>
      <w:pPr>
        <w:spacing w:after="0" w:line="5" w:lineRule="exact"/>
        <w:rPr>
          <w:rFonts w:ascii="Arial" w:cs="Arial" w:eastAsia="Arial" w:hAnsi="Arial"/>
          <w:sz w:val="18"/>
          <w:szCs w:val="18"/>
          <w:color w:val="auto"/>
        </w:rPr>
      </w:pP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Indian American Professional Network</w:t>
      </w:r>
    </w:p>
    <w:p>
      <w:pPr>
        <w:spacing w:after="0" w:line="5" w:lineRule="exact"/>
        <w:rPr>
          <w:rFonts w:ascii="Arial" w:cs="Arial" w:eastAsia="Arial" w:hAnsi="Arial"/>
          <w:sz w:val="18"/>
          <w:szCs w:val="18"/>
          <w:color w:val="auto"/>
        </w:rPr>
      </w:pP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Asian American and Pacific Islander Employee Resource Group</w:t>
      </w:r>
    </w:p>
    <w:p>
      <w:pPr>
        <w:spacing w:after="0" w:line="233"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reinforce our commitment to diversity by partnering with other organizations focused on driving inclusion in the workplace including the CEO Action for Diversity &amp; Inclusion, the largest CEO-driven business commitment to advance D&amp;I in the workplace and Healthcare Businesswomen’s Association, an association dedicated to further the advancement and impact of women in the business of healthcare.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Promoting an inclusive culture through learning opportunities: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help drive our culture of inclusion, our colleagues participate in programs focused on how to manage bias and value differences.</w:t>
      </w:r>
    </w:p>
    <w:p>
      <w:pPr>
        <w:spacing w:after="0" w:line="205" w:lineRule="exact"/>
        <w:rPr>
          <w:sz w:val="20"/>
          <w:szCs w:val="20"/>
          <w:color w:val="auto"/>
        </w:rPr>
      </w:pPr>
    </w:p>
    <w:p>
      <w:pPr>
        <w:jc w:val="both"/>
        <w:ind w:left="640" w:hanging="315"/>
        <w:spacing w:after="0" w:line="226" w:lineRule="auto"/>
        <w:tabs>
          <w:tab w:leader="none" w:pos="602" w:val="left"/>
        </w:tabs>
        <w:numPr>
          <w:ilvl w:val="0"/>
          <w:numId w:val="5"/>
        </w:numPr>
        <w:rPr>
          <w:rFonts w:ascii="Arial" w:cs="Arial" w:eastAsia="Arial" w:hAnsi="Arial"/>
          <w:sz w:val="19"/>
          <w:szCs w:val="19"/>
          <w:color w:val="auto"/>
        </w:rPr>
      </w:pPr>
      <w:r>
        <w:rPr>
          <w:rFonts w:ascii="Arial" w:cs="Arial" w:eastAsia="Arial" w:hAnsi="Arial"/>
          <w:sz w:val="18"/>
          <w:szCs w:val="18"/>
          <w:color w:val="auto"/>
        </w:rPr>
        <w:t>Members of our executive leadership, senior management team, and larger scope leaders participate in a half-day microinequities training. The content includes understanding unconscious bias and microinequities, how to identify microinequities in day-to-day decisions and actions as leaders, and ways to mitigate microinequities on an individual and organizational level.</w:t>
      </w:r>
    </w:p>
    <w:p>
      <w:pPr>
        <w:spacing w:after="0" w:line="214" w:lineRule="exact"/>
        <w:rPr>
          <w:rFonts w:ascii="Arial" w:cs="Arial" w:eastAsia="Arial" w:hAnsi="Arial"/>
          <w:sz w:val="19"/>
          <w:szCs w:val="19"/>
          <w:color w:val="auto"/>
        </w:rPr>
      </w:pPr>
    </w:p>
    <w:p>
      <w:pPr>
        <w:ind w:left="640" w:hanging="315"/>
        <w:spacing w:after="0" w:line="279" w:lineRule="auto"/>
        <w:tabs>
          <w:tab w:leader="none" w:pos="602" w:val="left"/>
        </w:tabs>
        <w:numPr>
          <w:ilvl w:val="0"/>
          <w:numId w:val="5"/>
        </w:numPr>
        <w:rPr>
          <w:rFonts w:ascii="Arial" w:cs="Arial" w:eastAsia="Arial" w:hAnsi="Arial"/>
          <w:sz w:val="17"/>
          <w:szCs w:val="17"/>
          <w:color w:val="auto"/>
        </w:rPr>
      </w:pPr>
      <w:r>
        <w:rPr>
          <w:rFonts w:ascii="Arial" w:cs="Arial" w:eastAsia="Arial" w:hAnsi="Arial"/>
          <w:sz w:val="16"/>
          <w:szCs w:val="16"/>
          <w:color w:val="auto"/>
        </w:rPr>
        <w:t>Upon joining Integra, colleagues globally participate in two programs to promote inclusion: a course that creates awareness of unconscious biases in the workplaces and tools to build-bias breaking skills and a course that examines what practicing inclusion in the workplace looks like.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Gender Diversity:</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our company is stronger and will deliver strong operating results when we build diverse teams and leverage broad perspectives to meet the needs of our shareholders, customers, colleagues, and communities we serve.</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w:t>
      </w:r>
      <w:r>
        <w:rPr>
          <w:rFonts w:ascii="Arial" w:cs="Arial" w:eastAsia="Arial" w:hAnsi="Arial"/>
          <w:sz w:val="17"/>
          <w:szCs w:val="17"/>
          <w:color w:val="auto"/>
        </w:rPr>
        <w:t>he breakout of our colleagues by gender as of December 31, 2021:</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48% of Integra</w:t>
      </w:r>
      <w:r>
        <w:rPr>
          <w:rFonts w:ascii="Arial" w:cs="Arial" w:eastAsia="Arial" w:hAnsi="Arial"/>
          <w:sz w:val="18"/>
          <w:szCs w:val="18"/>
          <w:color w:val="auto"/>
        </w:rPr>
        <w:t>’</w:t>
      </w:r>
      <w:r>
        <w:rPr>
          <w:rFonts w:ascii="Arial" w:cs="Arial" w:eastAsia="Arial" w:hAnsi="Arial"/>
          <w:sz w:val="17"/>
          <w:szCs w:val="17"/>
          <w:color w:val="auto"/>
        </w:rPr>
        <w:t>s overall population is female, 52% male. We continue to strive to ensure our diversity in our leadership roles is representative of our overall population. Through mentorship, sponsorship, recruitment efforts, and development programs we look to continue to grow our population of females in leadership roles at Integra. Currently, 42% of our executive leaders and 45% of senior leaders (non-executive vice presidents) are female.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510540</wp:posOffset>
            </wp:positionH>
            <wp:positionV relativeFrom="page">
              <wp:posOffset>721360</wp:posOffset>
            </wp:positionV>
            <wp:extent cx="4638040" cy="3120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6380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50% of the program’s graduates being promoted into roles with increased responsibility.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Integra LifeSciences is committed to providing a safe environment for all employees and visitors. We rely on our environmental, health 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As we navigate the COVID-19 pandemic and its variants, we have placed a high priority on employee health, providing resources to support our workforce through this challenging time. To help limit exposure to the coronavirus, we acted to ensure employees in business-critical functions who cannot work from home are protected, including those in research and development, quality, manufacturing, distribution, and sales. Personal protective equipment, increased sanitation and social distancing guidance are provided to protect our employees. We continue to actively monitor the COVID-19 pandemic and its variants and respond based on guidance from U.S. and global health organizations, relevant governmental guidance, and evolving practices.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 xml:space="preserve">Financial information about our geographical areas is set forth in our financial statements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the Notes to Consolidated Financial Statements (Part II, Item 8 of this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AVAILABLE INFORMATION</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Arial" w:cs="Arial" w:eastAsia="Arial" w:hAnsi="Arial"/>
          <w:sz w:val="17"/>
          <w:szCs w:val="17"/>
          <w:u w:val="single" w:color="auto"/>
          <w:color w:val="auto"/>
        </w:rPr>
        <w:t>www.integralife.com</w:t>
      </w:r>
      <w:r>
        <w:rPr>
          <w:rFonts w:ascii="Arial" w:cs="Arial" w:eastAsia="Arial" w:hAnsi="Arial"/>
          <w:sz w:val="17"/>
          <w:szCs w:val="17"/>
          <w:color w:val="auto"/>
        </w:rPr>
        <w:t xml:space="preserve">. A copy may also be obtained for any of these reports, without charge, from our Investor Relations department, 1100 Campus Road, Princeton, NJ 08540. Alternatively, reports filed may be viewed or obtained through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87"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and deliver products in sufficient quantities to meet sales demands;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working capital requirements and acquisitions;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complete acquisitions, integrate operations post-acquisition and maintain relationships with customers of acquired entities;</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Forward-looking statements can be identified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2021 fiscal year.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b w:val="1"/>
          <w:bCs w:val="1"/>
          <w:i w:val="1"/>
          <w:iCs w:val="1"/>
          <w:color w:val="auto"/>
        </w:rPr>
        <w:t>The effects of the COVID-19 pandemic continue to significantly impact global economic conditions and have affected, and may continue to affect, our operations, supply chain, distribution, sales force, as well as the financial stability of hospitals and other customers, and have caused and could again cause a reduction in procedures, which could materially adversely affect our business, results of operations, financial condition, and stock price.</w:t>
      </w:r>
    </w:p>
    <w:p>
      <w:pPr>
        <w:spacing w:after="0" w:line="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On March 11, 2020, the World Health Organization characterized the Novel Coronavirus Disease 2019 (“COVID-19”) as a pandemic. The COVID-19 pandemic continues to have widespread and unpredictable impacts on global society, economies, financial markets, and business practices and negatively impact business and healthcare activity globally. To date, and in continuing efforts to control the spread of COVID-19 (including subsequent surges and variants), governments around the world, including in the U.S., have and continue to implement various preventative measures including quarantines, “shelter in place” orders, “stay at home” orders, travel restrictions, business operation restrictions, school closures, and other similar types of measures. Even as efforts to contain the pandemic have made progress, new variants of the virus are causing additional surges or outbreaks. The COVID-19 pandemic has impacted and may continue to impact our business operations, including our employees, customers, suppliers, distributors, other service providers and communities in which we operate, and there is substantial uncertainty in the nature and degree of its continued effects over time.</w:t>
      </w:r>
    </w:p>
    <w:p>
      <w:pPr>
        <w:spacing w:after="0" w:line="53"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response to the COVID-19 pandemic and related mitigation efforts, similar to many other employers in the U.S., the Company has and continues to encourage many employees to work remotely. The Company has continued to operate certain manufacturing facilities to date in compliance with federal, state and local orders regarding COVID-19. The health of the Company’s workforce is our top concern and the Company has procured equipment and implemented</w:t>
      </w:r>
    </w:p>
    <w:p>
      <w:pPr>
        <w:jc w:val="both"/>
        <w:spacing w:after="0" w:line="252" w:lineRule="auto"/>
        <w:rPr>
          <w:sz w:val="20"/>
          <w:szCs w:val="20"/>
          <w:color w:val="auto"/>
        </w:rPr>
      </w:pPr>
      <w:r>
        <w:rPr>
          <w:rFonts w:ascii="Arial" w:cs="Arial" w:eastAsia="Arial" w:hAnsi="Arial"/>
          <w:sz w:val="18"/>
          <w:szCs w:val="18"/>
          <w:color w:val="auto"/>
        </w:rPr>
        <w:t>safety protocols in an effort to maintain the health and safety of our employees. A number of our network of business partners have been adversely affected by the COVID-19 pandemic. These impacts could impair our ability to move our products through distribution channels to end customers, and any such delay or shortage in the supply of materials or products may result in our inability to satisfy consumer demand for certain of our products in a timely manner or at all, which could harm our reputation, future sales and profitability.</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It is not possible to predict with precision how future demand for our products will be impacted by the COVID-19 pandemic as the scope and duration of the pandemic and its impact on our business and the markets in which we operate remain unpredictable. The Company has implemented extensive business contingency plans across its global organization and network of third parties through which the Company conducts its business which helps limit some of the impact of the COVID-19 pandemic but does not completely prevent or avoid a negative impact on the business. In addition, COVID-19 has impacted and may further impact the global economy and capital markets, including by negatively impacting access to capital markets, foreign currency exchange rates, and interest rates, each of which may adversely impact our business and liquidity.</w:t>
      </w:r>
    </w:p>
    <w:p>
      <w:pPr>
        <w:spacing w:after="0" w:line="7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extent to which the COVID-19 pandemic will negatively affect the Company's operations and financial position will depend on future developments that remain uncertain and cannot be predicted with precision. For example, including, without limitation, the pandemic could cause:</w:t>
      </w:r>
    </w:p>
    <w:p>
      <w:pPr>
        <w:spacing w:after="0" w:line="51"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fluctuations in our operational results, revenues, and cash flows which may negatively impact our stock price;</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Impact on our operations and sales including but not limited to delays in orders, ability to market, sell, deliver and service our products;</w:t>
      </w:r>
    </w:p>
    <w:p>
      <w:pPr>
        <w:spacing w:after="0" w:line="17" w:lineRule="exact"/>
        <w:rPr>
          <w:rFonts w:ascii="Arial" w:cs="Arial" w:eastAsia="Arial" w:hAnsi="Arial"/>
          <w:sz w:val="17"/>
          <w:szCs w:val="17"/>
          <w:color w:val="auto"/>
        </w:rPr>
      </w:pPr>
    </w:p>
    <w:p>
      <w:pPr>
        <w:ind w:left="640" w:hanging="315"/>
        <w:spacing w:after="0" w:line="26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Reductions in demand for our products and services due to the impact of COVID-19 on hospitals and customers such as continued or future postponement or cancellations of procedures, hospital postponement or cancellation of capital purchases, or elimination of services;</w:t>
      </w:r>
    </w:p>
    <w:p>
      <w:pPr>
        <w:spacing w:after="0" w:line="1" w:lineRule="exact"/>
        <w:rPr>
          <w:rFonts w:ascii="Arial" w:cs="Arial" w:eastAsia="Arial" w:hAnsi="Arial"/>
          <w:sz w:val="17"/>
          <w:szCs w:val="17"/>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to manufacturing operations and distribution supply chains;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challenges or restraints in obtaining necessary products or components from our suppliers and vendors;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 or interruption to our manufacturing processes which could have a material adverse effect on our business;</w:t>
      </w:r>
    </w:p>
    <w:p>
      <w:pPr>
        <w:spacing w:after="0" w:line="5" w:lineRule="exact"/>
        <w:rPr>
          <w:rFonts w:ascii="Arial" w:cs="Arial" w:eastAsia="Arial" w:hAnsi="Arial"/>
          <w:sz w:val="18"/>
          <w:szCs w:val="18"/>
          <w:color w:val="auto"/>
        </w:rPr>
      </w:pPr>
    </w:p>
    <w:p>
      <w:pPr>
        <w:ind w:left="640" w:hanging="315"/>
        <w:spacing w:after="0" w:line="26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Local and/or global economic instability and inflation and recessions, which may result in hospitals and customers reducing capital spending and could materially affect our business, including but not limited to our future access to capital, and negatively impact the value of our stock;</w:t>
      </w:r>
    </w:p>
    <w:p>
      <w:pPr>
        <w:spacing w:after="0" w:line="1" w:lineRule="exact"/>
        <w:rPr>
          <w:rFonts w:ascii="Arial" w:cs="Arial" w:eastAsia="Arial" w:hAnsi="Arial"/>
          <w:sz w:val="17"/>
          <w:szCs w:val="17"/>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limitations on our operations due to restrictions associated with “shelter in place” orders and travel restrictions;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Distraction of management time and focus;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risk that insurance coverage will not provide protection for all of the COVID-19-related disruption;</w:t>
      </w:r>
    </w:p>
    <w:p>
      <w:pPr>
        <w:spacing w:after="0" w:line="5"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and/or increased risks related to the health and safety of our employees (and retention issues), volatility of foreign currency exchange rates, and risk of cybersecurity attacks and breaches;</w:t>
      </w: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liquidity constraints and credit impact;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6" w:name="page17"/>
    <w:bookmarkEnd w:id="16"/>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regulatory clearances, approval to market products, quality inspections, or delays to clinical trial activity;</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coverage decisions by private and public health insurers and foreign governmental health systems;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completion of supportive clinical studies for payer coverage decisions or clinical and economic decision makers due to slowed study enrollments;</w:t>
      </w:r>
    </w:p>
    <w:p>
      <w:pPr>
        <w:ind w:left="640" w:hanging="315"/>
        <w:spacing w:after="0" w:line="24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to acquisition plans, increased risks to the operations and financial condition of newly acquired businesses, and increased costs or delays to integration of newly acquired businesses;</w:t>
      </w:r>
    </w:p>
    <w:p>
      <w:pPr>
        <w:ind w:left="640" w:hanging="315"/>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any reprioritization of capital allocations on our ability to achieve our strategic objectives over the medium and long-term; and</w:t>
      </w:r>
    </w:p>
    <w:p>
      <w:pPr>
        <w:spacing w:after="0" w:line="17" w:lineRule="exact"/>
        <w:rPr>
          <w:rFonts w:ascii="Arial" w:cs="Arial" w:eastAsia="Arial" w:hAnsi="Arial"/>
          <w:sz w:val="17"/>
          <w:szCs w:val="17"/>
          <w:color w:val="auto"/>
        </w:rPr>
      </w:pPr>
    </w:p>
    <w:p>
      <w:pPr>
        <w:ind w:left="640" w:hanging="315"/>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Write downs or impairments of investments in third parties, goodwill or intangible assets from recently acquired businesses, accounts receivable, or other assets.</w:t>
      </w:r>
    </w:p>
    <w:p>
      <w:pPr>
        <w:spacing w:after="0" w:line="8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As the situation surrounding the COVID-19 pandemic remains fluid, it is difficult to predict, with any certainty, the duration and extent of its impact which depends on future developments that cannot be accurately predicted at this time, such as the severity and transmission rate of the virus (including any variant strains), the extent and effectiveness of containment actions including the effectiveness of the vaccine against future variants and the availability of new antiviral medicines for the treatment of COVID-19, and the impact of these and other factors on our employees, customers, suppliers, distributors and other service providers. If COVID-19, or a variant strain, continues to spread and escalate domestically or internationally, or if governments impose additional measures intended to mitigate the spread and related effects of the pandemic, the risks described above could be elevated significantly. Should that occur, and the COVID-19 pandemic persist for a prolonged time, the above factors and others that are currently unknown could have a material adverse impact on our business, results of operations, financial conditions and prospects and could elevate known risks described in this Item 1A. Risk Factors. Information pertaining to the potential impact of the COVID-19 pandemic and associated economic disruptions, and the actual operational and financial impacts that we have experienced to date can be found in Management's Discussion and Analysis of Financial Position and Results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do so from time to time in the future. Some of the factors that may cause these fluctuations include:</w:t>
      </w:r>
    </w:p>
    <w:p>
      <w:pPr>
        <w:spacing w:after="0" w:line="81" w:lineRule="exact"/>
        <w:rPr>
          <w:sz w:val="20"/>
          <w:szCs w:val="20"/>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COVID-19;</w:t>
      </w:r>
    </w:p>
    <w:p>
      <w:pPr>
        <w:spacing w:after="0" w:line="16"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ind w:left="640" w:hanging="315"/>
        <w:spacing w:after="0" w:line="24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acquisitions, our ability to integrate acquisitions, and our restructuring activities including portfolio rationalization, divestitures and product lifecycle management;</w:t>
      </w: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significant customer orders, which tend to increase in the fourth quarter coinciding with the end of budget cycles;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for a wide range of customers across all our product lines in the markets our products are sold;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retention of current employees and recruiting of new employees in light of market competition for talent and relevant skills;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exchange rates between the U.S. dollar and foreign currencies of countries in which we do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variable interest rates of our debt instruments which could impact debt service requirements;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operations and sales resulting from extreme weather conditions or natural disasters that damage our manufacturing, distribution, or infrastructure of those facilities, or the suppliers and service providers for those facilities;</w:t>
      </w: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and services, including sterilization, energy, steel and honey;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7" w:name="page18"/>
    <w:bookmarkEnd w:id="17"/>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commercial sales representatives to obtain sales targets in a reasonable time frame;</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changes to our sales organization, continued channel expansion, including increased specialization;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5" w:lineRule="exact"/>
        <w:rPr>
          <w:rFonts w:ascii="Arial" w:cs="Arial" w:eastAsia="Arial" w:hAnsi="Arial"/>
          <w:sz w:val="18"/>
          <w:szCs w:val="18"/>
          <w:color w:val="auto"/>
        </w:rPr>
      </w:pPr>
    </w:p>
    <w:p>
      <w:pPr>
        <w:jc w:val="both"/>
        <w:ind w:left="640" w:hanging="315"/>
        <w:spacing w:after="0" w:line="26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2" w:lineRule="exact"/>
        <w:rPr>
          <w:rFonts w:ascii="Arial" w:cs="Arial" w:eastAsia="Arial" w:hAnsi="Arial"/>
          <w:sz w:val="17"/>
          <w:szCs w:val="17"/>
          <w:color w:val="auto"/>
        </w:rPr>
      </w:pPr>
    </w:p>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removal from the market or involve field corrective actions that could affect the marketability of our products;</w:t>
      </w:r>
    </w:p>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enforcement or defense of intellectual property rights;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or their interpretations; and</w:t>
      </w:r>
    </w:p>
    <w:p>
      <w:pPr>
        <w:spacing w:after="0" w:line="5" w:lineRule="exact"/>
        <w:rPr>
          <w:rFonts w:ascii="Arial" w:cs="Arial" w:eastAsia="Arial" w:hAnsi="Arial"/>
          <w:sz w:val="18"/>
          <w:szCs w:val="18"/>
          <w:color w:val="auto"/>
        </w:rPr>
      </w:pPr>
    </w:p>
    <w:p>
      <w:pPr>
        <w:ind w:left="640" w:hanging="315"/>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industry and market segments in which we operate are highly competitive, and we may be unable to compete effectively with other companies.</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There is intense competition among medical device companies. We compete with established medical technology companies in many of our product areas. Competition also comes from early-stage companies,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They may be able to gain market share by offering lower-cost products or products that enjoy better reimbursement from third-party payors and foreign governmental health systems.</w:t>
      </w:r>
    </w:p>
    <w:p>
      <w:pPr>
        <w:spacing w:after="0" w:line="8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Our competitive position depends on our ability to achieve market acceptance for our products, develop new products, implement production and marketing plans, secure regulatory approval for products under development, demonstrate clinical and economic effectiveness, obtain and maintain reimbursement coverage and funding under third-party payors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third-party payors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are developing products to compete with our dural repair products, regenerative skin, neuro critical care monitors and ultrasonic tissue ablation devices, among others.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81" w:lineRule="exact"/>
        <w:rPr>
          <w:sz w:val="20"/>
          <w:szCs w:val="20"/>
          <w:color w:val="auto"/>
        </w:rPr>
      </w:pPr>
    </w:p>
    <w:p>
      <w:pPr>
        <w:jc w:val="both"/>
        <w:ind w:left="640" w:hanging="315"/>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8" w:name="page19"/>
    <w:bookmarkEnd w:id="18"/>
    <w:p>
      <w:pPr>
        <w:jc w:val="both"/>
        <w:ind w:left="640" w:hanging="315"/>
        <w:spacing w:after="0" w:line="264"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several foreign countries have implemented reforms of their respective healthcare sectors in an effort to reduce healthcare spending, including restricting funding to only those medical technologies and procedures with proven effectiveness, and increasing patient co-payments.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1" w:lineRule="exact"/>
        <w:rPr>
          <w:rFonts w:ascii="Arial" w:cs="Arial" w:eastAsia="Arial" w:hAnsi="Arial"/>
          <w:sz w:val="17"/>
          <w:szCs w:val="17"/>
          <w:color w:val="auto"/>
        </w:rPr>
      </w:pPr>
    </w:p>
    <w:p>
      <w:pPr>
        <w:ind w:left="640" w:hanging="315"/>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Medicare, Medicaid, private and public health insurer and foreign governmental cutbacks could create downward pricing pressure on our products;</w:t>
      </w:r>
    </w:p>
    <w:p>
      <w:pPr>
        <w:spacing w:after="0" w:line="40" w:lineRule="exact"/>
        <w:rPr>
          <w:rFonts w:ascii="Arial" w:cs="Arial" w:eastAsia="Arial" w:hAnsi="Arial"/>
          <w:sz w:val="15"/>
          <w:szCs w:val="15"/>
          <w:color w:val="auto"/>
        </w:rPr>
      </w:pPr>
    </w:p>
    <w:p>
      <w:pPr>
        <w:jc w:val="both"/>
        <w:ind w:left="640" w:hanging="315"/>
        <w:spacing w:after="0" w:line="26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2" w:lineRule="exact"/>
        <w:rPr>
          <w:rFonts w:ascii="Arial" w:cs="Arial" w:eastAsia="Arial" w:hAnsi="Arial"/>
          <w:sz w:val="17"/>
          <w:szCs w:val="17"/>
          <w:color w:val="auto"/>
        </w:rPr>
      </w:pPr>
    </w:p>
    <w:p>
      <w:pPr>
        <w:jc w:val="both"/>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ind w:left="640" w:hanging="315"/>
        <w:spacing w:after="0" w:line="26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spacing w:after="0" w:line="1" w:lineRule="exact"/>
        <w:rPr>
          <w:rFonts w:ascii="Arial" w:cs="Arial" w:eastAsia="Arial" w:hAnsi="Arial"/>
          <w:sz w:val="17"/>
          <w:szCs w:val="17"/>
          <w:color w:val="auto"/>
        </w:rPr>
      </w:pPr>
    </w:p>
    <w:p>
      <w:pPr>
        <w:jc w:val="both"/>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40" w:hanging="315"/>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 and also requires us to successfully integrate acquired businesses into our business operations in order to avoid our business being materially and adversely affected.</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2019 and December 31, 2021, we have acquired 3 businesses at a total cost of approximately $404.3 million which amount includes our acquisition of ACell, Inc. in January 2021 for $306.9 million. This acquisition added products to our complex wound management product portfolio and provides additional growth opportunities for our TT segment.</w:t>
      </w:r>
    </w:p>
    <w:p>
      <w:pPr>
        <w:spacing w:after="0" w:line="8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may be unable to continue to implement our growth strategy and it may ultimately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operating, amortization and interest expenses,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Failure to integrate acquired businesses and operations (including acquired employees and systems), retain key customers and suppliers of any acquired business or manage the cost of providing our products or price our products appropriately could preclude realization of the full benefits that we expect from there transactions. Our failure to meet the challenges involved in integrating the business in order to realize the anticipated benefits of the acquisitions could cause an interruption of, or loss of momentum in, our activities and could materially and adversely affect our results of operations.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Some acquisitions may include the need for ongoing product development to occur consistent with time sensitive milestones in order for the Company to achieve its commercial projections for the acquisition. Our future profitability will depend in part upon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9" w:name="page20"/>
    <w:bookmarkEnd w:id="19"/>
    <w:p>
      <w:pPr>
        <w:jc w:val="both"/>
        <w:spacing w:after="0" w:line="265" w:lineRule="auto"/>
        <w:rPr>
          <w:sz w:val="20"/>
          <w:szCs w:val="20"/>
          <w:color w:val="auto"/>
        </w:rPr>
      </w:pPr>
      <w:r>
        <w:rPr>
          <w:rFonts w:ascii="Arial" w:cs="Arial" w:eastAsia="Arial" w:hAnsi="Arial"/>
          <w:sz w:val="17"/>
          <w:szCs w:val="17"/>
          <w:color w:val="auto"/>
        </w:rPr>
        <w:t>ability to develop our resources to adapt to these new products or business areas and to identify and enter into or maintain satisfactory distribution networks.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 We may not be 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flows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49"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Market acceptance of our products depends on many factors, including our ability to convince prospective customers that our technology is an attractive alternative to other technologies, to manufacture products in sufficient quantities and at acceptable costs, and to supply and service sufficient quantities of our products directly or through our distribution alliances. For example, the use of autograft tissue is a well-established means for repairing the dermis, and it competes for acceptance in the market with our collagen-based wound care products. In addition, unfavorable payment amounts or adverse coverage determinations of third-party payors, including Medicare, Medicaid, private and public health insurers, and foreign governmental health systems, regarding</w:t>
      </w:r>
    </w:p>
    <w:p>
      <w:pPr>
        <w:spacing w:after="0" w:line="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products or third-party determinations that favor a competitor’s product over ours, could harm acceptance or continued use of our products. For example, greater market acceptance of our wound graft products may ultimately depend on our ability to demonstrate that coverage and reimbursement are available and favorable, or because they are an attractive, cost-effective alternative to other treatment options.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8"/>
          <w:szCs w:val="18"/>
          <w:color w:val="auto"/>
        </w:rPr>
        <w:t>If there are negative events in the healthcare industry, whether real or perceived, there could be a negative impact on the industry as a whole.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In addition, our future success depends, in part, on our ability to license and develop additional products. Even if we determine that a product candidate has medical benefits, the cost of commercializing, either through internal development or payments associated with licensing arrangements, could be too high to justify development and we could ultimately face competitors with more effective products and better reimbursement status that cost less and are ready for commercial introduction before our products. If we are unable to develop additional commercially viable products, our future prospects could be materially and adversely affected.</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One or more of these factors could vary unpredictably, and such variations could have a material, adverse effect on our competitive position. We may not be able to adjust our contemplated plan of development to meet changing market demands.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sell:</w:t>
      </w:r>
    </w:p>
    <w:p>
      <w:pPr>
        <w:spacing w:after="0" w:line="83" w:lineRule="exact"/>
        <w:rPr>
          <w:sz w:val="20"/>
          <w:szCs w:val="20"/>
          <w:color w:val="auto"/>
        </w:rPr>
      </w:pPr>
    </w:p>
    <w:p>
      <w:pPr>
        <w:ind w:left="640" w:hanging="315"/>
        <w:spacing w:after="0" w:line="20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family of products, our Absorbable Collagen Sponges, PriMatrix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SurgiMend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w:t>
      </w: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2"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which use many different specialty parts, electrical components, or chemicals from numerous suppliers, such as our intracranial monitors, shunts, catheters, tissue ablation, and headlights;</w:t>
      </w: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which are amniotic tissue-based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which are porcine tissue-based;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TCC-EZ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total contact cast system products.</w:t>
      </w:r>
    </w:p>
    <w:p>
      <w:pPr>
        <w:spacing w:after="0" w:line="4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 effective manner, or at all, which could have an adverse impact on our operating results.</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supply chain and our cost of goods also may be negatively impacted by unanticipated price increases due to factors such as inflation, including wage inflation, or to supply restrictions beyond our control or the control of our suppliers.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delays, performance impact or unexpected costs from consolidation of facilities and transfer of manufacturing facilities.</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recent years, we consolidated several facilities or transferred manufacturing operations from third parties to our existing internal manufacturing facilities and may further undertake similar consolidations or transfers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private-label product lines depend significantly on key relationships with third parties, which we could be unable to establish and maintain.</w:t>
      </w:r>
    </w:p>
    <w:p>
      <w:pPr>
        <w:spacing w:after="0" w:line="14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Our private-label business depends in part on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74"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the United States, the Patient Protection and Affordable Care Act (the “ACA”), signed into law in March 2010, includes several provisions that impact our businesses in the U.S. The ACA includes provisions that, among other things, reduce and/or limit Medicare reimbursement, require all individuals to have health insurance (with limited exceptions), and require detailed disclosure of transfers of value made to healthcare professionals. Other legislative changes have been proposed and adopted since the Affordable Care Act was enacted, including The Budget Control Act of 2011, The American Taxpayer Relief Act of 2012 and Medicare Access and CHIP Reauthorization Act of 2015, which, among other things, have reduced payments under Medicare and Medicaid to certain healthcare providers or altered the formula by which Medicare makes annual payment adjustments.</w:t>
      </w:r>
    </w:p>
    <w:p>
      <w:pPr>
        <w:spacing w:after="0" w:line="4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cannot predict what impact ongoing uncertainty regarding federal and state health reform proposals, including the implementation or repeal of the ACA, judicial review and interpretation of the ACA and other healthcare laws, instability of the insurance markets, changes in the U.S. administration and policy, an expansion in government’s role in and/or additional proposals and/or changes to the U.S. health care system or its legislation will have on our customer’s purchasing decisions and/or reimbursement which could have a material adverse effect on our business. 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We cannot predict the ultimate content, timing or effect of any healthcare reform legislation or the impact of potential legislation on us. We continue to monitor the implementation of such legislation and, to the extent new market or industry trends or new governmental programs evolve, we will consider implementing or implement programs in response.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regulations and oversight and any adverse action may adversely affect our ability to compete in the marketplace and our financial condition and business operations.</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Our products, development activities and manufacturing processes are subject to extensive and rigorous regulation by numerous government agencies, including the FDA and comparable foreign agencies, as discussed in “Part 1, Item 1. Business – Government Regulation.”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 be costly, time consuming and burdensome, lead to failed clinical trials or weakened clinical evidence, involve modifications, repairs or replacements of our products and result in limitations on the indicated use of our products, which may negatively impact our ability to market our products and services, result in delays or prevent full commercial realization of future products or service. Furthermore, failure to obtain timely approvals or renewals may result in significant penalties and fines. Additional regulations govern the approval, initiation, conduct, monitoring, documentation and reporting of clinical studies to regulatory agencies in the countries or regions in which they are conducted. Failure to comply, could subject us to significant enforcement actions and sanctions, including halting the study, rejection of data generated in the study, seizure of investigational devices or data, sanctions against investigators, civil or criminal penalties, and other actions. In addition, without the data from one or more clinical studies, it may not be possible for us to secure the data necessary to support certain regulatory submissions, to secure reimbursement or demonstrate other requirements. We cannot assure you that access to clinical investigators, sites and subjects, documentation and data will be available on the terms and timeframes necessary.</w:t>
      </w: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 Failure to comply with applicable regulations could result in future product recalls, injunctions preventing the shipment of products or other enforcement actions that could have a material adverse effect on our business.</w:t>
      </w:r>
    </w:p>
    <w:p>
      <w:pPr>
        <w:spacing w:after="0" w:line="7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are also subject to the European Medical Device Regulation, which was adopted by the European Union (“EU”) as a common legal framework for all EU member states. The implementation for Class I products occurred on May 26, 2021 and the EUDAMED Database is scheduled for May 26, 2022. Under this regulation, companies that wish to manufacture and distribute medical devices in EU member states must meet certain quality system, and safety requirements as well as ongoing product monitoring responsibilities. Companies must also obtain a “CE” marking (i.e., a mandatory conformity marking for certain products sold within the European Economic Area) for their products. Complying with the requirements of these regulations may require us to incur significant expenditures. Various penalties exist for non-compliance with the laws implementing the European Medical Device Regulations which if incurred, could have a material adverse impact on our business, results of operations and cash flows.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we are subject to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77" w:lineRule="exact"/>
        <w:rPr>
          <w:sz w:val="20"/>
          <w:szCs w:val="20"/>
          <w:color w:val="auto"/>
        </w:rPr>
      </w:pPr>
    </w:p>
    <w:p>
      <w:pPr>
        <w:ind w:left="640" w:hanging="315"/>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in place policies and procedures for compliance that we believe are at least as stringent as those set forth in the AdvaMed Code of Ethics which was developed by AdvaMed, a trade association that represents the medical device industry, and which is intended to represent best practices with respect to medical device companies' interactions with healthcare providers. We regularly train our sales and marketing personnel on our policies regarding sales and marketing practices. Pursuant to the AdvaMed Code, we have certified our adoption of the AdvaMed Code.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 Since these laws, regulations and ultimate enforcement continue to evolve, we cannot predict with certainty, what, if any, impact, changes to them may have on our business or our customers.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7"/>
          <w:szCs w:val="17"/>
          <w:color w:val="auto"/>
        </w:rPr>
        <w:t>Outside of the U.S. we are subject to privacy and data security regulations at the international, national and regional level, as well as on an industry specific basis. For example, in Europe, we are subject to the EU General Data Protection Regulation ("GDPR") which is related to the collection, processing, storage, transfer and use of personal data. In the U.S., we are subject to the California Consumer Privacy Act of 2018 (“CCPA”) and other similar laws in the United States, at both the federal and state level. Noncompliance with GDPR could trigger fines of up to 4% of global annual revenues. In addition, we are subject to the new China Personal Information Protection Law that went into effect November 1, 2021 which focuses on protecting personal information and cross border transfers of the information. Compliance with these requirements, either individually or in the aggregate, may require changes in business practices added complexity and additional management oversight. They also may complicate our clinical research activities, as well as product offerings that involve transmission or use of clinical data. Non-compliance may result in proceedings against us by governmental or other entities and/or significant fines which could negatively impact our reputation and adversely affect our business.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we delay or fail to comply with one or more of the regulatory requirements we could have reduced sales, increased costs, delays to new product introductions, enhancements or our strategic plans, or harm to our reputation or competitiveness, which could have a material adverse effect on our business and financial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products are derived from bovine or porcine tissue sources. As a result, we may experience difficulties in processing and producing our bovine and porcine tissue products at scale, including problems related to yields, quality control and assurance, tissue availability, adequacy of control policies and procedures and availability of skilled personnel.</w:t>
      </w:r>
    </w:p>
    <w:p>
      <w:pPr>
        <w:spacing w:after="0" w:line="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With respect to bovine, among other products, our dermal regeneration products, duraplasty products, wound care products, bone void fillers, nerve and tendon repair products and certain other products, contain material derived from bovine tissue. In 2021, approximately 43.3%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recognizes the U.S. as having a negligible risk for BSE, which is the highest status available.</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regulations, or a ban of our products, could have a material, adverse effect on our current business or our ability to expand our business.</w:t>
      </w:r>
    </w:p>
    <w:p>
      <w:pPr>
        <w:spacing w:after="0" w:line="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4" w:name="page25"/>
    <w:bookmarkEnd w:id="24"/>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current and potential future requirements relating to protection of the environment, such as hazardous materials regulations, which may impose significant compliance or other costs on us.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of our processes in manufacturing and research and development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such laws may be amended in ways that increase our cost of compliance, perhaps materially.</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risks related to climate change.</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long-term effects of global climate change present both physical risks (from the increased frequency of extreme weather conditions or natural disasters) and transition risks (from regulatory requirements or technology changes). Such extreme weather conditions could pose physical risks to our facilities and disrupt operation of our supply chain and may impact operational costs. Concern over global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such measures may interrupt our operations or the operations of our suppliers, potentially leading to higher costs, and therefore negatively impact our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requirements relating to information technology which could adversely affect our business.</w:t>
      </w:r>
    </w:p>
    <w:p>
      <w:pPr>
        <w:spacing w:after="0" w:line="11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If we are unable to maintain reliable information technology systems and prevent disruptions, outages, or data breaches, we may suffer regulatory consequences in addition to business consequences. Our worldwide operations means that we are subject to laws and regulations, including data protection and cyber security laws and regulations, in many jurisdictions. The variety of 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cyber-attacks. While Integra has not been named in any such suits, if a substantial breach or loss of data were to occur, we could become a target of such litigation.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AND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 from our historical income tax provisions and accruals. The results of an audit or litigation could have a material, adverse effect on our financial statements in the period or periods for which that determination is made.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exposures to additional tax liabilities could negatively impact the Company's operating results.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income taxes, as well as taxes that are not income-based, in both the U.S. and many foreign jurisdictions. Our future effective tax rate could be unfavorably affected by numerous factors including a change in, or the interpretation of, tax rules and regulations in the jurisdictions in which we operate (including changes in legislation currently being considered), a change in our geographic earnings mix, and/or to the jurisdictions in which we operate, or a change in the measurement of our deferred taxes.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leverage and debt service obligations could adversely affect our business.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leverage and debt service obligations could adversely affect our business. As of December 31, 2021, our total consolidated external debt was approximately $1.6 billion (See Item 7 and Note 5,5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Consolidated Financial Statements (Part II, Item 8 of this Form 10-K) for a discussion of our consolidated external debt). We may also incur additional indebtedness in the future. Our substantial indebtedness could have material, adverse consequences, including:</w:t>
      </w:r>
    </w:p>
    <w:p>
      <w:pPr>
        <w:spacing w:after="0" w:line="87" w:lineRule="exact"/>
        <w:rPr>
          <w:sz w:val="20"/>
          <w:szCs w:val="20"/>
          <w:color w:val="auto"/>
        </w:rPr>
      </w:pPr>
    </w:p>
    <w:p>
      <w:pPr>
        <w:ind w:left="640" w:hanging="31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16" w:lineRule="exact"/>
        <w:rPr>
          <w:rFonts w:ascii="Arial" w:cs="Arial" w:eastAsia="Arial" w:hAnsi="Arial"/>
          <w:sz w:val="18"/>
          <w:szCs w:val="18"/>
          <w:color w:val="auto"/>
        </w:rPr>
      </w:pPr>
    </w:p>
    <w:p>
      <w:pPr>
        <w:ind w:left="640" w:right="16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ind w:left="640" w:hanging="315"/>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limiting our ability to compete and our flexibility in planning for, or reacting to, changes in our business and the industry in which we operate; and</w:t>
      </w:r>
    </w:p>
    <w:p>
      <w:pPr>
        <w:spacing w:after="0" w:line="40" w:lineRule="exact"/>
        <w:rPr>
          <w:rFonts w:ascii="Arial" w:cs="Arial" w:eastAsia="Arial" w:hAnsi="Arial"/>
          <w:sz w:val="15"/>
          <w:szCs w:val="15"/>
          <w:color w:val="auto"/>
        </w:rPr>
      </w:pPr>
    </w:p>
    <w:p>
      <w:pPr>
        <w:ind w:left="640" w:hanging="315"/>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our ability to comply with, renegotiate or extend the Company’s debt obligations will depend on our operating and financial performance, which in turn is subject to prevailing economic conditions and financial, business and other factors beyond our control.Any disruptions in our operations, the financial markets, or the overall economy, including as a result of COVID-19, may adversely affect the availability and cost of credit to us and/or our ability to comply with our existing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calculation and or complete replacement of LIBOR could have an impact on our business.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United Kingdom’s Financial Conduct Authority (“FCA”), which regulates LIBOR, announced in July 2017 that it will no longer persuade or require banks to submit rates for LIBOR. On March 5, 2021, the ICE Benchmark Administration, which administers LIBOR, and the FCA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We have multiple debt facilities which utilizes a variable rate equal to Eurodollar LIBOR rate as a component of our interest rate. This transition away from LIBOR as a common reference rate in the global financial market could have a material, adverse effect on our business. Management continues to monitor the status and discussions regarding LIBOR.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OPERATIONS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any of our facilities or those of our suppliers were damaged and/or our manufacturing or business processes interrupted, we could experience lost revenues and our business could be seriously harmed.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Damage to our manufacturing, distribution, development and/or research facilities because of fire, extreme weather conditions, natural disaster, power loss, communications failure, geopolitical disruption, unauthorized entry or other events, such as a flu or other health epidemic, such as COVID-19,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earthquakes and other natural disasters.Climate change may increase both the frequency and severity of extreme weather conditions and natural disasters and, consequently, risks to our operations and growth.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8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of the Notes to Consolidated Financial Statements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United Kingdom’s (“UK”) exit from the European Union on January 31, 2020, commonly referred to as Brexit, has caused, and may continue to cause uncertainty in the global political markets. It is possible that Brexit could, among other things, affect the legal and regulatory environments to which our business is subject, impose greater restrictions on imports and exports between the UK and the EU and other parties, and create economic and political uncertainty in the region.</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proposals are made to significantly change existing trade agreements and relationships between the U.S. and other countries. Owing to the complex relationships between the U.S. and such other countries, political, diplomatic, military, or other events could result in business disruptions, including increased regulatory enforcement against companies, tariffs, trade embargoes, and export restrictions. The imposition of such restrictions could increase the cost of the Company’s products and the components and raw materials that go into making them, require the Company to change its operations and the products it offers and negatively impact consumer confidence and spending, all of which, both individually and in the aggregate, could materially and adversely affect our operations and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adversely affect our business.</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 experienced third party maintains the enterprise business system used to support our transaction processing, accounting and financial reporting, and supply chain and manufacturing processes. Any significant breakdown, intrusion, interruption, corruption, or destruction of these systems, as well as any data breaches, could have a material, adverse effect on our business.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Third parties may attempt to breach our systems and may obtain data relating to patients, proprietary or sensitive information. As a result of the COVID-19 pandemic, we may face increased cybersecurity risks due to our reliance on internet technology and the number of our employees who are working remotely, which may create additional opportunities for cybercriminals to exploit vulnerabilities. If we, or third parties on whom we rely, fail to maintain or protect our information systems and data integrity effectively, we could lose existing customers, have difficulty attracting new customers, suffer backlash from negative public relations, have regulatory sanctions or penalties imposed, have increases in operating expenses, incur expenses or lose revenues as a result of a data privacy breach, or suffer other adverse consequences.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programs, processes (including ongoing improvements) and technologies in place to prevent, detect, contain, respond to and mitigate security related threats and potential incidents. Because the techniques used to obtain unauthorized access or interrupt services change frequently and can be difficult to detect, anticipating, identifying or preventing these threats or mitigating them if and when they occur, may be challenging. We are also dependent on third party vendors to supply and/or support certain aspects of our information technology systems which may contain defects in design or manufacture or other problems that could result in system disruption or unexpectedly compromise the information security of our own systems. In addition, as we grow in part through new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w:t>
      </w:r>
    </w:p>
    <w:p>
      <w:pPr>
        <w:spacing w:after="0" w:line="22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2021, we lease approximately 166,991 square feet of space in Princeton, NJ, where we house our principal headquarters, sales operations, and support functions. This lease expires in 2035.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Canada, China, France, Germany, Ireland and Switzerland. Our instrument procurement operations are located in Germany. Our primary distribution centers are located in Nevada, Ohio, Kentucky, Australia, Belgium, Canada, Japan and France. In addition, we lease several smaller facilities to support additional administrative, assembly, and distribution operations. Third parties own and operate the facilities in Nevada, Kentucky, Japan and Belgium. We own facilities in Biot, France, Saint Aubin Le Monial, France, Rietheim-Weilheim, Germany and Ohio and we lease all of our other facilities. We also have repair centers in Ohio, Australia, France, Japan, China and Germany, and field service presence in Canada, Dubai, India, Italy, Netherlands, Singapore, Thailand and United Kingdom.</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Information pertaining to legal proceedings can be found in Note 15. Commitment and Contingencies of the Notes to Consolidated Financial Statements (Part II, Item 8 of this Form 10-K).</w:t>
      </w:r>
    </w:p>
    <w:p>
      <w:pPr>
        <w:spacing w:after="0" w:line="10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45" w:lineRule="exact"/>
        <w:rPr>
          <w:sz w:val="20"/>
          <w:szCs w:val="20"/>
          <w:color w:val="auto"/>
        </w:rPr>
      </w:pPr>
    </w:p>
    <w:p>
      <w:pPr>
        <w:ind w:left="1040" w:right="620" w:hanging="995"/>
        <w:spacing w:after="0" w:line="229"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common stock trades on The NASDAQ Global Select Market under the symbol “IART.” The number of stockholders of record as of February 22, 2022 was approximately 777, which includes stockholders whose shares were held in nominee name.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2021, 2020 or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registered securities during the years ended December 31, 2021, 2020 or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This stock repurchase authorization replaces the previous $225 million stock repurchase authorization, of which $125 million remained authorized at the time of its replacement, and which was otherwise set to expire on December 31, 2020. Purchases may be affected through one or more open market transactions, privately negotiated transactions, transactions structured through investment banking institutions, or a combination of the foregoing.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share repurchase authorization.</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12, 2022, the Company entered into a $125.0 million accelerated share repurchase ("2022 ASR") and received 1.5 million shares of Company common stock at inception of the 2022 ASR, which represented approximately 80% of the expected total shares under the 2022 ASR. The remaining 20% of the expected total shares is expected to settle in the first half of 2022, upon which additional shares of common stock may be delivered to the Company or, under certain circumstances, the Company may be required to make a cash payment or may elect to deliver shares of our common stock to the 2022 ASR counterparty in each case pursuant to the terms of the 2022 ASR agreement between the Company and the 2022 ASR counter party. The total number of shares to be delivered or the amount of such payment, as well as the final average price per share, will be based on the volume-weighted average price, less a discount, of the Company's common stock during the term of the transaction. As a result of this transaction, $100.0 million remains available under the $225.0 million stock repurchase authorization.</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convertible notes to execute the share repurchase transactions. This included $7.6 million from certain purchasers of the convertible notes in conjunction with the closing of the offering. On February 5, 2020, the Company entered into a $92.4 million accelerated share repurchase ("2020 ASR") to complete the remaining $100.0 million of share repurchase. The Company received 1.3 million shares at inception of the 2020 ASR, which represented approximately 80% of the expected total shares. Upon settlement of the 2020 ASR in June 2020, the Company received an additional 0.6 million shares determined using the volume-weighted average price of the Company's common stock during the term of the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Treasury Stock</w:t>
      </w:r>
      <w:r>
        <w:rPr>
          <w:rFonts w:ascii="Arial" w:cs="Arial" w:eastAsia="Arial" w:hAnsi="Arial"/>
          <w:sz w:val="18"/>
          <w:szCs w:val="18"/>
          <w:color w:val="auto"/>
        </w:rPr>
        <w:t xml:space="preserve"> of the Notes to Consolidated Financial Statements (Part II, Item 8 of this Form 10-K) for further details.</w:t>
      </w:r>
    </w:p>
    <w:p>
      <w:pPr>
        <w:spacing w:after="0" w:line="25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351"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discussion and analysis provides information management believes to be relevant to understanding our financial condition and results of operations. For a full understanding of financial condition and results of operations, it should be read together with the selected consolidated financial data and our financial statements with the related notes appearing elsewhere in this report. The discussion focuses on our financial results for the year ended December 31, 2021 and 2020. The comparison of fiscal 2020 to 2019 has been omitted from this Form 10-K, but can be referenced in our Form 10-K for the fiscal year ended December 31, 2020—“Item 7. Management's Discussion and Analysis of Financial Condition and Results of Operations” filed on February 23, 2021.</w:t>
      </w:r>
    </w:p>
    <w:p>
      <w:pPr>
        <w:spacing w:after="0" w:line="8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of 1933, as amended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risk that the COVID-19 pandemic could lead to further material delays and cancellations of, or reduced demand for, procedures; delayed capital spending by the Company's customers; disruption and/or higher costs to the Company’s supply chain; staffing shortages in hospitals; labor impacts in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a combination of several global acquisitions and product development to meet the needs of its customers and impact patient care.</w:t>
      </w:r>
    </w:p>
    <w:p>
      <w:pPr>
        <w:spacing w:after="0" w:line="7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Integra manufactures and sells medical technologies and products in two reportable business segments: Codman Specialty Surgical ("CSS") and Tissue Technologies ("TT"). The CSS segment, which represents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Canada, China, France, Germany, Ireland and Switzerland. We also source most of our handheld surgical instruments and dural sealant products through specialized third-party vendors.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An important part of the Company's strategy is pursuing strategic transactions and licensing agreements that increase relevant scale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clinical areas in which Integra competes. During 2021, the Company acquired ACell Inc. ("ACell"), an innovative regenerative medicine company specializing in the manufacturing of porcine urinary bladder extracellular matrices. This acquisition not only expanded the Company’s product offering of regenerative technologies, but it also supported the Company’s long-term growth and profitability strategy as this product line has a financial profile similar to Integra’s other regenerative tissue products. All critical components of ACell have been integrated into the Company’s TT segment. See Note 4,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Divestitures</w:t>
      </w:r>
      <w:r>
        <w:rPr>
          <w:rFonts w:ascii="Arial" w:cs="Arial" w:eastAsia="Arial" w:hAnsi="Arial"/>
          <w:sz w:val="18"/>
          <w:szCs w:val="18"/>
          <w:color w:val="auto"/>
        </w:rPr>
        <w:t>, to the Notes to Consolidated Financial Statements (Part II, Item 8 of this Form 10-K) for additional details. In 2021, we continued 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the development of pioneering neurosurgical technologies from our 2019 acquisitions, Arkis Biosciences, Inc. and Rebound Therapeutics Corporation.</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Portfolio Optimization and New Product Introductions</w:t>
      </w:r>
      <w:r>
        <w:rPr>
          <w:rFonts w:ascii="Arial" w:cs="Arial" w:eastAsia="Arial" w:hAnsi="Arial"/>
          <w:sz w:val="15"/>
          <w:szCs w:val="15"/>
          <w:color w:val="auto"/>
        </w:rPr>
        <w:t>. We are investing in innovative product development to drive a multi-generational pipeline for our key</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franchises. Our product development efforts span across our key global franchises focused on potential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In January 2021, we completed the sale of our Extremity Orthopedics business to Smith &amp; Nephew USD Limited ("Smith &amp; Nephew"), a subsidiary of Smith</w:t>
      </w:r>
    </w:p>
    <w:p>
      <w:pPr>
        <w:spacing w:after="0" w:line="27" w:lineRule="exact"/>
        <w:rPr>
          <w:sz w:val="20"/>
          <w:szCs w:val="20"/>
          <w:color w:val="auto"/>
        </w:rPr>
      </w:pPr>
    </w:p>
    <w:p>
      <w:pPr>
        <w:jc w:val="both"/>
        <w:ind w:firstLine="6"/>
        <w:spacing w:after="0" w:line="222" w:lineRule="auto"/>
        <w:tabs>
          <w:tab w:leader="none" w:pos="2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Nephew plc, for approximately $240 million in cash. This transaction enables us to increase our investments in our core neurosurgery and tissue technologies businesses and fund pipeline opportunities to expand our addressable markets to strengthen our existing leadership positions in these segments and drive future growth.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Notes to Consolidated Financial Statements (Part II, Item 8 of this Form 10-K) for details.</w:t>
      </w:r>
    </w:p>
    <w:p>
      <w:pPr>
        <w:spacing w:after="0" w:line="8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i w:val="1"/>
          <w:iCs w:val="1"/>
          <w:color w:val="auto"/>
        </w:rPr>
        <w:t>Commercial Channel Investments</w:t>
      </w:r>
      <w:r>
        <w:rPr>
          <w:rFonts w:ascii="Arial" w:cs="Arial" w:eastAsia="Arial" w:hAnsi="Arial"/>
          <w:sz w:val="15"/>
          <w:szCs w:val="15"/>
          <w:color w:val="auto"/>
        </w:rPr>
        <w:t>. Investing in our sales channels is a core part of our strategy to create specialization and greater focus on reaching new and</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customers and addressing their needs. To support our commercial efforts in Tissue Technologies, we expanded our two-tier specialist model to increase our presence in focused segments by creating a virtual selling organization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These investments in our international sales channel position us well for expansion and long-term growth.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1" w:name="page32"/>
    <w:bookmarkEnd w:id="31"/>
    <w:p>
      <w:pPr>
        <w:jc w:val="both"/>
        <w:spacing w:after="0" w:line="278" w:lineRule="auto"/>
        <w:rPr>
          <w:sz w:val="20"/>
          <w:szCs w:val="20"/>
          <w:color w:val="auto"/>
        </w:rPr>
      </w:pPr>
      <w:r>
        <w:rPr>
          <w:rFonts w:ascii="Arial" w:cs="Arial" w:eastAsia="Arial" w:hAnsi="Arial"/>
          <w:sz w:val="17"/>
          <w:szCs w:val="17"/>
          <w:i w:val="1"/>
          <w:iCs w:val="1"/>
          <w:color w:val="auto"/>
        </w:rPr>
        <w:t>Customer Experience</w:t>
      </w:r>
      <w:r>
        <w:rPr>
          <w:rFonts w:ascii="Arial" w:cs="Arial" w:eastAsia="Arial" w:hAnsi="Arial"/>
          <w:sz w:val="17"/>
          <w:szCs w:val="17"/>
          <w:color w:val="auto"/>
        </w:rPr>
        <w:t>. We aspire to be ranked as a best-in-class provider and are committed to strengthen our relationships with all customers. We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technologies, systems and processes to enhance the customer experience. Additionally, we launched digital tools and programs, resources and virtual product training to drive continued customer familiarity with our growing portfolio of medical technologies globally.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continue to invest in collecting clinical evidence to support the Company's existing products and new product launches, and to ensure that we obtain market access for broader and more cost-effective solutions. In each area, we continue to benefit from products launched over the past several years, including our new electrosurgery generator and irrigator system, an innovative customer-centric toolkit for our Certas Plus Programmable Valve along with additional shunt configurations. In Japan, we are experiencing strong growth as a result of the successful launch of DuraGen in mid-2019, which is the first and only collagen xenograft approved for use as a dural substitute in the country. We are focused on the development of core clinical applications in our electromechanical technologies portfolio. Also, we continue to update our CUSA Clarity platform by incorporating new ultrasonic handpiece, surgical tips and integrated electrosurgical capabilities. We continue to work with several instrument partners to bring new surgical instrument platforms to the market.</w:t>
      </w:r>
    </w:p>
    <w:p>
      <w:pPr>
        <w:spacing w:after="0" w:line="3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the third quarter of 2021, our CereLink ICP Monitor System was launched in the U.S. and Europe. CereLink provides enhanced accuracy, usability and advanced data presentation that provides clinicians with uncompromised, advanced continuous ICP monitoring that until now, has not been available when treating patients with traumatic brain injuries.</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continued to advance the early-stage technology platforms we acquired in 2019. Through the acquisition of Arkis Biosciences, we added a platform technology, CerebroFlo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external ventricular drainage ("EVD"), catheter with Endexo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a Company that specialized in a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the treatment of ICH.</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Within our TT segment, during 2020, we announced positive clinical and economic data on Integra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IBWM helps address the efficiency needed in operating rooms by reducing both the operating time and costs to hospitals and patients. In 2021, we completed one of the largest diabetic foot ulcers ("DFU"), randomized controlled trials of the PriMatrix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4"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During this global crisis, the Company's focus remained on supporting patients, providing customers with life-saving products, and protecting the well-being of our employees. The global COVID-19 pandemic, together with the preventative and precautionary measures taken by businesses, communities and governments, has resulted in an unprecedented challenge to the global healthcare industry. In response to the pandemic, we acted swiftly by implementing protocols to ensure continuity of our manufacturing and distribution sites around the world and to provide for the safety of our employees.</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continues to have widespread and unpredictable impacts and the Company has continued to manage the risks in this uncertain environment. We remain confident that the underlying markets in which the Company competes remain attractive. We also remain focused on managing the business for the long-term. The Company's adaptability and resiliency in the face of this unprecedented crisis is made possible in part by prior investments in technology infrastructure and operations, as well as our talented and committed global workforce.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2" w:name="page33"/>
    <w:bookmarkEnd w:id="32"/>
    <w:p>
      <w:pPr>
        <w:jc w:val="both"/>
        <w:spacing w:after="0" w:line="307" w:lineRule="auto"/>
        <w:rPr>
          <w:sz w:val="20"/>
          <w:szCs w:val="20"/>
          <w:color w:val="auto"/>
        </w:rPr>
      </w:pPr>
      <w:r>
        <w:rPr>
          <w:rFonts w:ascii="Arial" w:cs="Arial" w:eastAsia="Arial" w:hAnsi="Arial"/>
          <w:sz w:val="15"/>
          <w:szCs w:val="15"/>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disruption and/or higher costs to the Company’s supply chain, staffing shortages in hospitals and labor constraints in our facilities, could further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manufacture and distribute products derived from human tissue for which FDA has specific regulations governing human cells, tissues and cellular and tissue-based products ("HCT/Ps"). An HCT/P is a product containing or consisting of human cells or tissue intended for transplantation into a human patient.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further details around these FDA regulations and their potential effect on the Company's portfolio of morselized amniotic material-based products as well as the impact on consolidated revenues.</w:t>
      </w:r>
    </w:p>
    <w:p>
      <w:pPr>
        <w:spacing w:after="0" w:line="7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March 7, 2019, TEI Biosciences, Inc. ("TEI") a wholly-owned subsidiary of the Company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On October 28, 2021 FDA initiated an inspection of the facility and at the conclusion of the inspection issued a Form 483 on November 12, 2021 (the "2021 Form 483"). The Company provided an initial response to the inspectional observations and will continue to provide responses to FDA. The Warning Letter and the 2021 Form 483 do not restrict the Company’s ability to manufacture or ship products or require the recall of any products, nor do they restrict our ability to seek FDA 510(k) clearance of products. The Warning Letter states that requests for Certificates to Foreign Governments would not be granted. However, due to our monthly progress reports, the FDA agreed to issue Certificates to Foreign Governments for the products manufactured at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Revenues of products manufactured in the TEI Boston facility for the year ended December 31, 2021 were approximately 4.7% of consolidated revenues.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On January 4, 2021, the Company completed its sale of its Extremity Orthopedics business to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 The Company recognized a gain of $41.8 million in connection with the sale that is presented in "Gain from the sale of business" in the consolidated statement of operations for the year ended December, 31, 2021.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of the Notes to Consolidated Financial Statements (Part II, Item 8 of this Form 10-K) for details.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the reach of our product portfolios and drive relevant scale to our customers. As a result of several acquisitions from 2019 through 2021, our financial results for the year ended December 31, 2021 may not be directly comparable to those of the corresponding prior-year periods.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of the Notes to Consolidated Financial Statements (Part II, Item 8 of this Form 10-K) for a further discussion.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ACell Inc.</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20, 2021, the Company acquired ACell, Inc. for an acquisition purchase price of $306.9 million plus contingent consideration obligations of up to $100 million, that may be payable upon achieving certain revenue-based performance milestones in 2022, 2023 and 2025.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4,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of the Notes to Consolidated Financial Statements (Part II, Item 8 of this Form 10-K) for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Company estimated the fair value of the contingent consideration to be $13.1 million at the acquisition date. The Company estimated fair value of the contingent consideration as of December 31, 2021 to be $15.1 million. The Company recorded $3.7 million in accrued expenses and other current liabilities and $11.4 million in other liabilities at December 31, 2021 in the consolidated balance sheets of the Company. Arkis was a privately-held company that marketed the CerebroFlo external ventricular drainage ("EVD") catheter with Endexo technology, a permanent additive designed to reduce the potential for catheter obstruction due to clotting.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of the Notes to Consolidated Financial Statements (Part II, Item 8 of this Form 10-K) for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Rebound Therapeutics Corporation</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 xml:space="preserve">On September 9, 2019, the Company acquired Rebound Therapeutics Corporation (“Rebound”), developers of a single-use medical device known as the Aurora which enables minimally invasive access, using optics and illumination, for visualization, diagnostic and therapeutic use in neurosurgery (the “Rebound transaction”). Under the terms of the Rebound transaction, the Company made an upfront payment of $67.1 million and committed to pay up to $35.0 million of contingent development milestones upon achievement of certain regulatory milestones. The acquisition of Rebound was primarily concentrated in one single identifiable asset and thus, for accounting purposes, the Company concluded that the acquired assets did not meet the accounting definition of a business. The initial payment was allocated primarily to Aurora, resulting in a $59.9 million in-process research and development ("IPR&amp;D") expense. The balance of approximately $7.2 million, which included $2.1 million of cash and cash equivalents and a net deferred tax asset of $4.2 million, was allocated to the remaining net assets acquired. The deferred tax asset primarily resulted from a federal net operating loss carryforward. See Note 4, </w:t>
      </w:r>
      <w:r>
        <w:rPr>
          <w:rFonts w:ascii="Arial" w:cs="Arial" w:eastAsia="Arial" w:hAnsi="Arial"/>
          <w:sz w:val="15"/>
          <w:szCs w:val="15"/>
          <w:i w:val="1"/>
          <w:iCs w:val="1"/>
          <w:color w:val="auto"/>
        </w:rPr>
        <w:t xml:space="preserve">Acquisitions and Divestitures </w:t>
      </w:r>
      <w:r>
        <w:rPr>
          <w:rFonts w:ascii="Arial" w:cs="Arial" w:eastAsia="Arial" w:hAnsi="Arial"/>
          <w:sz w:val="15"/>
          <w:szCs w:val="15"/>
          <w:color w:val="auto"/>
        </w:rPr>
        <w:t>of the Notes to Consolidated Financial Statements (Part II, Item 8 of this Form 10-K) for details.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18"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income for the year ended December 31, 2021 was $169.1 million, or $1.98 per diluted share, compared to $133.9 million, or $1.57 per diluted share for the year ended December 31, 2020. The increase in net income for the year ended December 31, 2021, was primarily driven by higher revenues across most franchises driven by continued recovery in surgical procedure volumes from prior year COVID-19 pandemic levels. This was partially offset by higher operating expenses as costs continued to normalize after 2020 cost reduction actions. Within non-operating income and expense, the Company benefited from lower interest expense, higher other income and a gain of $41.8 million as a result of the sale of its Extremity Orthopedics business to Smith &amp; Nephew. The Company also had a net tax benefit in 2020 due to the impact of the intra-entity transfer of certain intellectual property which resulted in the recognition of a deferred tax benefit in the amount of $59.2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Special Charges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8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742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Acquisition, divestiture and integration-related charges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Structural optimization charges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20,385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15,363</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medical device regulation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Discontinued product lines charges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related to debt refinancing</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r>
      <w:tr>
        <w:trPr>
          <w:trHeight w:val="226"/>
        </w:trPr>
        <w:tc>
          <w:tcPr>
            <w:tcW w:w="74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COVID-19 pandemic related charges </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non-cash interest expense</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r>
      <w:tr>
        <w:trPr>
          <w:trHeight w:val="218"/>
        </w:trPr>
        <w:tc>
          <w:tcPr>
            <w:tcW w:w="7420" w:type="dxa"/>
            <w:vAlign w:val="bottom"/>
          </w:tcPr>
          <w:p>
            <w:pPr>
              <w:ind w:left="14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33,425</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89,048</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60" w:right="140" w:hanging="154"/>
        <w:spacing w:after="0" w:line="262" w:lineRule="auto"/>
        <w:tabs>
          <w:tab w:leader="none" w:pos="161"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The Company completed its sale of its Extremity Orthopedics business and recognized a gain of $41.8 million for the year ended December 31, 2021 which was partially offset by other acquisition, divestiture and integration-related charges. See Note 4,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of the Notes to Consolidated Financial Statements (Part II, Item 8 of this Form 10-K) for details.</w:t>
      </w:r>
    </w:p>
    <w:p>
      <w:pPr>
        <w:spacing w:after="0" w:line="20" w:lineRule="exact"/>
        <w:rPr>
          <w:rFonts w:ascii="Arial" w:cs="Arial" w:eastAsia="Arial" w:hAnsi="Arial"/>
          <w:sz w:val="19"/>
          <w:szCs w:val="19"/>
          <w:color w:val="auto"/>
          <w:vertAlign w:val="superscript"/>
        </w:rPr>
      </w:pPr>
    </w:p>
    <w:p>
      <w:pPr>
        <w:ind w:left="160" w:right="760" w:hanging="154"/>
        <w:spacing w:after="0" w:line="255" w:lineRule="auto"/>
        <w:tabs>
          <w:tab w:leader="none" w:pos="161"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Charges relate to business interruptions and costs associated with the COVID-19 pandemic which impacted the Company's operations globally, partially offset by Coronavirus government relief programs.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items reported above </w:t>
      </w:r>
      <w:r>
        <w:rPr>
          <w:rFonts w:ascii="Arial" w:cs="Arial" w:eastAsia="Arial" w:hAnsi="Arial"/>
          <w:sz w:val="17"/>
          <w:szCs w:val="17"/>
          <w:color w:val="auto"/>
        </w:rPr>
        <w:t>are reflected in the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8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74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Cost of goods sold</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17,487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w:t>
            </w:r>
          </w:p>
        </w:tc>
      </w:tr>
      <w:tr>
        <w:trPr>
          <w:trHeight w:val="226"/>
        </w:trPr>
        <w:tc>
          <w:tcPr>
            <w:tcW w:w="74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4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21,583</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the sale of business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4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60" w:right="80" w:hanging="154"/>
        <w:spacing w:after="0" w:line="255" w:lineRule="auto"/>
        <w:tabs>
          <w:tab w:leader="none" w:pos="161"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Upon adoption of ASU No. 2020-06, the Company will no longer incur non-cash interest expense for the amortization of debt discount. See Note 1, </w:t>
      </w:r>
      <w:r>
        <w:rPr>
          <w:rFonts w:ascii="Arial" w:cs="Arial" w:eastAsia="Arial" w:hAnsi="Arial"/>
          <w:sz w:val="14"/>
          <w:szCs w:val="14"/>
          <w:i w:val="1"/>
          <w:iCs w:val="1"/>
          <w:color w:val="auto"/>
        </w:rPr>
        <w:t>Ba</w:t>
      </w:r>
      <w:r>
        <w:rPr>
          <w:rFonts w:ascii="Arial" w:cs="Arial" w:eastAsia="Arial" w:hAnsi="Arial"/>
          <w:sz w:val="14"/>
          <w:szCs w:val="14"/>
          <w:color w:val="auto"/>
        </w:rPr>
        <w:t>sis of Presentation of the Notes to Consolidated Financial Statements (Part II, Item 8 of this Form 10-K), for details.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Revenues and Gross Margin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1,025,232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894,831</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Tissue Technologies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517,216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477,037</w:t>
            </w:r>
          </w:p>
        </w:tc>
        <w:tc>
          <w:tcPr>
            <w:tcW w:w="0" w:type="dxa"/>
            <w:vAlign w:val="bottom"/>
          </w:tcPr>
          <w:p>
            <w:pPr>
              <w:spacing w:after="0"/>
              <w:rPr>
                <w:sz w:val="1"/>
                <w:szCs w:val="1"/>
                <w:color w:val="auto"/>
              </w:rPr>
            </w:pPr>
          </w:p>
        </w:tc>
      </w:tr>
      <w:tr>
        <w:trPr>
          <w:trHeight w:val="220"/>
        </w:trPr>
        <w:tc>
          <w:tcPr>
            <w:tcW w:w="71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1,542,448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1,371,868</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597,808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520,834</w:t>
            </w: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Gross margin on total revenues</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944,640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851,034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as a percentage of total revenues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Arial" w:cs="Arial" w:eastAsia="Arial" w:hAnsi="Arial"/>
                <w:sz w:val="18"/>
                <w:szCs w:val="18"/>
                <w:color w:val="auto"/>
              </w:rPr>
              <w:t>61.2 %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 ended December 31, 2021, total revenues increased by $170.6 million, or 12.4%, to $1,542.4 million from $1,371.9 million during the prior year. Domestic revenues increased by $117.6 million, or 12.1%, to $1,089.5 million and were 70.6% of total revenues for the year ended December 31, 2021. International revenues increased by $53.0 million or 13.3% to $452.9 million, compared to $399.9 million during 2020. The increase in revenues was primarily driven by recovery experienced from the COVID-19 pandemic across most franchises compared to the prior year. Foreign exchange fluctuations had a favorable impact of $9.8 million on revenues for the year.</w:t>
      </w:r>
    </w:p>
    <w:p>
      <w:pPr>
        <w:spacing w:after="0" w:line="73"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In the CSS segment, revenues were $1,025.2 million which was an increase of $130.4 million, or 14.6% as compared to the prior-year period as a result of the continued recovery experienced from the COVID-19 pandemic, and the launch of our new CereLink</w:t>
      </w:r>
      <w:r>
        <w:rPr>
          <w:rFonts w:ascii="Arial" w:cs="Arial" w:eastAsia="Arial" w:hAnsi="Arial"/>
          <w:sz w:val="27"/>
          <w:szCs w:val="27"/>
          <w:color w:val="auto"/>
          <w:vertAlign w:val="superscript"/>
        </w:rPr>
        <w:t>™</w:t>
      </w:r>
      <w:r>
        <w:rPr>
          <w:rFonts w:ascii="Arial" w:cs="Arial" w:eastAsia="Arial" w:hAnsi="Arial"/>
          <w:sz w:val="18"/>
          <w:szCs w:val="18"/>
          <w:color w:val="auto"/>
        </w:rPr>
        <w:t xml:space="preserve"> ICP monitoring system in the third quarter in U.S. and European markets. The Company saw growth within our Neurosurgery portfolio increasing low double digits primarily due to sales in neuromonitoring, advanced energy and dural access and repair. Sales in our instruments portfolio increased low double digits as compared to the same period in the prior year driven by order recovery.</w:t>
      </w:r>
    </w:p>
    <w:p>
      <w:pPr>
        <w:spacing w:after="0" w:line="20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the TT segment, revenues were $517.2 million, which was an increase of $40.2 million, or 8.4% as compared to the prior-year period. Within TT, our Extremity Orthopedics business was divested on January 4, 2021 and the acquisition of ACell was completed on January 20, 2021. Sales in our Wound Reconstruction business, excluding the impact of the divestiture and acquisition, increased low double digits. Sales in our Private Label business increased low double digits as a result of continued recovery experienced from the COVID-19 pandemic.</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we look forward to 2022 and beyond, we continue to closely monitor local, regional, and global COVID-19 surges as well as recent variants of the virus for an impact on procedures. The reallocation of hospital resources to treat COVID-19 and staffing shortages may continue to cause a financial strain on healthcare systems and reduce procedural volumes.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Gross margin was $944.6 million for the year ended December 31, 2021, an increase of $93.6 million from $851.0 million for the same period last year. Gross margin as a percentage of revenues was 61.2% in 2021 and 62.0% in 2020. The decrease in gross margin percentage was due to increased amortization associated with technology-based intangible assets and inventory step-up amortization in connection with the acquisition of ACell.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48"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r>
      <w:tr>
        <w:trPr>
          <w:trHeight w:val="220"/>
        </w:trPr>
        <w:tc>
          <w:tcPr>
            <w:tcW w:w="72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5"/>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41.3 %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43.3 %</w:t>
            </w:r>
          </w:p>
        </w:tc>
      </w:tr>
      <w:tr>
        <w:trPr>
          <w:trHeight w:val="22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8"/>
        </w:trPr>
        <w:tc>
          <w:tcPr>
            <w:tcW w:w="7200" w:type="dxa"/>
            <w:vAlign w:val="bottom"/>
          </w:tcPr>
          <w:p>
            <w:pPr>
              <w:ind w:left="60"/>
              <w:spacing w:after="0" w:line="205" w:lineRule="exact"/>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48.4 %</w:t>
            </w: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50.9 %</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jc w:val="both"/>
        <w:spacing w:after="0" w:line="251" w:lineRule="auto"/>
        <w:rPr>
          <w:sz w:val="20"/>
          <w:szCs w:val="20"/>
          <w:color w:val="auto"/>
        </w:rPr>
      </w:pPr>
      <w:r>
        <w:rPr>
          <w:rFonts w:ascii="Arial" w:cs="Arial" w:eastAsia="Arial" w:hAnsi="Arial"/>
          <w:sz w:val="18"/>
          <w:szCs w:val="18"/>
          <w:color w:val="auto"/>
        </w:rPr>
        <w:t>Total operating expenses, which consist of research and development, selling, general and administrative, and intangible asset amortization expenses, increased by $47.7 million or 6.8% to $747.4 million in 2021, compared to $699.7 million in the prior year. The increase in operating expenses compared to the prior year reflects costs associated with higher employee related costs, increased research and development as well as increased outside spending as revenue recovered. We also benefited from reduced operating expenses from the sale of the Extremity Orthopedics business and cost synergies as a result of the acquisition of ACell.</w:t>
      </w:r>
    </w:p>
    <w:p>
      <w:pPr>
        <w:spacing w:after="0" w:line="8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continues to manage and prioritize its operating costs to increase organic investments that will drive long-term growth including the support of new product development and introductions, clinical studies, geographic expansion and targeted U.S. sales channel expansion.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for the year ended December 31, 2021 increased by $15.7 million as compared to the prior year. This increase in spending resulted from additional spending on new product development, clinical studies and spending related to European Union Medical Device Regulation compliance activities.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Selling, general and administrative expenses for the year ended December 31, 2021 increased by $42.9 million as compared to the prior year driven primarily due to higher employee related costs, higher incentive and stock-based compensation, as well as increased outside spending as revenue recovered.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in 2021 was $16.9 million compared to $27.8 million in 2020 primarily due to a reduction in amortization expense associated with intangible assets sold in conjunction with the sale of the Extremity Orthopedics business during the current year as well as accelerated amortization expense associated with an intangible asset which was recorded in the prior year.</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to be approximately $79.1 million in 2022, $78.4 million in 2023, $77.7 million in 2024, $77.7 million in 2025, $77.6 million in 2026 and $585.8 million thereafter.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8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74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(71,581)</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44"/>
        </w:trPr>
        <w:tc>
          <w:tcPr>
            <w:tcW w:w="74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non-operating income and expense</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Interest income for the year ended December 31, 2021 decreased by $2.6 million as compared to the same period last year primarily due to the settlement of cross-currency swaps designated as net investment hedges during Q4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Interest expense for the year ended December 31, 2021 decreased by $21.2 million as compared to the same period last year primarily due to the elimination of the non-cash interest expense as the result of the adoption ASU 2020-06 and the expenses associated with Amended and Restated Senior Credit Agreement which occurred in the prior period.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(Part II, Item 8 of this Form 10-K) for details in relation to the adoption of ASU 2020-06.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from the sale of business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January 4, 2021, the Company completed its sale of its Extremity Orthopedics business and recognized a gain of $41.8 million in the first quarter of the current year.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 net for the year ended December 31, 2021 increased by $14.9 million primarily due to income associated with the transition services agreement with Smith &amp; Nephew, favorable impact of foreign exchange in the current year and higher income from additional cross currency swaps that were entered into during Q4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effective income tax rate was 21.2% and (43.2)% of income before income taxes in 2021 and 2020, respectively. See Note 13, </w:t>
      </w:r>
      <w:r>
        <w:rPr>
          <w:rFonts w:ascii="Arial" w:cs="Arial" w:eastAsia="Arial" w:hAnsi="Arial"/>
          <w:sz w:val="17"/>
          <w:szCs w:val="17"/>
          <w:i w:val="1"/>
          <w:iCs w:val="1"/>
          <w:color w:val="auto"/>
        </w:rPr>
        <w:t>Income Taxes</w:t>
      </w:r>
      <w:r>
        <w:rPr>
          <w:rFonts w:ascii="Arial" w:cs="Arial" w:eastAsia="Arial" w:hAnsi="Arial"/>
          <w:sz w:val="17"/>
          <w:szCs w:val="17"/>
          <w:color w:val="auto"/>
        </w:rPr>
        <w:t>, in our consolidated financial statements for a reconciliation of the United States federal statutory rate to our effective tax rate. 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The Company determined the fair value using a discounted cash flow model based on expectations of revenue growth rates, royalty rates, discount rates, and useful lives of the intellectual property. The Company recorded a $59.2 million deferred tax benefit in Switzerland related to the amortizable tax basis in the transferred intellectual property.</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2022 to be approximately 18.4%.</w:t>
      </w:r>
    </w:p>
    <w:p>
      <w:pPr>
        <w:spacing w:after="0" w:line="8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At December 31, 2021, the Company had $9.8 million of valuation allowance against the remaining $190.7 million of gross deferred tax assets recorded at December 31, 2021. Our deferred tax asset valuation allowance decreased by $0.1 million in 2021 and remained substantially unchanged in 2020. This valuation allowance relates to deferred tax assets for which the Company does not believe it has satisfied the more likely than not threshold for realization.</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December 31, 2021, we had net operating loss carryforwards of $71.7 million for federal income tax purposes, $26.6 million for foreign income tax purposes and $39.0 million for state income tax purposes to offset future taxable income. The federal net operating loss carryforwards decreased during 2021 due to the use of net operating losses. Of the total federal net operating loss carryforwards, $67.5 million expire through 2037 and $4.1 million have an indefinite carryforward period. Regarding the foreign net operating loss carryforwards, $26.6 million have an indefinite carryforward period. The state net operating loss carryforwards expire in 2036.</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of December 31, 2021,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r>
      <w:tr>
        <w:trPr>
          <w:trHeight w:val="18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0"/>
        </w:trPr>
        <w:tc>
          <w:tcPr>
            <w:tcW w:w="81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971,975</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172,689</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70,030</w:t>
            </w:r>
          </w:p>
        </w:tc>
      </w:tr>
      <w:tr>
        <w:trPr>
          <w:trHeight w:val="244"/>
        </w:trPr>
        <w:tc>
          <w:tcPr>
            <w:tcW w:w="81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Domestic revenues increased by $117.6 million for the year ended December 31, 2021 compared to the same period last year. European sales increased by $18.6 million for the year ended December 31, 2021 compared to the same period last year. Sales to customers in Asia Pacific increased by $24.9 million for the year ended December 31, 2021 compared to the same period last year. The Rest of the World for the year ended December 31, 2021 increased by $9.5 million compared to the same period last year. The increase in revenues globally was primarily driven by the continued recovery experienced from the COVID-19 pandemic across all franchises compared to the prior year due to rebound in surgical procedure volumes. Sales in China, Japan Canada, Europe and our indirect markets continue to drive international growth. The Company also benefited from the launch of the CereLink ICP Monitor which occurred during the second half of the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At December 31, 2021 and December 31, 2020, working capital was $813.7 million and $836.2 million, respectively. Working capital consists of total current assets less total current liabilities as presented in the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cash and cash equivalents totaling approximately $513.4 million and $470.2 million at December 31, 2021 and 2020, respectively, which are valued based on Level 1 measurements in the fair value hierarchy. At December 31, 2021, our non-U.S. subsidiaries held approximately $245.2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0"/>
        </w:trPr>
        <w:tc>
          <w:tcPr>
            <w:tcW w:w="8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203,832</w:t>
            </w:r>
          </w:p>
        </w:tc>
      </w:tr>
      <w:tr>
        <w:trPr>
          <w:trHeight w:val="225"/>
        </w:trPr>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(68,073)</w:t>
            </w:r>
          </w:p>
        </w:tc>
      </w:tr>
      <w:tr>
        <w:trPr>
          <w:trHeight w:val="22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121,625</w:t>
            </w:r>
          </w:p>
        </w:tc>
      </w:tr>
      <w:tr>
        <w:trPr>
          <w:trHeight w:val="225"/>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fluctuations on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w:t>
            </w:r>
          </w:p>
        </w:tc>
      </w:tr>
      <w:tr>
        <w:trPr>
          <w:trHeight w:val="244"/>
        </w:trPr>
        <w:tc>
          <w:tcPr>
            <w:tcW w:w="82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Operating cash flows for the year ended December 31, 2021 increased by $108.6 million compared to the same period in 2020. Net income after removing the impact of the gain on sale of business and non-cash adjustments increased for the year ended December 31, 2021, by approximately $49.1 million as compared to the same period in 2020 primarily due to the continuing revenue recovery in the current year as compared to the height of the COVID-19 pandemic in the prior year. The changes in assets and liabilities, net of business acquisitions, increased cash flows from operating activities in the current year by $18.2 million compared to the decrease of $41.3 million for the same period in 2020. The improvement in 2021 working capital is attributable to a decrease in inventory of $5.4 million due to investments in building safety stock made in the prior year where inventory increased by $48.3 million as well as improved sales in 2021.</w:t>
      </w:r>
    </w:p>
    <w:p>
      <w:pPr>
        <w:spacing w:after="0" w:line="9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Operating cash flows for the year ended December 31, 2020 decreased compared to the same period in 2019. Net income after non-cash adjustments increased by approximately $0.8 million to $245.1 million from $245.9 million. The changes in assets and liabilities, net of business acquisitions, decreased cash flows from operating activities by $41.3 million in the year ended December 31, 2020 compared to a decrease of $14.5 million for the same period in 2019. The decrease in 2020 is attributable to an increase in inventory to improve safety stock of select products. In addition, decreases were also driven by reduced payables offset by decreases in accounts receivable due to lower revenues and continued collection efforts.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year ended December 31, 2021, we paid a net cash amount of $303.9 million in relation to the acquisition of ACell and received net proceeds of $190.5 million for the sale of the Extremity Orthopedics business. The Company also paid for $48.0 million capital expenditures to support operations improvement initiatives at a number of our manufacturing facilities and other information technology investments.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2020, we paid $38.9 million for capital expenditures, most of which were directed to our facilities located in Mansfield, MA; Boston, MA; Memphis, TN; and Princeton, NJ and $25.0 million associated with achieving developmental milestones paid to the former shareholders of Rebound.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Uses of cash from financing activities for the year ended December 31, 2021 were repayments of $125.5 million on the revolving portion of our Senior Credit Facility and Securitization Facility. In addition, the Company had $4.8 million in cash taxes paid in net equity settlements. These uses were offset by $6.8 million proceeds from the exercise of stock options and $25.5 million borrowings under our Senior Credit Facility and Securitization Facility.</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principal sources of cash from financing activities for the year ended December 31, 2020 were $515.3 million in proceeds from the issuance of Convertible Senior Notes including the call and warrant transactions and $171.5 million borrowing under our Senior Credit Facility and Securitization Facility. These were offset by repayments of $441.0 million on the revolving portion of our Senior Credit Facility and Securitization Facility, $24.3 million in debt issuance costs related to the Amended and Restated Senior Credit Agreement and the issuance of Convertible Senior Notes and $100.0 million in purchases of treasury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 Convertible Senior Notes, Securitization and Related Hedging Activities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 xml:space="preserve">See Note 5, </w:t>
      </w:r>
      <w:r>
        <w:rPr>
          <w:rFonts w:ascii="Arial" w:cs="Arial" w:eastAsia="Arial" w:hAnsi="Arial"/>
          <w:sz w:val="15"/>
          <w:szCs w:val="15"/>
          <w:i w:val="1"/>
          <w:iCs w:val="1"/>
          <w:color w:val="auto"/>
        </w:rPr>
        <w:t>Debt,</w:t>
      </w:r>
      <w:r>
        <w:rPr>
          <w:rFonts w:ascii="Arial" w:cs="Arial" w:eastAsia="Arial" w:hAnsi="Arial"/>
          <w:sz w:val="15"/>
          <w:szCs w:val="15"/>
          <w:color w:val="auto"/>
        </w:rPr>
        <w:t xml:space="preserve"> to the Notes to Consolidated Financial Statements (Part II, Item 8 of this Form 10-K) for a discussion of our Amended and Restated Senior Credit Agreement, the 2025 Notes and Securitization Facility and Note 6, </w:t>
      </w:r>
      <w:r>
        <w:rPr>
          <w:rFonts w:ascii="Arial" w:cs="Arial" w:eastAsia="Arial" w:hAnsi="Arial"/>
          <w:sz w:val="15"/>
          <w:szCs w:val="15"/>
          <w:i w:val="1"/>
          <w:iCs w:val="1"/>
          <w:color w:val="auto"/>
        </w:rPr>
        <w:t>Derivative Instruments</w:t>
      </w:r>
      <w:r>
        <w:rPr>
          <w:rFonts w:ascii="Arial" w:cs="Arial" w:eastAsia="Arial" w:hAnsi="Arial"/>
          <w:sz w:val="15"/>
          <w:szCs w:val="15"/>
          <w:color w:val="auto"/>
        </w:rPr>
        <w:t xml:space="preserve"> to the Notes to Consolidated Financial Statements (Part II, Item 8 of this Form 10-K) for discussion of our hedging activities. We are forecasting that sales and earnings for the next twelve months will be sufficient to remain in compliance with our financial covenants under the terms of the February 2020 Amendment and July 2020 Amendment to the Senior Credit Facility.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This stock repurchase authorization replaces the previous $225 million stock repurchase authorization, of which $125 million remained authorized at the time of its replacement, and which was otherwise set to expire on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share repurchase authorization.</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12, 2022, the Company entered into a $125.0 million accelerated share repurchase ("2022 ASR") and received 1.5 million shares of the Company common stock at inception of the 2022 ASR, which represented approximately 80% of the expected total shares under the 2022 ASR. The remaining 20% of the expected total shares is expected to settle in the first half of 2022, upon which additional shares of common stock may be delivered to the Company or, under certain circumstances, the Company may be required to make a cash payment or may elect to deliver shares of our common stock to the 2022 ASR counterparty in each case pursuant to the terms of the 2022 ASR agreement between the Company and the 2022 ASR counterparty. The total number of shares to be delivered or the amount of such payment, as well as the final average price per share, will be based on the volume-weighted average price, less a discount, of the Company's common stock during the term of the transaction. As a result of this transaction, $100.0 million remains available under the $225.0 million stock repurchase authorization.</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convertible notes to execute the share repurchase transactions. This included $7.6 million from certain purchasers of the convertible notes in conjunction with the closing of the offering. On February 5, 2020, the Company entered into a $92.4 million accelerated share repurchase ("2020 ASR") to complete the remaining $100.0 million of share repurchase. The Company received 1.3 million shares at inception of the 2020 ASR, which represented approximately 80% of the expected total shares. Upon settlement of the 2020 ASR in June 2020, the Company received an additional 0.6 million shares determined using the volume-weighted average price of the Company's common stock during the term of the transaction.</w:t>
      </w:r>
    </w:p>
    <w:p>
      <w:pPr>
        <w:spacing w:after="0" w:line="77" w:lineRule="exact"/>
        <w:rPr>
          <w:sz w:val="20"/>
          <w:szCs w:val="20"/>
          <w:color w:val="auto"/>
        </w:rPr>
      </w:pPr>
    </w:p>
    <w:p>
      <w:pPr>
        <w:ind w:right="1920"/>
        <w:spacing w:after="0" w:line="354"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Treasury Stock</w:t>
      </w:r>
      <w:r>
        <w:rPr>
          <w:rFonts w:ascii="Arial" w:cs="Arial" w:eastAsia="Arial" w:hAnsi="Arial"/>
          <w:sz w:val="18"/>
          <w:szCs w:val="18"/>
          <w:color w:val="auto"/>
        </w:rPr>
        <w:t xml:space="preserve"> of the Notes to Consolidated Financial Statements (Part II, Item 8 of this Form 10-K) for further details. </w:t>
      </w:r>
      <w:r>
        <w:rPr>
          <w:rFonts w:ascii="Arial" w:cs="Arial" w:eastAsia="Arial" w:hAnsi="Arial"/>
          <w:sz w:val="18"/>
          <w:szCs w:val="18"/>
          <w:b w:val="1"/>
          <w:bCs w:val="1"/>
          <w:i w:val="1"/>
          <w:iCs w:val="1"/>
          <w:color w:val="auto"/>
        </w:rPr>
        <w:t>Dividend Policy</w:t>
      </w:r>
    </w:p>
    <w:p>
      <w:pPr>
        <w:jc w:val="both"/>
        <w:spacing w:after="0" w:line="256"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any off–balance sheet financing arrangements during the year-ended December 31, 2021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primary obligations include principal and interest payments on revolving portion and Term Loan component of the Senior Credit Facility, Securitization Facility and Convertible Securities. See Note 5</w:t>
      </w:r>
      <w:r>
        <w:rPr>
          <w:rFonts w:ascii="Arial" w:cs="Arial" w:eastAsia="Arial" w:hAnsi="Arial"/>
          <w:sz w:val="15"/>
          <w:szCs w:val="15"/>
          <w:i w:val="1"/>
          <w:iCs w:val="1"/>
          <w:color w:val="auto"/>
        </w:rPr>
        <w:t>, Debt</w:t>
      </w:r>
      <w:r>
        <w:rPr>
          <w:rFonts w:ascii="Arial" w:cs="Arial" w:eastAsia="Arial" w:hAnsi="Arial"/>
          <w:sz w:val="13"/>
          <w:szCs w:val="13"/>
          <w:i w:val="1"/>
          <w:iCs w:val="1"/>
          <w:color w:val="auto"/>
        </w:rPr>
        <w:t>,</w:t>
      </w:r>
      <w:r>
        <w:rPr>
          <w:rFonts w:ascii="Arial" w:cs="Arial" w:eastAsia="Arial" w:hAnsi="Arial"/>
          <w:sz w:val="15"/>
          <w:szCs w:val="15"/>
          <w:color w:val="auto"/>
        </w:rPr>
        <w:t xml:space="preserve"> to the Notes to Consolidated Financial Statements (Part II, Item 8 of this Form 10-K) for details. The Company also leases some of our manufacturing facilities and office buildings which have future minimum lease payments associated. See Note 11,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Related Party Leases </w:t>
      </w:r>
      <w:r>
        <w:rPr>
          <w:rFonts w:ascii="Arial" w:cs="Arial" w:eastAsia="Arial" w:hAnsi="Arial"/>
          <w:sz w:val="15"/>
          <w:szCs w:val="15"/>
          <w:color w:val="auto"/>
        </w:rPr>
        <w:t>to the Notes to Consolidated Financial Statements (Part II, Item 8 of this Form 10-K) for a schedule of our future minimum lease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Amounts related to the Company's other obligations, including employment agreements and purchase obligations were not material.</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has contingent consideration obligation related to prior and current year acquisitions and future pension contribution obligations. See Note 10, </w:t>
      </w:r>
      <w:r>
        <w:rPr>
          <w:rFonts w:ascii="Arial" w:cs="Arial" w:eastAsia="Arial" w:hAnsi="Arial"/>
          <w:sz w:val="17"/>
          <w:szCs w:val="17"/>
          <w:i w:val="1"/>
          <w:iCs w:val="1"/>
          <w:color w:val="auto"/>
        </w:rPr>
        <w:t xml:space="preserve">Retirement Benefit Plans </w:t>
      </w:r>
      <w:r>
        <w:rPr>
          <w:rFonts w:ascii="Arial" w:cs="Arial" w:eastAsia="Arial" w:hAnsi="Arial"/>
          <w:sz w:val="17"/>
          <w:szCs w:val="17"/>
          <w:color w:val="auto"/>
        </w:rPr>
        <w:t>and Note 15,</w:t>
      </w:r>
      <w:r>
        <w:rPr>
          <w:rFonts w:ascii="Arial" w:cs="Arial" w:eastAsia="Arial" w:hAnsi="Arial"/>
          <w:sz w:val="17"/>
          <w:szCs w:val="17"/>
          <w:i w:val="1"/>
          <w:iCs w:val="1"/>
          <w:color w:val="auto"/>
        </w:rPr>
        <w:t xml:space="preserve"> Commitments and Contingencies </w:t>
      </w:r>
      <w:r>
        <w:rPr>
          <w:rFonts w:ascii="Arial" w:cs="Arial" w:eastAsia="Arial" w:hAnsi="Arial"/>
          <w:sz w:val="17"/>
          <w:szCs w:val="17"/>
          <w:color w:val="auto"/>
        </w:rPr>
        <w:t>to the Notes to Consolidated Financial Statements (Part II, Item 8 of this Form 10-K)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details. The associated obligations are not fixed. The Company also has a liability for uncertain tax benefits including interest and penalties. See Note 12,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to the Notes to Consolidated Financial Statements (Part II, Item 8 of this Form 10-K) for details. The Company cannot make a reliable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period in which the uncertain tax benefits may be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Company incurred restructuring costs of $3.4 million and $4.9 million in cost of goods sold, $0.5 million and $1.2 million in selling, general and administrative and $0.3 million and $0.3 million in research and development related to employee terminations associated with a future plant closure in the consolidated statement of operations for the years ended December 31, 2021 and 2020, respectively. Restructuring costs of $10.2 million were included in accrued expenses and other current liabilities and $6.4 million were included in other liabilities in the consolidated balance sheet for the year ended December 31, 2021 and 2020, respectively.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(Part II, Item 8 of this Form 10-K)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discussion and analysis of financial conditions and results of operations is based upon our consolidated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continue to navigate the COVID-19 pandemic and recent variants of the virus, as well as the adverse impacts to global economic conditions, supply chain and our operations, there may be impact to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 often because of the need to make estimates about the effect of matters that are inherently uncertain. Because of this uncertainty,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evaluate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us, we record an allowance against amounts due to reduce the net recognized receivable to the amount that we reasonably expect to collect. For all other customers, the Company evaluates measurement of all expected credit losses for trade receivables held at the reporting date based on historical experience, current conditions, and reasonable and supportable forecasts.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provision in the future through an increase or decrease in revenues.</w:t>
      </w:r>
    </w:p>
    <w:p>
      <w:pPr>
        <w:spacing w:after="0" w:line="6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We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was not material. The adoption of this ASU did not have a significant impact on our consolidated financial statements and related disclosures. Our exposure to credit losses may increase if its customers are adversely affected by changes in healthcare laws, coverage, and reimbursement, economic pressures or uncertainty associated with local or global economic recessions, disruption associated with the COVID-19 pandemic and recent variants of the virus, and other customer-specific factors. Although we have historically not experienced significant credit losses, it is possible that there could be an adverse impact due to customer and governmental responses to the COVID-19 pandemic.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Results of operations of acquired companies are included in the Company’s results of operations as of the respective acquisition dates. The Company accounts for the acquisition of a business in accordance with ASC 805, Business Combinations (ASC 805). Amounts paid to acquire a business are allocated to the assets acquired and liabilities assumed based on the fair values at the date of acquisition. Any excess of the purchase price over the fair value of the net assets acquired in recorded as goodwill. Transaction costs and costs to restructure the acquired company are expensed as incurred.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3" w:name="page44"/>
    <w:bookmarkEnd w:id="43"/>
    <w:p>
      <w:pPr>
        <w:jc w:val="both"/>
        <w:spacing w:after="0" w:line="305" w:lineRule="auto"/>
        <w:rPr>
          <w:sz w:val="20"/>
          <w:szCs w:val="20"/>
          <w:color w:val="auto"/>
        </w:rPr>
      </w:pPr>
      <w:r>
        <w:rPr>
          <w:rFonts w:ascii="Arial" w:cs="Arial" w:eastAsia="Arial" w:hAnsi="Arial"/>
          <w:sz w:val="15"/>
          <w:szCs w:val="15"/>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 determines the fair value of acquired intangible assets based on detailed valuations that use certain information and assumptions provided by management. The Company allocates any excess purchase price over the fair value of the net tangible and intangible assets acquired to goodwill. Determining the fair value of these intangible assets,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Acquired IPR&amp;D is recognized at fair value and initially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 The Company also uses the income approach, as described above, to determine the estimated fair value of certain other identifiable intangible assets including customer relationships, trade names and business licenses. Customer relationships represent established relationships with customers, which provide a ready channel for the sale of additional products and services. Trade names represent acquired company and product names.</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Due to the uncertainty associated with research and development projects, there is risk that actual results will differ materially from the original cash flow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projections and that the research and development project will result in a successful commercial product. The risks associated with achieving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include, but are not limited to, delay or failure to obtain regulatory approvals to conduct clinical trials, delay or failure to obtain required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market clearances, delays or issues with patent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issuance, or validity and litigation.</w:t>
      </w:r>
    </w:p>
    <w:p>
      <w:pPr>
        <w:spacing w:after="0" w:line="10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4,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xml:space="preserve"> to the Notes to Consolidated Financial Statements (Part II, Item 8 of this Form 10-K) for details.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in the third quarter every year in accordance with ASC Topic 350 and whenever events or changes in circumstances indicate the carrying value of goodwill may not be recoverable. Refer to Note 7, </w:t>
      </w:r>
      <w:r>
        <w:rPr>
          <w:rFonts w:ascii="Arial" w:cs="Arial" w:eastAsia="Arial" w:hAnsi="Arial"/>
          <w:sz w:val="18"/>
          <w:szCs w:val="18"/>
          <w:i w:val="1"/>
          <w:iCs w:val="1"/>
          <w:color w:val="auto"/>
        </w:rPr>
        <w:t>Goodwill and Other Intangibles</w:t>
      </w:r>
      <w:r>
        <w:rPr>
          <w:rFonts w:ascii="Arial" w:cs="Arial" w:eastAsia="Arial" w:hAnsi="Arial"/>
          <w:sz w:val="18"/>
          <w:szCs w:val="18"/>
          <w:color w:val="auto"/>
        </w:rPr>
        <w:t xml:space="preserve"> of the Notes to Consolidated Financial Statements (Part II, Item 8 of this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8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Product rights and other definite-lived intangible assets are tested periodically for impairment in accordance with ASC Topic 360 when events or changes in circumstances indicate that an asset's carrying value may not be recoverable. The impairment test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From time to time, we may enter into derivatives that are not designated as hedging instruments in order to protect the Company from currency volatility due to intercompany balances.</w:t>
      </w:r>
    </w:p>
    <w:p>
      <w:pPr>
        <w:spacing w:after="0" w:line="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We determine the fair value of our derivative instruments,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87"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12,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of the Notes to Consolidated Financial Statements (Part II, Item 8 of this Form 10-K), in our consolidated financial statements for disclosures related to foreign and domestic pretax income, foreign and domestic income tax expense (benefit) and the effect foreign taxes have on our overall effective tax rate.</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when it is more likely than not that some portion or all of the deferred tax assets will not be realized. We could recognize no benefit from our deferred tax assets or we could recognize some or all of the future benefit depending on the amount and timing of taxable income we generate in the future.</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indefinitely reinvest substantially all of our foreign earnings in our foreign subsidiaries unless there is a tax–free manner under which to remit the earnings. The current analysis indicates that we have sufficient U.S. liquidity, including borrowing capacity, to fund foreseeable U.S. cash needs without requiring the repatriation of foreign cash. One time or unusual items that may impact our ability or intent to keep the foreign earnings and cash indefinitely reinvested include significant U.S. acquisitions, loans from a foreign subsidiary, and changes in tax laws.</w:t>
      </w:r>
    </w:p>
    <w:p>
      <w:pPr>
        <w:spacing w:after="0" w:line="7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of December 31, 2021,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2021.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claims and lawsuits in the ordinary course of our business, including claims by employees or former employees, and claims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 We recognize the underfunded status of the defined benefit pension plans as an asset or a liability in the balance sheet, with changes in the funded status recorded through other comprehensive income in the year in which those changes occur.</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discount rates are determined by considering current yield curves representing high quality, long-term fixed income instruments. The resulting discount rates are consistent with the duration of plan liabilities. In 2021, the discount rate was prescribed as the current yield on corporate bonds with an average rating of AA or AAA of equivalent currency and term to the liabilities.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plan assets of the pension plans are invested in common trusts as of December 31, 2021. Common trusts are classified as Level 2 in fair value hierarchy. The fair value of common trusts are valued at net asset value based on the fair values of the underlying investments of the trusts as determined by the sponsor of the trusts.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2021 and 2020, respectively:</w:t>
      </w:r>
    </w:p>
    <w:p>
      <w:pPr>
        <w:spacing w:after="0" w:line="21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As of December 31,</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7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r>
      <w:tr>
        <w:trPr>
          <w:trHeight w:val="219"/>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0.37 %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r>
      <w:tr>
        <w:trPr>
          <w:trHeight w:val="225"/>
        </w:trPr>
        <w:tc>
          <w:tcPr>
            <w:tcW w:w="878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3.59 %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2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25"/>
        </w:trPr>
        <w:tc>
          <w:tcPr>
            <w:tcW w:w="8780" w:type="dxa"/>
            <w:vAlign w:val="bottom"/>
            <w:gridSpan w:val="2"/>
          </w:tcPr>
          <w:p>
            <w:pPr>
              <w:spacing w:after="0"/>
              <w:rPr>
                <w:sz w:val="20"/>
                <w:szCs w:val="20"/>
                <w:color w:val="auto"/>
              </w:rPr>
            </w:pPr>
            <w:r>
              <w:rPr>
                <w:rFonts w:ascii="Arial" w:cs="Arial" w:eastAsia="Arial" w:hAnsi="Arial"/>
                <w:sz w:val="18"/>
                <w:szCs w:val="18"/>
                <w:color w:val="auto"/>
              </w:rPr>
              <w:t>Interest crediting rate for cash balance plans</w:t>
            </w: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change of plus (minus) 25 basis points on expected rate of return on plan assets, with other assumptions held constant, would have an estimated $0.1 million favorable (unfavorable) impact on pension plan costs. As of December 31, 2021, contributions expected to be paid to the plan in 2022 are $2.3 million.</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corridor approach in the valuation of defined benefit pension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apply the authoritative guidance for stock-based compensation. This guidance requires companies to recognize the expense related to the fair value of their stock-based compensation awards. Stock-based compensation expense for stock option awards is based on the grant date fair value on using the binomial distribution model. The Company recognizes compensation expense for stock option awards, restricted stock awards, performance stock awards and contract stock awards on a ratable basis over the requisite service period of the award. All excess tax benefits and taxes and tax deficiencies from stock-based compensation are included in the provision for income taxes in the consolidated statement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(Part II, Item 8 of this Form 10-K), to the consolidated financial statements for recently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further information of the Notes to Consolidated Financial Statements (Part II, Item 8 of this Form 10-K).</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2021 would increase interest income by approximately $5.1 million on an annual basis. No significant decrease in interest income would be expected as our cash balances are earning interest at rates of approximately one basis points. We are subject to foreign currency exchange risk with respect to cash balances maintained in foreign currencies.</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cash flow exposure to changes in interest rates. These interest rate swaps fix the interest rate on a portion of our expected LIBOR-indexed floating-rate borrowings. The Company held the following interest rate swaps as of December 31, 2021 (dollar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Hedged Item</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w w:val="93"/>
              </w:rPr>
              <w:t>Notional Amount</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Designation Date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Effective Date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Termination Date</w:t>
            </w:r>
          </w:p>
        </w:tc>
        <w:tc>
          <w:tcPr>
            <w:tcW w:w="1880" w:type="dxa"/>
            <w:vAlign w:val="bottom"/>
            <w:gridSpan w:val="3"/>
          </w:tcPr>
          <w:p>
            <w:pPr>
              <w:jc w:val="right"/>
              <w:ind w:right="409"/>
              <w:spacing w:after="0"/>
              <w:rPr>
                <w:sz w:val="20"/>
                <w:szCs w:val="20"/>
                <w:color w:val="auto"/>
              </w:rPr>
            </w:pPr>
            <w:r>
              <w:rPr>
                <w:rFonts w:ascii="Arial" w:cs="Arial" w:eastAsia="Arial" w:hAnsi="Arial"/>
                <w:sz w:val="14"/>
                <w:szCs w:val="14"/>
                <w:b w:val="1"/>
                <w:bCs w:val="1"/>
                <w:color w:val="auto"/>
              </w:rPr>
              <w:t>Fixed Interest Rate</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84"/>
        </w:trPr>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Assets (Liabilities)</w:t>
            </w:r>
          </w:p>
        </w:tc>
        <w:tc>
          <w:tcPr>
            <w:tcW w:w="0" w:type="dxa"/>
            <w:vAlign w:val="bottom"/>
          </w:tcPr>
          <w:p>
            <w:pPr>
              <w:spacing w:after="0"/>
              <w:rPr>
                <w:sz w:val="1"/>
                <w:szCs w:val="1"/>
                <w:color w:val="auto"/>
              </w:rPr>
            </w:pPr>
          </w:p>
        </w:tc>
      </w:tr>
      <w:tr>
        <w:trPr>
          <w:trHeight w:val="134"/>
        </w:trPr>
        <w:tc>
          <w:tcPr>
            <w:tcW w:w="180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13, 2017</w:t>
            </w:r>
          </w:p>
        </w:tc>
        <w:tc>
          <w:tcPr>
            <w:tcW w:w="1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January 1,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2022</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2.201 %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186"/>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0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13, 2017</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June 30, 2024</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(5,520)</w:t>
            </w:r>
          </w:p>
        </w:tc>
        <w:tc>
          <w:tcPr>
            <w:tcW w:w="0" w:type="dxa"/>
            <w:vAlign w:val="bottom"/>
          </w:tcPr>
          <w:p>
            <w:pPr>
              <w:spacing w:after="0"/>
              <w:rPr>
                <w:sz w:val="1"/>
                <w:szCs w:val="1"/>
                <w:color w:val="auto"/>
              </w:rPr>
            </w:pPr>
          </w:p>
        </w:tc>
      </w:tr>
      <w:tr>
        <w:trPr>
          <w:trHeight w:val="183"/>
        </w:trPr>
        <w:tc>
          <w:tcPr>
            <w:tcW w:w="1800" w:type="dxa"/>
            <w:vAlign w:val="bottom"/>
            <w:gridSpan w:val="3"/>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800" w:type="dxa"/>
            <w:vAlign w:val="bottom"/>
            <w:gridSpan w:val="3"/>
            <w:shd w:val="clear" w:color="auto" w:fill="CCEEFF"/>
          </w:tcPr>
          <w:p>
            <w:pPr>
              <w:ind w:left="20"/>
              <w:spacing w:after="0" w:line="136"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13, 2017</w:t>
            </w:r>
          </w:p>
        </w:tc>
        <w:tc>
          <w:tcPr>
            <w:tcW w:w="1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January 1,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2024</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86"/>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0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83"/>
        </w:trPr>
        <w:tc>
          <w:tcPr>
            <w:tcW w:w="1800" w:type="dxa"/>
            <w:vAlign w:val="bottom"/>
            <w:gridSpan w:val="3"/>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800" w:type="dxa"/>
            <w:vAlign w:val="bottom"/>
            <w:gridSpan w:val="3"/>
            <w:shd w:val="clear" w:color="auto" w:fill="CCEEFF"/>
          </w:tcPr>
          <w:p>
            <w:pPr>
              <w:ind w:left="20"/>
              <w:spacing w:after="0" w:line="136"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186"/>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0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1-month USD LIBOR</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gridSpan w:val="3"/>
            <w:vMerge w:val="restart"/>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75"/>
        </w:trPr>
        <w:tc>
          <w:tcPr>
            <w:tcW w:w="180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0" w:type="dxa"/>
            <w:vAlign w:val="bottom"/>
            <w:gridSpan w:val="3"/>
            <w:shd w:val="clear" w:color="auto" w:fill="CCEEFF"/>
          </w:tcPr>
          <w:p>
            <w:pPr>
              <w:ind w:left="20"/>
              <w:spacing w:after="0" w:line="136" w:lineRule="exact"/>
              <w:rPr>
                <w:sz w:val="20"/>
                <w:szCs w:val="20"/>
                <w:color w:val="auto"/>
              </w:rPr>
            </w:pPr>
            <w:r>
              <w:rPr>
                <w:rFonts w:ascii="Arial" w:cs="Arial" w:eastAsia="Arial" w:hAnsi="Arial"/>
                <w:sz w:val="14"/>
                <w:szCs w:val="14"/>
                <w:color w:val="auto"/>
              </w:rPr>
              <w:t>1-month USD LIBOR</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18,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30, 2022</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78"/>
        </w:trPr>
        <w:tc>
          <w:tcPr>
            <w:tcW w:w="1800" w:type="dxa"/>
            <w:vAlign w:val="bottom"/>
            <w:gridSpan w:val="3"/>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80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1-month USD LIBOR</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18,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30, 2022</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gridSpan w:val="3"/>
            <w:vMerge w:val="restart"/>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75"/>
        </w:trPr>
        <w:tc>
          <w:tcPr>
            <w:tcW w:w="180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0" w:type="dxa"/>
            <w:vAlign w:val="bottom"/>
            <w:gridSpan w:val="3"/>
            <w:shd w:val="clear" w:color="auto" w:fill="CCEEFF"/>
          </w:tcPr>
          <w:p>
            <w:pPr>
              <w:ind w:left="20"/>
              <w:spacing w:after="0" w:line="136" w:lineRule="exact"/>
              <w:rPr>
                <w:sz w:val="20"/>
                <w:szCs w:val="20"/>
                <w:color w:val="auto"/>
              </w:rPr>
            </w:pPr>
            <w:r>
              <w:rPr>
                <w:rFonts w:ascii="Arial" w:cs="Arial" w:eastAsia="Arial" w:hAnsi="Arial"/>
                <w:sz w:val="14"/>
                <w:szCs w:val="14"/>
                <w:color w:val="auto"/>
              </w:rPr>
              <w:t>1-month USD LIBOR</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15, 2020</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July 31, 2025</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78"/>
        </w:trPr>
        <w:tc>
          <w:tcPr>
            <w:tcW w:w="1800" w:type="dxa"/>
            <w:vAlign w:val="bottom"/>
            <w:gridSpan w:val="3"/>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80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1-month USD LIBOR</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15, 2020</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July 1, 2025</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gridSpan w:val="3"/>
            <w:vMerge w:val="restart"/>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75"/>
        </w:trPr>
        <w:tc>
          <w:tcPr>
            <w:tcW w:w="180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These interest rate swaps were designated as cash flow hedges as of December 31, 2021. The total notional amounts related to the Company’s interest rate swaps were $1.8 billion and with $875.0 million effective as of December 31, 2021. Based on our outstanding borrowings at December 31, 2021, a 100 basis points change in interest rates would have impacted interest expense on the unhedged portion of the debt by $1.1 million on an annualized basis.</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Financial statements and the financial statement schedule specified by this Item, together with the report thereon of PricewaterhouseCoopers LLP, are presented following Item 15 of this report.</w:t>
      </w:r>
    </w:p>
    <w:p>
      <w:pPr>
        <w:spacing w:after="0" w:line="21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8" w:name="page49"/>
    <w:bookmarkEnd w:id="48"/>
    <w:p>
      <w:pPr>
        <w:ind w:left="20"/>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2021. Based upon this evaluation, our principal executive officer and principal financial officer concluded that our disclosure controls and procedures were effective as of December 31, 2021 to provide such reasonable assurance.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2021.</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herein.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There were no changes in our internal control over financial reporting (as defined in Rule 13a-15(f) under the Exchange Act) that occurred during the quarter ended December 31, 2021 that have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13, 2022,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920" w:type="dxa"/>
            <w:vAlign w:val="bottom"/>
            <w:gridSpan w:val="7"/>
          </w:tcPr>
          <w:p>
            <w:pPr>
              <w:ind w:left="68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32"/>
        </w:trPr>
        <w:tc>
          <w:tcPr>
            <w:tcW w:w="2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rPr>
              <w:t>ITEM 15.</w:t>
            </w:r>
          </w:p>
        </w:tc>
        <w:tc>
          <w:tcPr>
            <w:tcW w:w="9300" w:type="dxa"/>
            <w:vAlign w:val="bottom"/>
            <w:gridSpan w:val="9"/>
          </w:tcPr>
          <w:p>
            <w:pPr>
              <w:ind w:left="360"/>
              <w:spacing w:after="0"/>
              <w:rPr>
                <w:sz w:val="20"/>
                <w:szCs w:val="20"/>
                <w:color w:val="auto"/>
              </w:rPr>
            </w:pPr>
            <w:r>
              <w:rPr>
                <w:rFonts w:ascii="Arial" w:cs="Arial" w:eastAsia="Arial" w:hAnsi="Arial"/>
                <w:sz w:val="18"/>
                <w:szCs w:val="18"/>
                <w:b w:val="1"/>
                <w:bCs w:val="1"/>
                <w:i w:val="1"/>
                <w:iCs w:val="1"/>
                <w:color w:val="auto"/>
              </w:rPr>
              <w:t>EXHIBITS AND FINANCIAL STATEMENT SCHEDULE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0520" w:type="dxa"/>
            <w:vAlign w:val="bottom"/>
            <w:gridSpan w:val="11"/>
          </w:tcPr>
          <w:p>
            <w:pPr>
              <w:spacing w:after="0"/>
              <w:rPr>
                <w:sz w:val="20"/>
                <w:szCs w:val="20"/>
                <w:color w:val="auto"/>
              </w:rPr>
            </w:pPr>
            <w:r>
              <w:rPr>
                <w:rFonts w:ascii="Arial" w:cs="Arial" w:eastAsia="Arial" w:hAnsi="Arial"/>
                <w:sz w:val="18"/>
                <w:szCs w:val="18"/>
                <w:color w:val="auto"/>
              </w:rPr>
              <w:t>(a) Documents filed as a part of this report: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10520" w:type="dxa"/>
            <w:vAlign w:val="bottom"/>
            <w:gridSpan w:val="11"/>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Financial Statements.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5"/>
        </w:trPr>
        <w:tc>
          <w:tcPr>
            <w:tcW w:w="105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0500" w:type="dxa"/>
            <w:vAlign w:val="bottom"/>
            <w:gridSpan w:val="10"/>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 xml:space="preserve">Report of Independent Registered Public Accounting Firm (PricewaterhouseCoopers LLP, Florham Park, New Jersey, PCAOB ID# </w:t>
              </w:r>
            </w:hyperlink>
            <w:r>
              <w:rPr>
                <w:rFonts w:ascii="Arial" w:cs="Arial" w:eastAsia="Arial" w:hAnsi="Arial"/>
                <w:sz w:val="18"/>
                <w:szCs w:val="18"/>
                <w:color w:val="000000"/>
                <w:w w:val="97"/>
              </w:rPr>
              <w:t>238</w:t>
            </w:r>
            <w:hyperlink w:anchor="page60">
              <w:r>
                <w:rPr>
                  <w:rFonts w:ascii="Arial" w:cs="Arial" w:eastAsia="Arial" w:hAnsi="Arial"/>
                  <w:sz w:val="18"/>
                  <w:szCs w:val="18"/>
                  <w:u w:val="single" w:color="auto"/>
                  <w:color w:val="0000FF"/>
                  <w:w w:val="97"/>
                </w:rPr>
                <w:t>)</w:t>
              </w:r>
            </w:hyperlink>
          </w:p>
        </w:tc>
        <w:tc>
          <w:tcPr>
            <w:tcW w:w="340" w:type="dxa"/>
            <w:vAlign w:val="bottom"/>
            <w:gridSpan w:val="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F-1</w:t>
              </w:r>
            </w:hyperlink>
          </w:p>
        </w:tc>
      </w:tr>
      <w:tr>
        <w:trPr>
          <w:trHeight w:val="206"/>
        </w:trPr>
        <w:tc>
          <w:tcPr>
            <w:tcW w:w="20" w:type="dxa"/>
            <w:vAlign w:val="bottom"/>
          </w:tcPr>
          <w:p>
            <w:pPr>
              <w:spacing w:after="0"/>
              <w:rPr>
                <w:sz w:val="17"/>
                <w:szCs w:val="17"/>
                <w:color w:val="auto"/>
              </w:rPr>
            </w:pPr>
          </w:p>
        </w:tc>
        <w:tc>
          <w:tcPr>
            <w:tcW w:w="9360" w:type="dxa"/>
            <w:vAlign w:val="bottom"/>
            <w:tcBorders>
              <w:top w:val="single" w:sz="8" w:color="0000FF"/>
            </w:tcBorders>
            <w:gridSpan w:val="9"/>
          </w:tcPr>
          <w:p>
            <w:pPr>
              <w:spacing w:after="0" w:line="206" w:lineRule="exact"/>
              <w:rPr>
                <w:rFonts w:ascii="Arial" w:cs="Arial" w:eastAsia="Arial" w:hAnsi="Arial"/>
                <w:sz w:val="18"/>
                <w:szCs w:val="18"/>
                <w:color w:val="0000FF"/>
              </w:rPr>
            </w:pPr>
            <w:hyperlink w:anchor="page62">
              <w:r>
                <w:rPr>
                  <w:rFonts w:ascii="Arial" w:cs="Arial" w:eastAsia="Arial" w:hAnsi="Arial"/>
                  <w:sz w:val="18"/>
                  <w:szCs w:val="18"/>
                  <w:color w:val="0000FF"/>
                </w:rPr>
                <w:t>Consolidated Statements of Operations for the years ended December 31, 2021, 2020 and 2019</w:t>
              </w:r>
            </w:hyperlink>
          </w:p>
        </w:tc>
        <w:tc>
          <w:tcPr>
            <w:tcW w:w="1140" w:type="dxa"/>
            <w:vAlign w:val="bottom"/>
          </w:tcPr>
          <w:p>
            <w:pPr>
              <w:spacing w:after="0"/>
              <w:rPr>
                <w:sz w:val="17"/>
                <w:szCs w:val="17"/>
                <w:color w:val="auto"/>
              </w:rPr>
            </w:pPr>
          </w:p>
        </w:tc>
        <w:tc>
          <w:tcPr>
            <w:tcW w:w="260" w:type="dxa"/>
            <w:vAlign w:val="bottom"/>
            <w:tcBorders>
              <w:top w:val="single" w:sz="8" w:color="0000FF"/>
            </w:tcBorders>
          </w:tcPr>
          <w:p>
            <w:pPr>
              <w:spacing w:after="0" w:line="206" w:lineRule="exact"/>
              <w:rPr>
                <w:rFonts w:ascii="Arial" w:cs="Arial" w:eastAsia="Arial" w:hAnsi="Arial"/>
                <w:sz w:val="18"/>
                <w:szCs w:val="18"/>
                <w:color w:val="0000FF"/>
                <w:w w:val="88"/>
              </w:rPr>
            </w:pPr>
            <w:hyperlink w:anchor="page62">
              <w:r>
                <w:rPr>
                  <w:rFonts w:ascii="Arial" w:cs="Arial" w:eastAsia="Arial" w:hAnsi="Arial"/>
                  <w:sz w:val="18"/>
                  <w:szCs w:val="18"/>
                  <w:color w:val="0000FF"/>
                  <w:w w:val="88"/>
                </w:rPr>
                <w:t>F-3</w:t>
              </w:r>
            </w:hyperlink>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60" w:type="dxa"/>
            <w:vAlign w:val="bottom"/>
            <w:tcBorders>
              <w:bottom w:val="single" w:sz="8" w:color="0000FF"/>
            </w:tcBorders>
            <w:gridSpan w:val="7"/>
          </w:tcPr>
          <w:p>
            <w:pPr>
              <w:spacing w:after="0" w:line="206" w:lineRule="exact"/>
              <w:rPr>
                <w:rFonts w:ascii="Arial" w:cs="Arial" w:eastAsia="Arial" w:hAnsi="Arial"/>
                <w:sz w:val="18"/>
                <w:szCs w:val="18"/>
                <w:color w:val="0000FF"/>
                <w:w w:val="87"/>
              </w:rPr>
            </w:pPr>
            <w:hyperlink w:anchor="page63">
              <w:r>
                <w:rPr>
                  <w:rFonts w:ascii="Arial" w:cs="Arial" w:eastAsia="Arial" w:hAnsi="Arial"/>
                  <w:sz w:val="18"/>
                  <w:szCs w:val="18"/>
                  <w:color w:val="0000FF"/>
                  <w:w w:val="87"/>
                </w:rPr>
                <w:t>Consolidated Statements of Comprehensive Income for the years ended December 31, 2021, 2020 and 2019</w:t>
              </w:r>
            </w:hyperlink>
          </w:p>
        </w:tc>
        <w:tc>
          <w:tcPr>
            <w:tcW w:w="2840" w:type="dxa"/>
            <w:vAlign w:val="bottom"/>
            <w:gridSpan w:val="3"/>
          </w:tcPr>
          <w:p>
            <w:pPr>
              <w:spacing w:after="0"/>
              <w:rPr>
                <w:sz w:val="17"/>
                <w:szCs w:val="17"/>
                <w:color w:val="auto"/>
              </w:rPr>
            </w:pPr>
          </w:p>
        </w:tc>
        <w:tc>
          <w:tcPr>
            <w:tcW w:w="260" w:type="dxa"/>
            <w:vAlign w:val="bottom"/>
            <w:tcBorders>
              <w:bottom w:val="single" w:sz="8" w:color="0000FF"/>
            </w:tcBorders>
          </w:tcPr>
          <w:p>
            <w:pPr>
              <w:spacing w:after="0" w:line="206" w:lineRule="exact"/>
              <w:rPr>
                <w:rFonts w:ascii="Arial" w:cs="Arial" w:eastAsia="Arial" w:hAnsi="Arial"/>
                <w:sz w:val="18"/>
                <w:szCs w:val="18"/>
                <w:color w:val="0000FF"/>
                <w:w w:val="88"/>
              </w:rPr>
            </w:pPr>
            <w:hyperlink w:anchor="page63">
              <w:r>
                <w:rPr>
                  <w:rFonts w:ascii="Arial" w:cs="Arial" w:eastAsia="Arial" w:hAnsi="Arial"/>
                  <w:sz w:val="18"/>
                  <w:szCs w:val="18"/>
                  <w:color w:val="0000FF"/>
                  <w:w w:val="88"/>
                </w:rPr>
                <w:t>F-4</w:t>
              </w:r>
            </w:hyperlink>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580" w:type="dxa"/>
            <w:vAlign w:val="bottom"/>
            <w:tcBorders>
              <w:bottom w:val="single" w:sz="8" w:color="0000FF"/>
            </w:tcBorders>
            <w:gridSpan w:val="3"/>
          </w:tcPr>
          <w:p>
            <w:pPr>
              <w:spacing w:after="0" w:line="206" w:lineRule="exact"/>
              <w:rPr>
                <w:rFonts w:ascii="Arial" w:cs="Arial" w:eastAsia="Arial" w:hAnsi="Arial"/>
                <w:sz w:val="18"/>
                <w:szCs w:val="18"/>
                <w:color w:val="0000FF"/>
                <w:w w:val="87"/>
              </w:rPr>
            </w:pPr>
            <w:hyperlink w:anchor="page64">
              <w:r>
                <w:rPr>
                  <w:rFonts w:ascii="Arial" w:cs="Arial" w:eastAsia="Arial" w:hAnsi="Arial"/>
                  <w:sz w:val="18"/>
                  <w:szCs w:val="18"/>
                  <w:color w:val="0000FF"/>
                  <w:w w:val="87"/>
                </w:rPr>
                <w:t>Consolidated Balance Sheets as of December 31, 2021 and 2020</w:t>
              </w:r>
            </w:hyperlink>
          </w:p>
        </w:tc>
        <w:tc>
          <w:tcPr>
            <w:tcW w:w="5920" w:type="dxa"/>
            <w:vAlign w:val="bottom"/>
            <w:gridSpan w:val="7"/>
          </w:tcPr>
          <w:p>
            <w:pPr>
              <w:spacing w:after="0"/>
              <w:rPr>
                <w:sz w:val="17"/>
                <w:szCs w:val="17"/>
                <w:color w:val="auto"/>
              </w:rPr>
            </w:pPr>
          </w:p>
        </w:tc>
        <w:tc>
          <w:tcPr>
            <w:tcW w:w="260" w:type="dxa"/>
            <w:vAlign w:val="bottom"/>
            <w:tcBorders>
              <w:bottom w:val="single" w:sz="8" w:color="0000FF"/>
            </w:tcBorders>
          </w:tcPr>
          <w:p>
            <w:pPr>
              <w:spacing w:after="0" w:line="206" w:lineRule="exact"/>
              <w:rPr>
                <w:rFonts w:ascii="Arial" w:cs="Arial" w:eastAsia="Arial" w:hAnsi="Arial"/>
                <w:sz w:val="18"/>
                <w:szCs w:val="18"/>
                <w:color w:val="0000FF"/>
                <w:w w:val="88"/>
              </w:rPr>
            </w:pPr>
            <w:hyperlink w:anchor="page64">
              <w:r>
                <w:rPr>
                  <w:rFonts w:ascii="Arial" w:cs="Arial" w:eastAsia="Arial" w:hAnsi="Arial"/>
                  <w:sz w:val="18"/>
                  <w:szCs w:val="18"/>
                  <w:color w:val="0000FF"/>
                  <w:w w:val="88"/>
                </w:rPr>
                <w:t>F-5</w:t>
              </w:r>
            </w:hyperlink>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800" w:type="dxa"/>
            <w:vAlign w:val="bottom"/>
            <w:tcBorders>
              <w:bottom w:val="single" w:sz="8" w:color="0000FF"/>
            </w:tcBorders>
            <w:gridSpan w:val="5"/>
          </w:tcPr>
          <w:p>
            <w:pPr>
              <w:spacing w:after="0" w:line="206" w:lineRule="exact"/>
              <w:rPr>
                <w:rFonts w:ascii="Arial" w:cs="Arial" w:eastAsia="Arial" w:hAnsi="Arial"/>
                <w:sz w:val="18"/>
                <w:szCs w:val="18"/>
                <w:color w:val="0000FF"/>
                <w:w w:val="87"/>
              </w:rPr>
            </w:pPr>
            <w:hyperlink w:anchor="page65">
              <w:r>
                <w:rPr>
                  <w:rFonts w:ascii="Arial" w:cs="Arial" w:eastAsia="Arial" w:hAnsi="Arial"/>
                  <w:sz w:val="18"/>
                  <w:szCs w:val="18"/>
                  <w:color w:val="0000FF"/>
                  <w:w w:val="87"/>
                </w:rPr>
                <w:t>Consolidated Statements of Cash Flows for the years ended December 31, 2021, 2020 and 2019</w:t>
              </w:r>
            </w:hyperlink>
          </w:p>
        </w:tc>
        <w:tc>
          <w:tcPr>
            <w:tcW w:w="3700" w:type="dxa"/>
            <w:vAlign w:val="bottom"/>
            <w:gridSpan w:val="5"/>
          </w:tcPr>
          <w:p>
            <w:pPr>
              <w:spacing w:after="0"/>
              <w:rPr>
                <w:sz w:val="17"/>
                <w:szCs w:val="17"/>
                <w:color w:val="auto"/>
              </w:rPr>
            </w:pPr>
          </w:p>
        </w:tc>
        <w:tc>
          <w:tcPr>
            <w:tcW w:w="260" w:type="dxa"/>
            <w:vAlign w:val="bottom"/>
            <w:tcBorders>
              <w:bottom w:val="single" w:sz="8" w:color="0000FF"/>
            </w:tcBorders>
          </w:tcPr>
          <w:p>
            <w:pPr>
              <w:spacing w:after="0" w:line="206" w:lineRule="exact"/>
              <w:rPr>
                <w:rFonts w:ascii="Arial" w:cs="Arial" w:eastAsia="Arial" w:hAnsi="Arial"/>
                <w:sz w:val="18"/>
                <w:szCs w:val="18"/>
                <w:color w:val="0000FF"/>
                <w:w w:val="88"/>
              </w:rPr>
            </w:pPr>
            <w:hyperlink w:anchor="page65">
              <w:r>
                <w:rPr>
                  <w:rFonts w:ascii="Arial" w:cs="Arial" w:eastAsia="Arial" w:hAnsi="Arial"/>
                  <w:sz w:val="18"/>
                  <w:szCs w:val="18"/>
                  <w:color w:val="0000FF"/>
                  <w:w w:val="88"/>
                </w:rPr>
                <w:t>F-6</w:t>
              </w:r>
            </w:hyperlink>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0500" w:type="dxa"/>
            <w:vAlign w:val="bottom"/>
            <w:gridSpan w:val="10"/>
          </w:tcPr>
          <w:p>
            <w:pPr>
              <w:spacing w:after="0" w:line="206" w:lineRule="exact"/>
              <w:rPr>
                <w:rFonts w:ascii="Arial" w:cs="Arial" w:eastAsia="Arial" w:hAnsi="Arial"/>
                <w:sz w:val="18"/>
                <w:szCs w:val="18"/>
                <w:color w:val="0000FF"/>
              </w:rPr>
            </w:pPr>
            <w:hyperlink w:anchor="page66">
              <w:r>
                <w:rPr>
                  <w:rFonts w:ascii="Arial" w:cs="Arial" w:eastAsia="Arial" w:hAnsi="Arial"/>
                  <w:sz w:val="18"/>
                  <w:szCs w:val="18"/>
                  <w:color w:val="0000FF"/>
                </w:rPr>
                <w:t xml:space="preserve">Consolidated Statements of Changes in Stockholders’ Equity for the years ended December 31, </w:t>
              </w:r>
            </w:hyperlink>
            <w:r>
              <w:rPr>
                <w:rFonts w:ascii="Arial" w:cs="Arial" w:eastAsia="Arial" w:hAnsi="Arial"/>
                <w:sz w:val="18"/>
                <w:szCs w:val="18"/>
                <w:color w:val="0000FF"/>
              </w:rPr>
              <w:t xml:space="preserve">2021, 2020 </w:t>
            </w:r>
            <w:hyperlink w:anchor="page66">
              <w:r>
                <w:rPr>
                  <w:rFonts w:ascii="Arial" w:cs="Arial" w:eastAsia="Arial" w:hAnsi="Arial"/>
                  <w:sz w:val="18"/>
                  <w:szCs w:val="18"/>
                  <w:color w:val="0000FF"/>
                </w:rPr>
                <w:t>and 2019</w:t>
              </w:r>
            </w:hyperlink>
          </w:p>
        </w:tc>
        <w:tc>
          <w:tcPr>
            <w:tcW w:w="340" w:type="dxa"/>
            <w:vAlign w:val="bottom"/>
            <w:gridSpan w:val="2"/>
          </w:tcPr>
          <w:p>
            <w:pPr>
              <w:spacing w:after="0" w:line="206" w:lineRule="exact"/>
              <w:rPr>
                <w:rFonts w:ascii="Arial" w:cs="Arial" w:eastAsia="Arial" w:hAnsi="Arial"/>
                <w:sz w:val="18"/>
                <w:szCs w:val="18"/>
                <w:color w:val="0000FF"/>
              </w:rPr>
            </w:pPr>
            <w:hyperlink w:anchor="page66">
              <w:r>
                <w:rPr>
                  <w:rFonts w:ascii="Arial" w:cs="Arial" w:eastAsia="Arial" w:hAnsi="Arial"/>
                  <w:sz w:val="18"/>
                  <w:szCs w:val="18"/>
                  <w:color w:val="0000FF"/>
                </w:rPr>
                <w:t>F-7</w:t>
              </w:r>
            </w:hyperlink>
          </w:p>
        </w:tc>
      </w:tr>
      <w:tr>
        <w:trPr>
          <w:trHeight w:val="206"/>
        </w:trPr>
        <w:tc>
          <w:tcPr>
            <w:tcW w:w="20" w:type="dxa"/>
            <w:vAlign w:val="bottom"/>
          </w:tcPr>
          <w:p>
            <w:pPr>
              <w:spacing w:after="0"/>
              <w:rPr>
                <w:sz w:val="17"/>
                <w:szCs w:val="17"/>
                <w:color w:val="auto"/>
              </w:rPr>
            </w:pPr>
          </w:p>
        </w:tc>
        <w:tc>
          <w:tcPr>
            <w:tcW w:w="8300" w:type="dxa"/>
            <w:vAlign w:val="bottom"/>
            <w:tcBorders>
              <w:top w:val="single" w:sz="8" w:color="0000FF"/>
            </w:tcBorders>
            <w:gridSpan w:val="8"/>
          </w:tcPr>
          <w:p>
            <w:pPr>
              <w:spacing w:after="0" w:line="206" w:lineRule="exact"/>
              <w:rPr>
                <w:rFonts w:ascii="Arial" w:cs="Arial" w:eastAsia="Arial" w:hAnsi="Arial"/>
                <w:sz w:val="18"/>
                <w:szCs w:val="18"/>
                <w:color w:val="0000FF"/>
              </w:rPr>
            </w:pPr>
            <w:hyperlink w:anchor="page67">
              <w:r>
                <w:rPr>
                  <w:rFonts w:ascii="Arial" w:cs="Arial" w:eastAsia="Arial" w:hAnsi="Arial"/>
                  <w:sz w:val="18"/>
                  <w:szCs w:val="18"/>
                  <w:color w:val="0000FF"/>
                </w:rPr>
                <w:t>Notes to Consolidated Financial Statements</w:t>
              </w:r>
            </w:hyperlink>
          </w:p>
        </w:tc>
        <w:tc>
          <w:tcPr>
            <w:tcW w:w="2200" w:type="dxa"/>
            <w:vAlign w:val="bottom"/>
            <w:gridSpan w:val="2"/>
          </w:tcPr>
          <w:p>
            <w:pPr>
              <w:spacing w:after="0"/>
              <w:rPr>
                <w:sz w:val="17"/>
                <w:szCs w:val="17"/>
                <w:color w:val="auto"/>
              </w:rPr>
            </w:pPr>
          </w:p>
        </w:tc>
        <w:tc>
          <w:tcPr>
            <w:tcW w:w="260" w:type="dxa"/>
            <w:vAlign w:val="bottom"/>
            <w:tcBorders>
              <w:top w:val="single" w:sz="8" w:color="0000FF"/>
            </w:tcBorders>
          </w:tcPr>
          <w:p>
            <w:pPr>
              <w:spacing w:after="0" w:line="206" w:lineRule="exact"/>
              <w:rPr>
                <w:rFonts w:ascii="Arial" w:cs="Arial" w:eastAsia="Arial" w:hAnsi="Arial"/>
                <w:sz w:val="18"/>
                <w:szCs w:val="18"/>
                <w:color w:val="0000FF"/>
                <w:w w:val="88"/>
              </w:rPr>
            </w:pPr>
            <w:hyperlink w:anchor="page67">
              <w:r>
                <w:rPr>
                  <w:rFonts w:ascii="Arial" w:cs="Arial" w:eastAsia="Arial" w:hAnsi="Arial"/>
                  <w:sz w:val="18"/>
                  <w:szCs w:val="18"/>
                  <w:color w:val="0000FF"/>
                  <w:w w:val="88"/>
                </w:rPr>
                <w:t>F-8</w:t>
              </w:r>
            </w:hyperlink>
          </w:p>
        </w:tc>
        <w:tc>
          <w:tcPr>
            <w:tcW w:w="80" w:type="dxa"/>
            <w:vAlign w:val="bottom"/>
          </w:tcPr>
          <w:p>
            <w:pPr>
              <w:spacing w:after="0"/>
              <w:rPr>
                <w:sz w:val="17"/>
                <w:szCs w:val="17"/>
                <w:color w:val="auto"/>
              </w:rPr>
            </w:pPr>
          </w:p>
        </w:tc>
      </w:tr>
      <w:tr>
        <w:trPr>
          <w:trHeight w:val="510"/>
        </w:trPr>
        <w:tc>
          <w:tcPr>
            <w:tcW w:w="20" w:type="dxa"/>
            <w:vAlign w:val="bottom"/>
          </w:tcPr>
          <w:p>
            <w:pPr>
              <w:spacing w:after="0"/>
              <w:rPr>
                <w:sz w:val="24"/>
                <w:szCs w:val="24"/>
                <w:color w:val="auto"/>
              </w:rPr>
            </w:pPr>
          </w:p>
        </w:tc>
        <w:tc>
          <w:tcPr>
            <w:tcW w:w="310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i w:val="1"/>
                <w:iCs w:val="1"/>
                <w:color w:val="auto"/>
              </w:rPr>
              <w:t>2. Financial Statement Schedule.</w:t>
            </w:r>
          </w:p>
        </w:tc>
        <w:tc>
          <w:tcPr>
            <w:tcW w:w="7400" w:type="dxa"/>
            <w:vAlign w:val="bottom"/>
            <w:gridSpan w:val="8"/>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75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Schedule II — Valuation and Qualifying Accounts for the years ended December 31, 2021, 2020 and 2019</w:t>
              </w:r>
            </w:hyperlink>
          </w:p>
        </w:tc>
        <w:tc>
          <w:tcPr>
            <w:tcW w:w="2940" w:type="dxa"/>
            <w:vAlign w:val="bottom"/>
            <w:gridSpan w:val="4"/>
          </w:tcPr>
          <w:p>
            <w:pPr>
              <w:spacing w:after="0"/>
              <w:rPr>
                <w:sz w:val="24"/>
                <w:szCs w:val="24"/>
                <w:color w:val="auto"/>
              </w:rPr>
            </w:pPr>
          </w:p>
        </w:tc>
        <w:tc>
          <w:tcPr>
            <w:tcW w:w="34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F-49</w:t>
              </w:r>
            </w:hyperlink>
          </w:p>
        </w:tc>
      </w:tr>
    </w:tbl>
    <w:p>
      <w:pPr>
        <w:spacing w:after="0" w:line="200" w:lineRule="exact"/>
        <w:rPr>
          <w:sz w:val="20"/>
          <w:szCs w:val="20"/>
          <w:color w:val="auto"/>
        </w:rPr>
      </w:pPr>
    </w:p>
    <w:p>
      <w:pPr>
        <w:spacing w:after="0" w:line="25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2.1</w:t>
            </w:r>
          </w:p>
        </w:tc>
        <w:tc>
          <w:tcPr>
            <w:tcW w:w="10020" w:type="dxa"/>
            <w:vAlign w:val="bottom"/>
            <w:gridSpan w:val="17"/>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Stock Purchase Agreement, dated as of October 25, 2013, by and between Covidien Group S.A.R.L. and Integra LifeSciences Corporation</w:t>
              </w:r>
            </w:hyperlink>
          </w:p>
        </w:tc>
      </w:tr>
      <w:tr>
        <w:trPr>
          <w:trHeight w:val="153"/>
        </w:trPr>
        <w:tc>
          <w:tcPr>
            <w:tcW w:w="134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59">
              <w:r>
                <w:rPr>
                  <w:rFonts w:ascii="Arial" w:cs="Arial" w:eastAsia="Arial" w:hAnsi="Arial"/>
                  <w:sz w:val="17"/>
                  <w:szCs w:val="17"/>
                  <w:color w:val="0000FF"/>
                  <w:w w:val="95"/>
                </w:rPr>
                <w:t>(Incorporated by Reference to Exhibit 10.1 to the Company’s Current Report on Form 8-K filed on January 15, 2014)</w:t>
              </w:r>
            </w:hyperlink>
          </w:p>
        </w:tc>
        <w:tc>
          <w:tcPr>
            <w:tcW w:w="15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2.1(a)</w:t>
            </w:r>
          </w:p>
        </w:tc>
        <w:tc>
          <w:tcPr>
            <w:tcW w:w="10020" w:type="dxa"/>
            <w:vAlign w:val="bottom"/>
            <w:gridSpan w:val="17"/>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Put Option Agreement, dated September 29, 2020, between the Company and certain of its subsidiaries and Smith &amp; Nephew USD</w:t>
              </w:r>
            </w:hyperlink>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8"/>
              </w:rPr>
            </w:pPr>
            <w:hyperlink r:id="rId60">
              <w:r>
                <w:rPr>
                  <w:rFonts w:ascii="Arial" w:cs="Arial" w:eastAsia="Arial" w:hAnsi="Arial"/>
                  <w:sz w:val="17"/>
                  <w:szCs w:val="17"/>
                  <w:color w:val="0000FF"/>
                  <w:w w:val="98"/>
                </w:rPr>
                <w:t>Limited, a subsidiary of Smith+Nephew (including the Purchase and Sale Agreement attached as Appendix 1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00" w:type="dxa"/>
            <w:vAlign w:val="bottom"/>
            <w:gridSpan w:val="16"/>
          </w:tcPr>
          <w:p>
            <w:pPr>
              <w:spacing w:after="0" w:line="153" w:lineRule="exact"/>
              <w:rPr>
                <w:rFonts w:ascii="Arial" w:cs="Arial" w:eastAsia="Arial" w:hAnsi="Arial"/>
                <w:sz w:val="17"/>
                <w:szCs w:val="17"/>
                <w:color w:val="0000FF"/>
              </w:rPr>
            </w:pPr>
            <w:hyperlink r:id="rId60">
              <w:r>
                <w:rPr>
                  <w:rFonts w:ascii="Arial" w:cs="Arial" w:eastAsia="Arial" w:hAnsi="Arial"/>
                  <w:sz w:val="17"/>
                  <w:szCs w:val="17"/>
                  <w:color w:val="0000FF"/>
                </w:rPr>
                <w:t>reference to Exhibit 2.1 to the Company’s Quarterly Report on Form 10-Q for the quarter ended September 30, 2020).</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2.1(b)</w:t>
            </w:r>
          </w:p>
        </w:tc>
        <w:tc>
          <w:tcPr>
            <w:tcW w:w="10020" w:type="dxa"/>
            <w:vAlign w:val="bottom"/>
            <w:gridSpan w:val="17"/>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Agreement and Plan of Merger by among Integra LifeSciences Holdings Corporation and ACell Inc. dated as of December 15, 2020</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3" w:lineRule="exact"/>
              <w:rPr>
                <w:rFonts w:ascii="Arial" w:cs="Arial" w:eastAsia="Arial" w:hAnsi="Arial"/>
                <w:sz w:val="17"/>
                <w:szCs w:val="17"/>
                <w:color w:val="0000FF"/>
              </w:rPr>
            </w:pPr>
            <w:hyperlink r:id="rId61">
              <w:r>
                <w:rPr>
                  <w:rFonts w:ascii="Arial" w:cs="Arial" w:eastAsia="Arial" w:hAnsi="Arial"/>
                  <w:sz w:val="17"/>
                  <w:szCs w:val="17"/>
                  <w:color w:val="0000FF"/>
                </w:rPr>
                <w:t>(Incorporated by reference to the Company’s Annual Report on Form 10-K for the fiscal year ended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7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2.2</w:t>
            </w:r>
          </w:p>
        </w:tc>
        <w:tc>
          <w:tcPr>
            <w:tcW w:w="10020" w:type="dxa"/>
            <w:vAlign w:val="bottom"/>
            <w:gridSpan w:val="17"/>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Stock and Asset Purchase Agreement by and among Medtronic, Inc., Medtronic Xomed Instrumentation, SAS, and Integra LifeSciences</w:t>
              </w:r>
            </w:hyperlink>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3" w:lineRule="exact"/>
              <w:rPr>
                <w:rFonts w:ascii="Arial" w:cs="Arial" w:eastAsia="Arial" w:hAnsi="Arial"/>
                <w:sz w:val="17"/>
                <w:szCs w:val="17"/>
                <w:color w:val="0000FF"/>
                <w:w w:val="99"/>
              </w:rPr>
            </w:pPr>
            <w:hyperlink r:id="rId62">
              <w:r>
                <w:rPr>
                  <w:rFonts w:ascii="Arial" w:cs="Arial" w:eastAsia="Arial" w:hAnsi="Arial"/>
                  <w:sz w:val="17"/>
                  <w:szCs w:val="17"/>
                  <w:color w:val="0000FF"/>
                  <w:w w:val="99"/>
                </w:rPr>
                <w:t>Corporation, dated as of September 12, 2014 (Incorporated by reference to Exhibit 2.1 to the Company's Current Report on Form 8-K</w:t>
              </w:r>
            </w:hyperlink>
          </w:p>
        </w:tc>
        <w:tc>
          <w:tcPr>
            <w:tcW w:w="60" w:type="dxa"/>
            <w:vAlign w:val="bottom"/>
            <w:gridSpan w:val="3"/>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3" w:lineRule="exact"/>
              <w:rPr>
                <w:rFonts w:ascii="Arial" w:cs="Arial" w:eastAsia="Arial" w:hAnsi="Arial"/>
                <w:sz w:val="17"/>
                <w:szCs w:val="17"/>
                <w:color w:val="0000FF"/>
              </w:rPr>
            </w:pPr>
            <w:hyperlink r:id="rId62">
              <w:r>
                <w:rPr>
                  <w:rFonts w:ascii="Arial" w:cs="Arial" w:eastAsia="Arial" w:hAnsi="Arial"/>
                  <w:sz w:val="17"/>
                  <w:szCs w:val="17"/>
                  <w:color w:val="0000FF"/>
                </w:rPr>
                <w:t>filed on October 27,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2.3</w:t>
            </w:r>
          </w:p>
        </w:tc>
        <w:tc>
          <w:tcPr>
            <w:tcW w:w="10020" w:type="dxa"/>
            <w:vAlign w:val="bottom"/>
            <w:gridSpan w:val="17"/>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Separation and Distribution Agreement between Integra LifeSciences Holdings Corporation and SeaSpine Holdings Corporation, dated as</w:t>
              </w:r>
            </w:hyperlink>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3" w:lineRule="exact"/>
              <w:rPr>
                <w:rFonts w:ascii="Arial" w:cs="Arial" w:eastAsia="Arial" w:hAnsi="Arial"/>
                <w:sz w:val="17"/>
                <w:szCs w:val="17"/>
                <w:color w:val="0000FF"/>
              </w:rPr>
            </w:pPr>
            <w:hyperlink r:id="rId63">
              <w:r>
                <w:rPr>
                  <w:rFonts w:ascii="Arial" w:cs="Arial" w:eastAsia="Arial" w:hAnsi="Arial"/>
                  <w:sz w:val="17"/>
                  <w:szCs w:val="17"/>
                  <w:color w:val="0000FF"/>
                </w:rPr>
                <w:t>of June 30, 2015 (Incorporated by reference to Exhibit 2.1 to the Company’s Current Report on Form 8-K filed on July 7, 2015)</w:t>
              </w:r>
            </w:hyperlink>
          </w:p>
        </w:tc>
        <w:tc>
          <w:tcPr>
            <w:tcW w:w="8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40" w:type="dxa"/>
            <w:vAlign w:val="bottom"/>
            <w:gridSpan w:val="5"/>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2.4</w:t>
            </w:r>
          </w:p>
        </w:tc>
        <w:tc>
          <w:tcPr>
            <w:tcW w:w="10020" w:type="dxa"/>
            <w:vAlign w:val="bottom"/>
            <w:gridSpan w:val="17"/>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Agreement and Plan of Merger by and among Integra LifeSciences Corporation, Patriot S1, Inc., TEI Biosciences Inc. and Dr. Yiannis</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10"/>
          </w:tcPr>
          <w:p>
            <w:pPr>
              <w:spacing w:after="0" w:line="153" w:lineRule="exact"/>
              <w:rPr>
                <w:rFonts w:ascii="Arial" w:cs="Arial" w:eastAsia="Arial" w:hAnsi="Arial"/>
                <w:sz w:val="17"/>
                <w:szCs w:val="17"/>
                <w:color w:val="0000FF"/>
                <w:w w:val="96"/>
              </w:rPr>
            </w:pPr>
            <w:hyperlink r:id="rId64">
              <w:r>
                <w:rPr>
                  <w:rFonts w:ascii="Arial" w:cs="Arial" w:eastAsia="Arial" w:hAnsi="Arial"/>
                  <w:sz w:val="17"/>
                  <w:szCs w:val="17"/>
                  <w:color w:val="0000FF"/>
                  <w:w w:val="96"/>
                </w:rPr>
                <w:t>Monovoukas, dated as of June 26, 2015 (Incorporated by reference to Exhibit 2.1 to the Company's Current Report on Form 8-K filed on</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r:id="rId64">
              <w:r>
                <w:rPr>
                  <w:rFonts w:ascii="Arial" w:cs="Arial" w:eastAsia="Arial" w:hAnsi="Arial"/>
                  <w:sz w:val="17"/>
                  <w:szCs w:val="17"/>
                  <w:color w:val="0000FF"/>
                </w:rPr>
                <w:t>July 20, 2015)</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8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2.5</w:t>
            </w:r>
          </w:p>
        </w:tc>
        <w:tc>
          <w:tcPr>
            <w:tcW w:w="10020" w:type="dxa"/>
            <w:vAlign w:val="bottom"/>
            <w:gridSpan w:val="17"/>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Agreement and Plan of Merger by and among Integra LifeSciences Corporation, Patriot S2, Inc., TEI Medical Inc. and Dr. Yiannis</w:t>
              </w:r>
            </w:hyperlink>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tcBorders>
            <w:gridSpan w:val="11"/>
          </w:tcPr>
          <w:p>
            <w:pPr>
              <w:spacing w:after="0" w:line="153" w:lineRule="exact"/>
              <w:rPr>
                <w:rFonts w:ascii="Arial" w:cs="Arial" w:eastAsia="Arial" w:hAnsi="Arial"/>
                <w:sz w:val="17"/>
                <w:szCs w:val="17"/>
                <w:color w:val="0000FF"/>
                <w:w w:val="96"/>
              </w:rPr>
            </w:pPr>
            <w:hyperlink r:id="rId65">
              <w:r>
                <w:rPr>
                  <w:rFonts w:ascii="Arial" w:cs="Arial" w:eastAsia="Arial" w:hAnsi="Arial"/>
                  <w:sz w:val="17"/>
                  <w:szCs w:val="17"/>
                  <w:color w:val="0000FF"/>
                  <w:w w:val="96"/>
                </w:rPr>
                <w:t>Monovoukas, dated as of June 26, 2015 (Incorporated by reference to Exhibit 2.2 to the Company's Current Report on Form 8-K filed on</w:t>
              </w:r>
            </w:hyperlink>
          </w:p>
        </w:tc>
        <w:tc>
          <w:tcPr>
            <w:tcW w:w="120" w:type="dxa"/>
            <w:vAlign w:val="bottom"/>
            <w:gridSpan w:val="6"/>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r:id="rId65">
              <w:r>
                <w:rPr>
                  <w:rFonts w:ascii="Arial" w:cs="Arial" w:eastAsia="Arial" w:hAnsi="Arial"/>
                  <w:sz w:val="17"/>
                  <w:szCs w:val="17"/>
                  <w:color w:val="0000FF"/>
                </w:rPr>
                <w:t>July 20, 2015)</w:t>
              </w:r>
            </w:hyperlink>
          </w:p>
        </w:tc>
        <w:tc>
          <w:tcPr>
            <w:tcW w:w="180" w:type="dxa"/>
            <w:vAlign w:val="bottom"/>
            <w:gridSpan w:val="9"/>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2.6</w:t>
            </w:r>
          </w:p>
        </w:tc>
        <w:tc>
          <w:tcPr>
            <w:tcW w:w="10120" w:type="dxa"/>
            <w:vAlign w:val="bottom"/>
            <w:gridSpan w:val="34"/>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Agreement and Plan of Merger by and among Integra LifeSciences Holdings Corporation, Integra Derma, Inc., and Derma Sciences, Inc.</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3" w:lineRule="exact"/>
              <w:rPr>
                <w:rFonts w:ascii="Arial" w:cs="Arial" w:eastAsia="Arial" w:hAnsi="Arial"/>
                <w:sz w:val="17"/>
                <w:szCs w:val="17"/>
                <w:color w:val="0000FF"/>
                <w:w w:val="96"/>
              </w:rPr>
            </w:pPr>
            <w:hyperlink r:id="rId67">
              <w:r>
                <w:rPr>
                  <w:rFonts w:ascii="Arial" w:cs="Arial" w:eastAsia="Arial" w:hAnsi="Arial"/>
                  <w:sz w:val="17"/>
                  <w:szCs w:val="17"/>
                  <w:color w:val="0000FF"/>
                  <w:w w:val="96"/>
                </w:rPr>
                <w:t>dated as of January 10, 2017 (Incorporated by reference to Exhibit 2.1 to the Company’s Current Report on Form 8-K filed on January 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67">
              <w:r>
                <w:rPr>
                  <w:rFonts w:ascii="Arial" w:cs="Arial" w:eastAsia="Arial" w:hAnsi="Arial"/>
                  <w:sz w:val="17"/>
                  <w:szCs w:val="17"/>
                  <w:color w:val="0000FF"/>
                  <w:w w:val="91"/>
                </w:rPr>
                <w:t>2017)</w:t>
              </w:r>
            </w:hyperlink>
          </w:p>
        </w:tc>
        <w:tc>
          <w:tcPr>
            <w:tcW w:w="14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2.7</w:t>
            </w:r>
          </w:p>
        </w:tc>
        <w:tc>
          <w:tcPr>
            <w:tcW w:w="10120" w:type="dxa"/>
            <w:vAlign w:val="bottom"/>
            <w:gridSpan w:val="34"/>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Binding Offer Letter by and among Integra LifeSciences Holdings Corporation and DePuy Synthes, Inc., dated as of February 14, 2017</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6"/>
          </w:tcPr>
          <w:p>
            <w:pPr>
              <w:spacing w:after="0" w:line="153" w:lineRule="exact"/>
              <w:rPr>
                <w:rFonts w:ascii="Arial" w:cs="Arial" w:eastAsia="Arial" w:hAnsi="Arial"/>
                <w:sz w:val="17"/>
                <w:szCs w:val="17"/>
                <w:color w:val="0000FF"/>
                <w:w w:val="95"/>
              </w:rPr>
            </w:pPr>
            <w:hyperlink r:id="rId68">
              <w:r>
                <w:rPr>
                  <w:rFonts w:ascii="Arial" w:cs="Arial" w:eastAsia="Arial" w:hAnsi="Arial"/>
                  <w:sz w:val="17"/>
                  <w:szCs w:val="17"/>
                  <w:color w:val="0000FF"/>
                  <w:w w:val="95"/>
                </w:rPr>
                <w:t>(Incorporated by reference to Exhibit 2.1 to the Company’s Current Report on Form 8-K filed on February 15, 2017</w:t>
              </w:r>
            </w:hyperlink>
          </w:p>
        </w:tc>
        <w:tc>
          <w:tcPr>
            <w:tcW w:w="16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2.8(a)</w:t>
            </w:r>
          </w:p>
        </w:tc>
        <w:tc>
          <w:tcPr>
            <w:tcW w:w="10120" w:type="dxa"/>
            <w:vAlign w:val="bottom"/>
            <w:gridSpan w:val="34"/>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Asset Purchase Agreement accepted and countersigned by DePuy Synthes, dated May 11, 2017 (Incorporated by reference to Exhibit 2.1</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5"/>
              </w:rPr>
            </w:pPr>
            <w:hyperlink r:id="rId69">
              <w:r>
                <w:rPr>
                  <w:rFonts w:ascii="Arial" w:cs="Arial" w:eastAsia="Arial" w:hAnsi="Arial"/>
                  <w:sz w:val="17"/>
                  <w:szCs w:val="17"/>
                  <w:color w:val="0000FF"/>
                  <w:w w:val="95"/>
                </w:rPr>
                <w:t>to the Company’s Current Report on Form 8-K filed on May 15, 2017)</w:t>
              </w:r>
            </w:hyperlink>
          </w:p>
        </w:tc>
        <w:tc>
          <w:tcPr>
            <w:tcW w:w="48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340" w:type="dxa"/>
            <w:vAlign w:val="bottom"/>
          </w:tcPr>
          <w:p>
            <w:pPr>
              <w:spacing w:after="0"/>
              <w:rPr>
                <w:sz w:val="20"/>
                <w:szCs w:val="20"/>
                <w:color w:val="auto"/>
              </w:rPr>
            </w:pPr>
            <w:r>
              <w:rPr>
                <w:rFonts w:ascii="Arial" w:cs="Arial" w:eastAsia="Arial" w:hAnsi="Arial"/>
                <w:sz w:val="18"/>
                <w:szCs w:val="18"/>
                <w:color w:val="auto"/>
              </w:rPr>
              <w:t>2.8(b)</w:t>
            </w:r>
          </w:p>
        </w:tc>
        <w:tc>
          <w:tcPr>
            <w:tcW w:w="10120" w:type="dxa"/>
            <w:vAlign w:val="bottom"/>
            <w:gridSpan w:val="34"/>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Asset Purchase Agreement, dated September 8, 2017, between the Company and certain of its subsidiaries and Natus Medical</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8"/>
          </w:tcPr>
          <w:p>
            <w:pPr>
              <w:spacing w:after="0" w:line="153" w:lineRule="exact"/>
              <w:rPr>
                <w:rFonts w:ascii="Arial" w:cs="Arial" w:eastAsia="Arial" w:hAnsi="Arial"/>
                <w:sz w:val="17"/>
                <w:szCs w:val="17"/>
                <w:color w:val="0000FF"/>
                <w:w w:val="95"/>
              </w:rPr>
            </w:pPr>
            <w:hyperlink r:id="rId70">
              <w:r>
                <w:rPr>
                  <w:rFonts w:ascii="Arial" w:cs="Arial" w:eastAsia="Arial" w:hAnsi="Arial"/>
                  <w:sz w:val="17"/>
                  <w:szCs w:val="17"/>
                  <w:color w:val="0000FF"/>
                  <w:w w:val="95"/>
                </w:rPr>
                <w:t>Incorporated (Incorporated by reference to Exhibit 2.1 to the Company’s Quarterly Report on Form 10-Q filed on October 26, 2017)</w:t>
              </w:r>
            </w:hyperlink>
          </w:p>
        </w:tc>
        <w:tc>
          <w:tcPr>
            <w:tcW w:w="44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3.1(a)</w:t>
            </w:r>
          </w:p>
        </w:tc>
        <w:tc>
          <w:tcPr>
            <w:tcW w:w="10120" w:type="dxa"/>
            <w:vAlign w:val="bottom"/>
            <w:gridSpan w:val="34"/>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Amended and Restated Certificate of Incorporation of the Company dated February 16, 1993 (Incorporated by reference to Exhibit 3.1(a)</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71">
              <w:r>
                <w:rPr>
                  <w:rFonts w:ascii="Arial" w:cs="Arial" w:eastAsia="Arial" w:hAnsi="Arial"/>
                  <w:sz w:val="17"/>
                  <w:szCs w:val="17"/>
                  <w:color w:val="0000FF"/>
                </w:rPr>
                <w:t>to the Company’s Annual Report on Form 10-K for the year ended December 31,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3.1(b)</w:t>
            </w:r>
          </w:p>
        </w:tc>
        <w:tc>
          <w:tcPr>
            <w:tcW w:w="10120" w:type="dxa"/>
            <w:vAlign w:val="bottom"/>
            <w:gridSpan w:val="34"/>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Certificate of Amendment to Amended and Restated Certificate of Incorporation of the Company dated May 22, 1998 (Incorporated by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4"/>
              </w:rPr>
            </w:pPr>
            <w:hyperlink r:id="rId72">
              <w:r>
                <w:rPr>
                  <w:rFonts w:ascii="Arial" w:cs="Arial" w:eastAsia="Arial" w:hAnsi="Arial"/>
                  <w:sz w:val="17"/>
                  <w:szCs w:val="17"/>
                  <w:color w:val="0000FF"/>
                  <w:w w:val="94"/>
                </w:rPr>
                <w:t>reference to Exhibit 3.1(b) to the Company’s Annual Report on Form 10-K for the year ended December 31, 1998)</w:t>
              </w:r>
            </w:hyperlink>
          </w:p>
        </w:tc>
        <w:tc>
          <w:tcPr>
            <w:tcW w:w="19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3.1(c)</w:t>
            </w:r>
          </w:p>
        </w:tc>
        <w:tc>
          <w:tcPr>
            <w:tcW w:w="10120" w:type="dxa"/>
            <w:vAlign w:val="bottom"/>
            <w:gridSpan w:val="34"/>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Certificate of Amendment to Amended and Restated Certificate of Incorporation of the Company dated May 17, 1999 (Incorporated by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w w:val="94"/>
              </w:rPr>
            </w:pPr>
            <w:hyperlink r:id="rId73">
              <w:r>
                <w:rPr>
                  <w:rFonts w:ascii="Arial" w:cs="Arial" w:eastAsia="Arial" w:hAnsi="Arial"/>
                  <w:sz w:val="17"/>
                  <w:szCs w:val="17"/>
                  <w:color w:val="0000FF"/>
                  <w:w w:val="94"/>
                </w:rPr>
                <w:t>reference to Exhibit 3.1(c) to the Company’s Annual Report on Form 10-K for the year ended December 31, 2004)</w:t>
              </w:r>
            </w:hyperlink>
          </w:p>
        </w:tc>
        <w:tc>
          <w:tcPr>
            <w:tcW w:w="19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3.1(d)</w:t>
            </w:r>
          </w:p>
        </w:tc>
        <w:tc>
          <w:tcPr>
            <w:tcW w:w="10120" w:type="dxa"/>
            <w:vAlign w:val="bottom"/>
            <w:gridSpan w:val="34"/>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Certificate of Amendment to Amended and Restated Certificate of Incorporation of the Company dated December 21, 2016 (Incorporated</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74">
              <w:r>
                <w:rPr>
                  <w:rFonts w:ascii="Arial" w:cs="Arial" w:eastAsia="Arial" w:hAnsi="Arial"/>
                  <w:sz w:val="17"/>
                  <w:szCs w:val="17"/>
                  <w:color w:val="0000FF"/>
                  <w:w w:val="95"/>
                </w:rPr>
                <w:t>by reference to Exhibit 3.1 to the Company’s Current Report on Form 8-K filed on December 22, 2016)</w:t>
              </w:r>
            </w:hyperlink>
          </w:p>
        </w:tc>
        <w:tc>
          <w:tcPr>
            <w:tcW w:w="26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3.2(a)</w:t>
            </w:r>
          </w:p>
        </w:tc>
        <w:tc>
          <w:tcPr>
            <w:tcW w:w="10120" w:type="dxa"/>
            <w:vAlign w:val="bottom"/>
            <w:gridSpan w:val="34"/>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Amended and Restated Bylaws of the Company, effective as of May 17, 2012 (Incorporated by reference to Exhibit 3.2 to the Company’s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7"/>
              </w:rPr>
            </w:pPr>
            <w:hyperlink r:id="rId75">
              <w:r>
                <w:rPr>
                  <w:rFonts w:ascii="Arial" w:cs="Arial" w:eastAsia="Arial" w:hAnsi="Arial"/>
                  <w:sz w:val="17"/>
                  <w:szCs w:val="17"/>
                  <w:color w:val="0000FF"/>
                  <w:w w:val="97"/>
                </w:rPr>
                <w:t>Current Report on Form 8-K filed on April 13, 2012)</w:t>
              </w:r>
            </w:hyperlink>
          </w:p>
        </w:tc>
        <w:tc>
          <w:tcPr>
            <w:tcW w:w="624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3.2(b)</w:t>
            </w:r>
          </w:p>
        </w:tc>
        <w:tc>
          <w:tcPr>
            <w:tcW w:w="10120" w:type="dxa"/>
            <w:vAlign w:val="bottom"/>
            <w:gridSpan w:val="34"/>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Second Amended and Restated Bylaws of Integra LifeSciences Holdings Corporation, effective as of December 11, 2018 (Incorporated by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5"/>
              </w:rPr>
            </w:pPr>
            <w:hyperlink r:id="rId76">
              <w:r>
                <w:rPr>
                  <w:rFonts w:ascii="Arial" w:cs="Arial" w:eastAsia="Arial" w:hAnsi="Arial"/>
                  <w:sz w:val="17"/>
                  <w:szCs w:val="17"/>
                  <w:color w:val="0000FF"/>
                  <w:w w:val="95"/>
                </w:rPr>
                <w:t>reference to Exhibit 3.2 to the Company’s Current Report on Form 8-k filed on December 12, 2018)</w:t>
              </w:r>
            </w:hyperlink>
          </w:p>
        </w:tc>
        <w:tc>
          <w:tcPr>
            <w:tcW w:w="29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gridSpan w:val="34"/>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Indenture, dated as of February 7, 2020, by and between Integra LifeSciences Holdings Corporation and Citibank, N.A., as trustee</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3" w:lineRule="exact"/>
              <w:rPr>
                <w:rFonts w:ascii="Arial" w:cs="Arial" w:eastAsia="Arial" w:hAnsi="Arial"/>
                <w:sz w:val="17"/>
                <w:szCs w:val="17"/>
                <w:color w:val="0000FF"/>
                <w:w w:val="96"/>
              </w:rPr>
            </w:pPr>
            <w:hyperlink r:id="rId77">
              <w:r>
                <w:rPr>
                  <w:rFonts w:ascii="Arial" w:cs="Arial" w:eastAsia="Arial" w:hAnsi="Arial"/>
                  <w:sz w:val="17"/>
                  <w:szCs w:val="17"/>
                  <w:color w:val="0000FF"/>
                  <w:w w:val="96"/>
                </w:rPr>
                <w:t>(including Form of 0.50% Convertible Senior Notes due 2025) (Incorporated by reference to Exhibit 4.1 to the Company’s Current Report</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77">
              <w:r>
                <w:rPr>
                  <w:rFonts w:ascii="Arial" w:cs="Arial" w:eastAsia="Arial" w:hAnsi="Arial"/>
                  <w:sz w:val="17"/>
                  <w:szCs w:val="17"/>
                  <w:color w:val="0000FF"/>
                </w:rPr>
                <w:t>on Form 8-K filed on February 7, 2020).</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8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vMerge w:val="continue"/>
          </w:tcPr>
          <w:p>
            <w:pPr>
              <w:spacing w:after="0"/>
              <w:rPr>
                <w:sz w:val="24"/>
                <w:szCs w:val="24"/>
                <w:color w:val="auto"/>
              </w:rPr>
            </w:pPr>
          </w:p>
        </w:tc>
        <w:tc>
          <w:tcPr>
            <w:tcW w:w="9840" w:type="dxa"/>
            <w:vAlign w:val="bottom"/>
            <w:tcBorders>
              <w:bottom w:val="single" w:sz="8" w:color="0000FF"/>
            </w:tcBorders>
            <w:gridSpan w:val="20"/>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First Supplemental Indenture, by and between Integra LifeSciences Holdings Corporation and Citibank, N.A., as trustee (Incorporated by</w:t>
              </w:r>
            </w:hyperlink>
          </w:p>
        </w:tc>
        <w:tc>
          <w:tcPr>
            <w:tcW w:w="2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0120" w:type="dxa"/>
            <w:vAlign w:val="bottom"/>
            <w:gridSpan w:val="34"/>
          </w:tcPr>
          <w:p>
            <w:pPr>
              <w:spacing w:after="0" w:line="179" w:lineRule="exact"/>
              <w:rPr>
                <w:rFonts w:ascii="Arial" w:cs="Arial" w:eastAsia="Arial" w:hAnsi="Arial"/>
                <w:sz w:val="18"/>
                <w:szCs w:val="18"/>
                <w:color w:val="0000FF"/>
              </w:rPr>
            </w:pPr>
            <w:hyperlink r:id="rId78">
              <w:r>
                <w:rPr>
                  <w:rFonts w:ascii="Arial" w:cs="Arial" w:eastAsia="Arial" w:hAnsi="Arial"/>
                  <w:sz w:val="18"/>
                  <w:szCs w:val="18"/>
                  <w:color w:val="0000FF"/>
                </w:rPr>
                <w:t>reference to Exhibit 4.1 to the Company’s Current Report on Form 8-K filed on December 9, 2020)</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4.3</w:t>
            </w:r>
          </w:p>
        </w:tc>
        <w:tc>
          <w:tcPr>
            <w:tcW w:w="10120" w:type="dxa"/>
            <w:vAlign w:val="bottom"/>
            <w:tcBorders>
              <w:bottom w:val="single" w:sz="8" w:color="0000FF"/>
            </w:tcBorders>
            <w:gridSpan w:val="34"/>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Integra LifeSciences Deferred Compensation Plan, effective as of May 16, 2019 (Incorporated by reference to Exhibit 4.13 to the</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120" w:type="dxa"/>
            <w:vAlign w:val="bottom"/>
            <w:gridSpan w:val="34"/>
          </w:tcPr>
          <w:p>
            <w:pPr>
              <w:spacing w:after="0" w:line="153" w:lineRule="exact"/>
              <w:rPr>
                <w:rFonts w:ascii="Arial" w:cs="Arial" w:eastAsia="Arial" w:hAnsi="Arial"/>
                <w:sz w:val="17"/>
                <w:szCs w:val="17"/>
                <w:color w:val="0000FF"/>
              </w:rPr>
            </w:pPr>
            <w:hyperlink r:id="rId79">
              <w:r>
                <w:rPr>
                  <w:rFonts w:ascii="Arial" w:cs="Arial" w:eastAsia="Arial" w:hAnsi="Arial"/>
                  <w:sz w:val="17"/>
                  <w:szCs w:val="17"/>
                  <w:color w:val="0000FF"/>
                </w:rPr>
                <w:t>Company's Current Form S-8 Registration Statement filed on May 23, 2019)</w:t>
              </w:r>
            </w:hyperlink>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4.4</w:t>
            </w:r>
          </w:p>
        </w:tc>
        <w:tc>
          <w:tcPr>
            <w:tcW w:w="5440" w:type="dxa"/>
            <w:vAlign w:val="bottom"/>
            <w:tcBorders>
              <w:top w:val="single" w:sz="8" w:color="0000FF"/>
            </w:tcBorders>
            <w:gridSpan w:val="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Description of Securities+</w:t>
              </w:r>
            </w:hyperlink>
          </w:p>
        </w:tc>
        <w:tc>
          <w:tcPr>
            <w:tcW w:w="468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340" w:type="dxa"/>
            <w:vAlign w:val="bottom"/>
          </w:tcPr>
          <w:p>
            <w:pPr>
              <w:spacing w:after="0"/>
              <w:rPr>
                <w:sz w:val="20"/>
                <w:szCs w:val="20"/>
                <w:color w:val="auto"/>
              </w:rPr>
            </w:pPr>
            <w:r>
              <w:rPr>
                <w:rFonts w:ascii="Arial" w:cs="Arial" w:eastAsia="Arial" w:hAnsi="Arial"/>
                <w:sz w:val="18"/>
                <w:szCs w:val="18"/>
                <w:color w:val="auto"/>
              </w:rPr>
              <w:t>10.1(a)</w:t>
            </w:r>
          </w:p>
        </w:tc>
        <w:tc>
          <w:tcPr>
            <w:tcW w:w="10120" w:type="dxa"/>
            <w:vAlign w:val="bottom"/>
            <w:gridSpan w:val="34"/>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Lease Modification #2 entered into as of October 28, 2005, by and between Plainsboro Associates and Integra LifeSciences Corporation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80">
              <w:r>
                <w:rPr>
                  <w:rFonts w:ascii="Arial" w:cs="Arial" w:eastAsia="Arial" w:hAnsi="Arial"/>
                  <w:sz w:val="17"/>
                  <w:szCs w:val="17"/>
                  <w:color w:val="0000FF"/>
                </w:rPr>
                <w:t>(Incorporated by reference to Exhibit 10.1 to the Company’s Current Report on Form 8-K filed on November 2, 2005)</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320" w:type="dxa"/>
            <w:vAlign w:val="bottom"/>
            <w:gridSpan w:val="10"/>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10.1(b)</w:t>
            </w:r>
          </w:p>
        </w:tc>
        <w:tc>
          <w:tcPr>
            <w:tcW w:w="10120" w:type="dxa"/>
            <w:vAlign w:val="bottom"/>
            <w:gridSpan w:val="34"/>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Lease Modification #3 entered into as of March 2, 2011, by and between Plainsboro Associates and Integra LifeSciences Corporation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r:id="rId81">
              <w:r>
                <w:rPr>
                  <w:rFonts w:ascii="Arial" w:cs="Arial" w:eastAsia="Arial" w:hAnsi="Arial"/>
                  <w:sz w:val="17"/>
                  <w:szCs w:val="17"/>
                  <w:color w:val="0000FF"/>
                </w:rPr>
                <w:t>(Incorporated by reference to Exhibit 10.1 to the Company’s Current Report on Form 8-K filed on March 3, 2011)</w:t>
              </w:r>
            </w:hyperlink>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10.1(c)</w:t>
            </w:r>
          </w:p>
        </w:tc>
        <w:tc>
          <w:tcPr>
            <w:tcW w:w="7320" w:type="dxa"/>
            <w:vAlign w:val="bottom"/>
            <w:gridSpan w:val="10"/>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40" w:type="dxa"/>
            <w:vAlign w:val="bottom"/>
            <w:vMerge w:val="continue"/>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Lease Modification #4 entered into as of April 20, 2017, by and between Plainsboro Associates and Integra LifeSciences Corporation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6"/>
              </w:rPr>
            </w:pPr>
            <w:hyperlink r:id="rId82">
              <w:r>
                <w:rPr>
                  <w:rFonts w:ascii="Arial" w:cs="Arial" w:eastAsia="Arial" w:hAnsi="Arial"/>
                  <w:sz w:val="17"/>
                  <w:szCs w:val="17"/>
                  <w:color w:val="0000FF"/>
                  <w:w w:val="96"/>
                </w:rPr>
                <w:t>(Incorporated by reference to Exhibit 10.1 to the Company’s Current Report on Form 8-K filed on April 25, 2017)</w:t>
              </w:r>
            </w:hyperlink>
          </w:p>
        </w:tc>
        <w:tc>
          <w:tcPr>
            <w:tcW w:w="20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340" w:type="dxa"/>
            <w:vAlign w:val="bottom"/>
          </w:tcPr>
          <w:p>
            <w:pPr>
              <w:spacing w:after="0"/>
              <w:rPr>
                <w:sz w:val="20"/>
                <w:szCs w:val="20"/>
                <w:color w:val="auto"/>
              </w:rPr>
            </w:pPr>
            <w:r>
              <w:rPr>
                <w:rFonts w:ascii="Arial" w:cs="Arial" w:eastAsia="Arial" w:hAnsi="Arial"/>
                <w:sz w:val="18"/>
                <w:szCs w:val="18"/>
                <w:color w:val="auto"/>
              </w:rPr>
              <w:t>10.2(a)</w:t>
            </w:r>
          </w:p>
        </w:tc>
        <w:tc>
          <w:tcPr>
            <w:tcW w:w="10120" w:type="dxa"/>
            <w:vAlign w:val="bottom"/>
            <w:gridSpan w:val="34"/>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Form of Indemnification Agreement for Non-Employee Directors and Officers (effective prior to February 15, 2019) (Incorporated by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83">
              <w:r>
                <w:rPr>
                  <w:rFonts w:ascii="Arial" w:cs="Arial" w:eastAsia="Arial" w:hAnsi="Arial"/>
                  <w:sz w:val="17"/>
                  <w:szCs w:val="17"/>
                  <w:color w:val="0000FF"/>
                  <w:w w:val="95"/>
                </w:rPr>
                <w:t>reference to Exhibit 10.1 to the Company’s Current Report on Form 8-K filed on December 24, 2008)*</w:t>
              </w:r>
            </w:hyperlink>
          </w:p>
        </w:tc>
        <w:tc>
          <w:tcPr>
            <w:tcW w:w="2580" w:type="dxa"/>
            <w:vAlign w:val="bottom"/>
            <w:tcBorders>
              <w:top w:val="single" w:sz="8" w:color="0000FF"/>
            </w:tcBorders>
            <w:gridSpan w:val="13"/>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10.2(b)</w:t>
            </w:r>
          </w:p>
        </w:tc>
        <w:tc>
          <w:tcPr>
            <w:tcW w:w="9980" w:type="dxa"/>
            <w:vAlign w:val="bottom"/>
            <w:gridSpan w:val="18"/>
          </w:tcPr>
          <w:p>
            <w:pPr>
              <w:spacing w:after="0"/>
              <w:rPr>
                <w:rFonts w:ascii="Arial" w:cs="Arial" w:eastAsia="Arial" w:hAnsi="Arial"/>
                <w:sz w:val="18"/>
                <w:szCs w:val="18"/>
                <w:color w:val="0000FF"/>
              </w:rPr>
            </w:pPr>
            <w:hyperlink r:id="rId85">
              <w:r>
                <w:rPr>
                  <w:rFonts w:ascii="Arial" w:cs="Arial" w:eastAsia="Arial" w:hAnsi="Arial"/>
                  <w:sz w:val="18"/>
                  <w:szCs w:val="18"/>
                  <w:color w:val="0000FF"/>
                </w:rPr>
                <w:t>Form of Indemnification Agreement for Non-Employee Director and Officers effective February 15, 2019. *</w:t>
              </w:r>
            </w:hyperlink>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w:t>
            </w:r>
          </w:p>
        </w:tc>
        <w:tc>
          <w:tcPr>
            <w:tcW w:w="9980" w:type="dxa"/>
            <w:vAlign w:val="bottom"/>
            <w:gridSpan w:val="18"/>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1996 Incentive Stock Option and Non-Qualified Stock Option Plan (as amended through December 27, 1997) (Incorporated by reference</w:t>
              </w:r>
            </w:hyperlink>
          </w:p>
        </w:tc>
      </w:tr>
      <w:tr>
        <w:trPr>
          <w:trHeight w:val="153"/>
        </w:trPr>
        <w:tc>
          <w:tcPr>
            <w:tcW w:w="134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6"/>
              </w:rPr>
            </w:pPr>
            <w:hyperlink r:id="rId86">
              <w:r>
                <w:rPr>
                  <w:rFonts w:ascii="Arial" w:cs="Arial" w:eastAsia="Arial" w:hAnsi="Arial"/>
                  <w:sz w:val="17"/>
                  <w:szCs w:val="17"/>
                  <w:color w:val="0000FF"/>
                  <w:w w:val="96"/>
                </w:rPr>
                <w:t>to Exhibit 10.4 to the Company’s Current Report on Form 8-K filed on February 3, 1998)*</w:t>
              </w:r>
            </w:hyperlink>
          </w:p>
        </w:tc>
        <w:tc>
          <w:tcPr>
            <w:tcW w:w="35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8"/>
          </w:tcPr>
          <w:p>
            <w:pPr>
              <w:spacing w:after="0"/>
              <w:rPr>
                <w:rFonts w:ascii="Arial" w:cs="Arial" w:eastAsia="Arial" w:hAnsi="Arial"/>
                <w:sz w:val="18"/>
                <w:szCs w:val="18"/>
                <w:color w:val="0000FF"/>
                <w:w w:val="97"/>
              </w:rPr>
            </w:pPr>
            <w:hyperlink r:id="rId87">
              <w:r>
                <w:rPr>
                  <w:rFonts w:ascii="Arial" w:cs="Arial" w:eastAsia="Arial" w:hAnsi="Arial"/>
                  <w:sz w:val="18"/>
                  <w:szCs w:val="18"/>
                  <w:color w:val="0000FF"/>
                  <w:w w:val="97"/>
                </w:rPr>
                <w:t>1998 Stock Option Plan (amended and restated as of July 26, 2005) (Incorporated by reference to Exhibit 10.3 to the Company’s</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87">
              <w:r>
                <w:rPr>
                  <w:rFonts w:ascii="Arial" w:cs="Arial" w:eastAsia="Arial" w:hAnsi="Arial"/>
                  <w:sz w:val="17"/>
                  <w:szCs w:val="17"/>
                  <w:color w:val="0000FF"/>
                </w:rPr>
                <w:t>Quarterly Report on Form 10-Q for the quarter ended September 30,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gridSpan w:val="18"/>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1999 Stock Option Plan (amended and restated as of July 26, 2005) (Incorporated by reference to Exhibit 10.4 to the Company’s</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88">
              <w:r>
                <w:rPr>
                  <w:rFonts w:ascii="Arial" w:cs="Arial" w:eastAsia="Arial" w:hAnsi="Arial"/>
                  <w:sz w:val="17"/>
                  <w:szCs w:val="17"/>
                  <w:color w:val="0000FF"/>
                </w:rPr>
                <w:t>Quarterly Report on Form 10-Q for the quarter ended September 30,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10.6(a)</w:t>
            </w:r>
          </w:p>
        </w:tc>
        <w:tc>
          <w:tcPr>
            <w:tcW w:w="9980" w:type="dxa"/>
            <w:vAlign w:val="bottom"/>
            <w:gridSpan w:val="18"/>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Employee Stock Purchase Plan (as amended on May 17, 2004) (Incorporated by reference to Exhibit 4.1 to the Company’s Registration</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3" w:lineRule="exact"/>
              <w:rPr>
                <w:rFonts w:ascii="Arial" w:cs="Arial" w:eastAsia="Arial" w:hAnsi="Arial"/>
                <w:sz w:val="17"/>
                <w:szCs w:val="17"/>
                <w:color w:val="0000FF"/>
              </w:rPr>
            </w:pPr>
            <w:hyperlink r:id="rId89">
              <w:r>
                <w:rPr>
                  <w:rFonts w:ascii="Arial" w:cs="Arial" w:eastAsia="Arial" w:hAnsi="Arial"/>
                  <w:sz w:val="17"/>
                  <w:szCs w:val="17"/>
                  <w:color w:val="0000FF"/>
                </w:rPr>
                <w:t>Statement on Form S-8 (Registration No. 333-127488) filed on August 12,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10.6(b)</w:t>
            </w:r>
          </w:p>
        </w:tc>
        <w:tc>
          <w:tcPr>
            <w:tcW w:w="9980" w:type="dxa"/>
            <w:vAlign w:val="bottom"/>
            <w:gridSpan w:val="18"/>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First Amendment to Employee Stock Purchase Plan, dated October 26, 2005 (Incorporated by reference to Exhibit 10.1 to the Company’s</w:t>
              </w:r>
            </w:hyperlink>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90">
              <w:r>
                <w:rPr>
                  <w:rFonts w:ascii="Arial" w:cs="Arial" w:eastAsia="Arial" w:hAnsi="Arial"/>
                  <w:sz w:val="17"/>
                  <w:szCs w:val="17"/>
                  <w:color w:val="0000FF"/>
                </w:rPr>
                <w:t>Current Report on Form 8-K filed on November 1, 2005)*</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10.7(a)</w:t>
            </w:r>
          </w:p>
        </w:tc>
        <w:tc>
          <w:tcPr>
            <w:tcW w:w="9980" w:type="dxa"/>
            <w:vAlign w:val="bottom"/>
            <w:gridSpan w:val="18"/>
          </w:tcPr>
          <w:p>
            <w:pPr>
              <w:spacing w:after="0"/>
              <w:rPr>
                <w:rFonts w:ascii="Arial" w:cs="Arial" w:eastAsia="Arial" w:hAnsi="Arial"/>
                <w:sz w:val="18"/>
                <w:szCs w:val="18"/>
                <w:color w:val="0000FF"/>
                <w:w w:val="96"/>
              </w:rPr>
            </w:pPr>
            <w:hyperlink r:id="rId91">
              <w:r>
                <w:rPr>
                  <w:rFonts w:ascii="Arial" w:cs="Arial" w:eastAsia="Arial" w:hAnsi="Arial"/>
                  <w:sz w:val="18"/>
                  <w:szCs w:val="18"/>
                  <w:color w:val="0000FF"/>
                  <w:w w:val="96"/>
                </w:rPr>
                <w:t>Second Amended and Restated 2003 Equity Incentive Plan effective May 19, 2010 (Incorporated by reference to Exhibit 10 to the</w:t>
              </w:r>
            </w:hyperlink>
          </w:p>
        </w:tc>
      </w:tr>
      <w:tr>
        <w:trPr>
          <w:trHeight w:val="153"/>
        </w:trPr>
        <w:tc>
          <w:tcPr>
            <w:tcW w:w="13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6"/>
              </w:rPr>
            </w:pPr>
            <w:hyperlink r:id="rId91">
              <w:r>
                <w:rPr>
                  <w:rFonts w:ascii="Arial" w:cs="Arial" w:eastAsia="Arial" w:hAnsi="Arial"/>
                  <w:sz w:val="17"/>
                  <w:szCs w:val="17"/>
                  <w:color w:val="0000FF"/>
                  <w:w w:val="96"/>
                </w:rPr>
                <w:t>Company’s Current Report on Form 8-K filed May 21, 2010)*</w:t>
              </w:r>
            </w:hyperlink>
          </w:p>
        </w:tc>
        <w:tc>
          <w:tcPr>
            <w:tcW w:w="54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10.7(b)</w:t>
            </w:r>
          </w:p>
        </w:tc>
        <w:tc>
          <w:tcPr>
            <w:tcW w:w="9980" w:type="dxa"/>
            <w:vAlign w:val="bottom"/>
            <w:gridSpan w:val="18"/>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Amendment to the Second Amended and Restated 2003 Equity Incentive Plan effective May 17, 2012 (Incorporated by reference to</w:t>
              </w:r>
            </w:hyperlink>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3" w:lineRule="exact"/>
              <w:rPr>
                <w:rFonts w:ascii="Arial" w:cs="Arial" w:eastAsia="Arial" w:hAnsi="Arial"/>
                <w:sz w:val="17"/>
                <w:szCs w:val="17"/>
                <w:color w:val="0000FF"/>
              </w:rPr>
            </w:pPr>
            <w:hyperlink r:id="rId92">
              <w:r>
                <w:rPr>
                  <w:rFonts w:ascii="Arial" w:cs="Arial" w:eastAsia="Arial" w:hAnsi="Arial"/>
                  <w:sz w:val="17"/>
                  <w:szCs w:val="17"/>
                  <w:color w:val="0000FF"/>
                </w:rPr>
                <w:t>Exhibit 10.9 to the Company’s Quarterly Report on Form 10-Q for the quarter ended June 30, 2012)*</w:t>
              </w:r>
            </w:hyperlink>
          </w:p>
        </w:tc>
        <w:tc>
          <w:tcPr>
            <w:tcW w:w="8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10.7(c)</w:t>
            </w:r>
          </w:p>
        </w:tc>
        <w:tc>
          <w:tcPr>
            <w:tcW w:w="9980" w:type="dxa"/>
            <w:vAlign w:val="bottom"/>
            <w:gridSpan w:val="18"/>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Amendment to the Second Amended and Restated 2003 Equity Incentive Plan effective January 1, 2013 (Incorporated by reference to</w:t>
              </w:r>
            </w:hyperlink>
          </w:p>
        </w:tc>
      </w:tr>
      <w:tr>
        <w:trPr>
          <w:trHeight w:val="153"/>
        </w:trPr>
        <w:tc>
          <w:tcPr>
            <w:tcW w:w="134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5"/>
              </w:rPr>
            </w:pPr>
            <w:hyperlink r:id="rId93">
              <w:r>
                <w:rPr>
                  <w:rFonts w:ascii="Arial" w:cs="Arial" w:eastAsia="Arial" w:hAnsi="Arial"/>
                  <w:sz w:val="17"/>
                  <w:szCs w:val="17"/>
                  <w:color w:val="0000FF"/>
                  <w:w w:val="95"/>
                </w:rPr>
                <w:t>Exhibit 10.4 to the Company’s Quarterly Report on Form 10-Q for the quarter ended March 31, 2013)*</w:t>
              </w:r>
            </w:hyperlink>
          </w:p>
        </w:tc>
        <w:tc>
          <w:tcPr>
            <w:tcW w:w="25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10.7(d)</w:t>
            </w:r>
          </w:p>
        </w:tc>
        <w:tc>
          <w:tcPr>
            <w:tcW w:w="9980" w:type="dxa"/>
            <w:vAlign w:val="bottom"/>
            <w:gridSpan w:val="18"/>
          </w:tcPr>
          <w:p>
            <w:pPr>
              <w:spacing w:after="0"/>
              <w:rPr>
                <w:rFonts w:ascii="Arial" w:cs="Arial" w:eastAsia="Arial" w:hAnsi="Arial"/>
                <w:sz w:val="18"/>
                <w:szCs w:val="18"/>
                <w:color w:val="0000FF"/>
                <w:w w:val="97"/>
              </w:rPr>
            </w:pPr>
            <w:hyperlink r:id="rId94">
              <w:r>
                <w:rPr>
                  <w:rFonts w:ascii="Arial" w:cs="Arial" w:eastAsia="Arial" w:hAnsi="Arial"/>
                  <w:sz w:val="18"/>
                  <w:szCs w:val="18"/>
                  <w:color w:val="0000FF"/>
                  <w:w w:val="97"/>
                </w:rPr>
                <w:t>Third Amended and Restated 2003 Equity Incentive Plan effective May 22, 2015 (Incorporated by reference to Exhibit 10.1 to the</w:t>
              </w:r>
            </w:hyperlink>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3" w:lineRule="exact"/>
              <w:rPr>
                <w:rFonts w:ascii="Arial" w:cs="Arial" w:eastAsia="Arial" w:hAnsi="Arial"/>
                <w:sz w:val="17"/>
                <w:szCs w:val="17"/>
                <w:color w:val="0000FF"/>
              </w:rPr>
            </w:pPr>
            <w:hyperlink r:id="rId94">
              <w:r>
                <w:rPr>
                  <w:rFonts w:ascii="Arial" w:cs="Arial" w:eastAsia="Arial" w:hAnsi="Arial"/>
                  <w:sz w:val="17"/>
                  <w:szCs w:val="17"/>
                  <w:color w:val="0000FF"/>
                </w:rPr>
                <w:t>Company’s Current Report on Form 8-K filed on May 29, 2015)*</w:t>
              </w:r>
            </w:hyperlink>
          </w:p>
        </w:tc>
        <w:tc>
          <w:tcPr>
            <w:tcW w:w="140" w:type="dxa"/>
            <w:vAlign w:val="bottom"/>
            <w:gridSpan w:val="7"/>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0" w:lineRule="exact"/>
        <w:rPr>
          <w:sz w:val="20"/>
          <w:szCs w:val="20"/>
          <w:color w:val="auto"/>
        </w:rPr>
      </w:pPr>
    </w:p>
    <w:p>
      <w:pPr>
        <w:sectPr>
          <w:pgSz w:w="11900" w:h="16838" w:orient="portrait"/>
          <w:cols w:equalWidth="0" w:num="1">
            <w:col w:w="11160"/>
          </w:cols>
          <w:pgMar w:left="340" w:top="995" w:right="399" w:bottom="1440" w:gutter="0" w:footer="0" w:header="0"/>
        </w:sectPr>
      </w:pPr>
    </w:p>
    <w:p>
      <w:pPr>
        <w:spacing w:after="0"/>
        <w:rPr>
          <w:sz w:val="20"/>
          <w:szCs w:val="20"/>
          <w:color w:val="auto"/>
        </w:rPr>
      </w:pPr>
      <w:r>
        <w:rPr>
          <w:rFonts w:ascii="Arial" w:cs="Arial" w:eastAsia="Arial" w:hAnsi="Arial"/>
          <w:sz w:val="15"/>
          <w:szCs w:val="15"/>
          <w:color w:val="auto"/>
        </w:rPr>
        <w:t>10.7(e)</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10.7(f)</w:t>
      </w: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10.7(g)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29"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Fourth Amended and Restated 2003 Equity Incentive Plan, effective May 23, 2017 (Incorporated by reference to Exhibit 10.1 to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Company’s Current Report on Form 8-K filed on May 25, 2017)</w:t>
        </w:r>
      </w:hyperlink>
    </w:p>
    <w:p>
      <w:pPr>
        <w:spacing w:after="0" w:line="150" w:lineRule="exact"/>
        <w:rPr>
          <w:sz w:val="20"/>
          <w:szCs w:val="20"/>
          <w:color w:val="auto"/>
        </w:rPr>
      </w:pPr>
    </w:p>
    <w:p>
      <w:pPr>
        <w:jc w:val="both"/>
        <w:spacing w:after="0" w:line="311" w:lineRule="auto"/>
        <w:rPr>
          <w:rFonts w:ascii="Arial" w:cs="Arial" w:eastAsia="Arial" w:hAnsi="Arial"/>
          <w:sz w:val="15"/>
          <w:szCs w:val="15"/>
          <w:u w:val="single" w:color="auto"/>
          <w:color w:val="0000FF"/>
        </w:rPr>
      </w:pPr>
      <w:hyperlink r:id="rId96">
        <w:r>
          <w:rPr>
            <w:rFonts w:ascii="Arial" w:cs="Arial" w:eastAsia="Arial" w:hAnsi="Arial"/>
            <w:sz w:val="15"/>
            <w:szCs w:val="15"/>
            <w:u w:val="single" w:color="auto"/>
            <w:color w:val="0000FF"/>
          </w:rPr>
          <w:t>Amendment to the Integra LifeSciences Holdings Corporation Fourth Amended and Restated 2003 Equity Incentive Plan (Incorporated</w:t>
        </w:r>
      </w:hyperlink>
      <w:r>
        <w:rPr>
          <w:rFonts w:ascii="Arial" w:cs="Arial" w:eastAsia="Arial" w:hAnsi="Arial"/>
          <w:sz w:val="15"/>
          <w:szCs w:val="15"/>
          <w:u w:val="single" w:color="auto"/>
          <w:color w:val="0000FF"/>
        </w:rPr>
        <w:t xml:space="preserve"> </w:t>
      </w:r>
      <w:hyperlink r:id="rId96">
        <w:r>
          <w:rPr>
            <w:rFonts w:ascii="Arial" w:cs="Arial" w:eastAsia="Arial" w:hAnsi="Arial"/>
            <w:sz w:val="15"/>
            <w:szCs w:val="15"/>
            <w:u w:val="single" w:color="auto"/>
            <w:color w:val="0000FF"/>
          </w:rPr>
          <w:t>by reference to Exhibit 10.1 to the Company’s Quarterly Report on Form 10-Q for the quarter ended September 30, 2020)*</w:t>
        </w:r>
      </w:hyperlink>
    </w:p>
    <w:p>
      <w:pPr>
        <w:spacing w:after="0" w:line="58" w:lineRule="exact"/>
        <w:rPr>
          <w:sz w:val="20"/>
          <w:szCs w:val="20"/>
          <w:color w:val="auto"/>
        </w:rPr>
      </w:pPr>
    </w:p>
    <w:p>
      <w:pPr>
        <w:jc w:val="both"/>
        <w:spacing w:after="0" w:line="229"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Integra LifeSciences Holdings Corporation Fifth Amended and Restated 2003 Equity Incentive Plan (Incorporated by reference to Exhibit</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10.1 to the Company’s Current Report on Form 8-K filed on May 18, 2021)*</w:t>
        </w:r>
      </w:hyperlink>
    </w:p>
    <w:p>
      <w:pPr>
        <w:spacing w:after="0" w:line="136" w:lineRule="exact"/>
        <w:rPr>
          <w:sz w:val="20"/>
          <w:szCs w:val="20"/>
          <w:color w:val="auto"/>
        </w:rPr>
      </w:pPr>
    </w:p>
    <w:p>
      <w:pPr>
        <w:jc w:val="both"/>
        <w:spacing w:after="0" w:line="219"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Additional Call Option Transaction Confirmation, dated as of February 5, 2020, between Integra LifeSciences Holdings Corporation and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Morgan Stanley &amp; Co. International plc. (Incorporated by reference to Exhibit 10.11 of the Company’s Current Report on Form 8-K filed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on February 7, 2020)</w:t>
        </w:r>
      </w:hyperlink>
    </w:p>
    <w:p>
      <w:pPr>
        <w:spacing w:after="0" w:line="129" w:lineRule="exact"/>
        <w:rPr>
          <w:rFonts w:ascii="Arial" w:cs="Arial" w:eastAsia="Arial" w:hAnsi="Arial"/>
          <w:sz w:val="18"/>
          <w:szCs w:val="18"/>
          <w:u w:val="single" w:color="auto"/>
          <w:color w:val="0000FF"/>
        </w:rPr>
      </w:pPr>
    </w:p>
    <w:p>
      <w:pPr>
        <w:sectPr>
          <w:pgSz w:w="11900" w:h="16838" w:orient="portrait"/>
          <w:cols w:equalWidth="0" w:num="2">
            <w:col w:w="620" w:space="720"/>
            <w:col w:w="9820"/>
          </w:cols>
          <w:pgMar w:left="340" w:top="995" w:right="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10.9(a)</w:t>
            </w:r>
          </w:p>
        </w:tc>
        <w:tc>
          <w:tcPr>
            <w:tcW w:w="9960" w:type="dxa"/>
            <w:vAlign w:val="bottom"/>
            <w:gridSpan w:val="14"/>
          </w:tcPr>
          <w:p>
            <w:pPr>
              <w:spacing w:after="0"/>
              <w:rPr>
                <w:rFonts w:ascii="Arial" w:cs="Arial" w:eastAsia="Arial" w:hAnsi="Arial"/>
                <w:sz w:val="18"/>
                <w:szCs w:val="18"/>
                <w:color w:val="0000FF"/>
                <w:w w:val="96"/>
              </w:rPr>
            </w:pPr>
            <w:hyperlink r:id="rId99">
              <w:r>
                <w:rPr>
                  <w:rFonts w:ascii="Arial" w:cs="Arial" w:eastAsia="Arial" w:hAnsi="Arial"/>
                  <w:sz w:val="18"/>
                  <w:szCs w:val="18"/>
                  <w:color w:val="0000FF"/>
                  <w:w w:val="96"/>
                </w:rPr>
                <w:t>Letter Agreement dated June 7, 2012 between Stuart M. Essig and the Company (Incorporated by reference to Exhibit 10.1 to the</w:t>
              </w:r>
            </w:hyperlink>
          </w:p>
        </w:tc>
      </w:tr>
      <w:tr>
        <w:trPr>
          <w:trHeight w:val="153"/>
        </w:trPr>
        <w:tc>
          <w:tcPr>
            <w:tcW w:w="134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99">
              <w:r>
                <w:rPr>
                  <w:rFonts w:ascii="Arial" w:cs="Arial" w:eastAsia="Arial" w:hAnsi="Arial"/>
                  <w:sz w:val="17"/>
                  <w:szCs w:val="17"/>
                  <w:color w:val="0000FF"/>
                  <w:w w:val="95"/>
                </w:rPr>
                <w:t>Company’s Current Report on Form 8-K filed on June 7, 2012)*</w:t>
              </w:r>
            </w:hyperlink>
          </w:p>
        </w:tc>
        <w:tc>
          <w:tcPr>
            <w:tcW w:w="5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10.9(b)</w:t>
            </w:r>
          </w:p>
        </w:tc>
        <w:tc>
          <w:tcPr>
            <w:tcW w:w="9960" w:type="dxa"/>
            <w:vAlign w:val="bottom"/>
            <w:gridSpan w:val="14"/>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Indemnity letter agreement dated December 27, 1997 from the Company to Stuart M. Essig (Incorporated by reference to Exhibit 10.5 to</w:t>
              </w:r>
            </w:hyperlink>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86">
              <w:r>
                <w:rPr>
                  <w:rFonts w:ascii="Arial" w:cs="Arial" w:eastAsia="Arial" w:hAnsi="Arial"/>
                  <w:sz w:val="17"/>
                  <w:szCs w:val="17"/>
                  <w:color w:val="0000FF"/>
                </w:rPr>
                <w:t>the Company’s Current Report on Form 8-K filed on February 3, 1998)*</w:t>
              </w:r>
            </w:hyperlink>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9960" w:type="dxa"/>
            <w:vAlign w:val="bottom"/>
            <w:gridSpan w:val="14"/>
          </w:tcPr>
          <w:p>
            <w:pP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Registration Rights Provisions for Stuart M. Essig (Incorporated by reference to Exhibit B of Exhibit 10.1 to the Company’s Current</w:t>
              </w:r>
            </w:hyperlink>
          </w:p>
        </w:tc>
      </w:tr>
      <w:tr>
        <w:trPr>
          <w:trHeight w:val="153"/>
        </w:trPr>
        <w:tc>
          <w:tcPr>
            <w:tcW w:w="134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6"/>
              </w:rPr>
            </w:pPr>
            <w:hyperlink r:id="rId86">
              <w:r>
                <w:rPr>
                  <w:rFonts w:ascii="Arial" w:cs="Arial" w:eastAsia="Arial" w:hAnsi="Arial"/>
                  <w:sz w:val="17"/>
                  <w:szCs w:val="17"/>
                  <w:color w:val="0000FF"/>
                  <w:w w:val="96"/>
                </w:rPr>
                <w:t>Report on Form 8-K filed on February 3, 1998)*</w:t>
              </w:r>
            </w:hyperlink>
          </w:p>
        </w:tc>
        <w:tc>
          <w:tcPr>
            <w:tcW w:w="63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10.11(a)</w:t>
            </w:r>
          </w:p>
        </w:tc>
        <w:tc>
          <w:tcPr>
            <w:tcW w:w="9960" w:type="dxa"/>
            <w:vAlign w:val="bottom"/>
            <w:gridSpan w:val="14"/>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Registration Rights Provisions for Stuart M. Essig (Incorporated by reference to Exhibit 10.2 to the Company’s Current Report on Form</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3" w:lineRule="exact"/>
              <w:rPr>
                <w:rFonts w:ascii="Arial" w:cs="Arial" w:eastAsia="Arial" w:hAnsi="Arial"/>
                <w:sz w:val="17"/>
                <w:szCs w:val="17"/>
                <w:color w:val="0000FF"/>
              </w:rPr>
            </w:pPr>
            <w:hyperlink r:id="rId100">
              <w:r>
                <w:rPr>
                  <w:rFonts w:ascii="Arial" w:cs="Arial" w:eastAsia="Arial" w:hAnsi="Arial"/>
                  <w:sz w:val="17"/>
                  <w:szCs w:val="17"/>
                  <w:color w:val="0000FF"/>
                </w:rPr>
                <w:t>8-K filed on January 8, 2001)*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10.11(b)</w:t>
            </w:r>
          </w:p>
        </w:tc>
        <w:tc>
          <w:tcPr>
            <w:tcW w:w="9960" w:type="dxa"/>
            <w:vAlign w:val="bottom"/>
            <w:gridSpan w:val="14"/>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Registration Rights Provisions for Stuart M. Essig (Incorporated by reference to Exhibit B of Exhibit 10.1 to the Company’s Quarterly</w:t>
              </w:r>
            </w:hyperlink>
          </w:p>
        </w:tc>
      </w:tr>
      <w:tr>
        <w:trPr>
          <w:trHeight w:val="153"/>
        </w:trPr>
        <w:tc>
          <w:tcPr>
            <w:tcW w:w="13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3"/>
              </w:rPr>
            </w:pPr>
            <w:hyperlink r:id="rId101">
              <w:r>
                <w:rPr>
                  <w:rFonts w:ascii="Arial" w:cs="Arial" w:eastAsia="Arial" w:hAnsi="Arial"/>
                  <w:sz w:val="17"/>
                  <w:szCs w:val="17"/>
                  <w:color w:val="0000FF"/>
                  <w:w w:val="93"/>
                </w:rPr>
                <w:t>Report on Form 10-Q for the quarter ended September 30, 2004)*</w:t>
              </w:r>
            </w:hyperlink>
          </w:p>
        </w:tc>
        <w:tc>
          <w:tcPr>
            <w:tcW w:w="52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9960" w:type="dxa"/>
            <w:vAlign w:val="bottom"/>
            <w:gridSpan w:val="14"/>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Issuer Forward Repurchase Transaction Confirmation, dated as of February 5, 2020, between Integra LifeSciences Holdings Corporation</w:t>
              </w:r>
            </w:hyperlink>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tcBorders>
            <w:gridSpan w:val="11"/>
          </w:tcPr>
          <w:p>
            <w:pPr>
              <w:spacing w:after="0" w:line="153" w:lineRule="exact"/>
              <w:rPr>
                <w:rFonts w:ascii="Arial" w:cs="Arial" w:eastAsia="Arial" w:hAnsi="Arial"/>
                <w:sz w:val="17"/>
                <w:szCs w:val="17"/>
                <w:color w:val="0000FF"/>
              </w:rPr>
            </w:pPr>
            <w:hyperlink r:id="rId102">
              <w:r>
                <w:rPr>
                  <w:rFonts w:ascii="Arial" w:cs="Arial" w:eastAsia="Arial" w:hAnsi="Arial"/>
                  <w:sz w:val="17"/>
                  <w:szCs w:val="17"/>
                  <w:color w:val="0000FF"/>
                </w:rPr>
                <w:t>and JPMorgan Chase Bank, National Association, New York Branch. (Incorporated by reference to Exhibit 10.17 of the Company’s</w:t>
              </w:r>
            </w:hyperlink>
          </w:p>
        </w:tc>
        <w:tc>
          <w:tcPr>
            <w:tcW w:w="60" w:type="dxa"/>
            <w:vAlign w:val="bottom"/>
            <w:gridSpan w:val="3"/>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r:id="rId102">
              <w:r>
                <w:rPr>
                  <w:rFonts w:ascii="Arial" w:cs="Arial" w:eastAsia="Arial" w:hAnsi="Arial"/>
                  <w:sz w:val="17"/>
                  <w:szCs w:val="17"/>
                  <w:color w:val="0000FF"/>
                </w:rPr>
                <w:t>Current Report on Form 8-K filed on February 7, 2020)</w:t>
              </w:r>
            </w:hyperlink>
          </w:p>
        </w:tc>
        <w:tc>
          <w:tcPr>
            <w:tcW w:w="120" w:type="dxa"/>
            <w:vAlign w:val="bottom"/>
            <w:gridSpan w:val="6"/>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10.13(a)</w:t>
            </w:r>
          </w:p>
        </w:tc>
        <w:tc>
          <w:tcPr>
            <w:tcW w:w="10160" w:type="dxa"/>
            <w:vAlign w:val="bottom"/>
            <w:gridSpan w:val="32"/>
          </w:tcPr>
          <w:p>
            <w:pPr>
              <w:spacing w:after="0"/>
              <w:rPr>
                <w:rFonts w:ascii="Arial" w:cs="Arial" w:eastAsia="Arial" w:hAnsi="Arial"/>
                <w:sz w:val="18"/>
                <w:szCs w:val="18"/>
                <w:color w:val="0000FF"/>
                <w:w w:val="98"/>
              </w:rPr>
            </w:pPr>
            <w:hyperlink r:id="rId104">
              <w:r>
                <w:rPr>
                  <w:rFonts w:ascii="Arial" w:cs="Arial" w:eastAsia="Arial" w:hAnsi="Arial"/>
                  <w:sz w:val="18"/>
                  <w:szCs w:val="18"/>
                  <w:color w:val="0000FF"/>
                  <w:w w:val="98"/>
                </w:rPr>
                <w:t>Lease Contract, dated April 1, 2005, between the Puerto Rico Industrial Development Company and Integra CI, Inc. (executed on</w:t>
              </w:r>
            </w:hyperlink>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3"/>
          </w:tcPr>
          <w:p>
            <w:pPr>
              <w:spacing w:after="0" w:line="153" w:lineRule="exact"/>
              <w:rPr>
                <w:rFonts w:ascii="Arial" w:cs="Arial" w:eastAsia="Arial" w:hAnsi="Arial"/>
                <w:sz w:val="17"/>
                <w:szCs w:val="17"/>
                <w:color w:val="0000FF"/>
                <w:w w:val="97"/>
              </w:rPr>
            </w:pPr>
            <w:hyperlink r:id="rId104">
              <w:r>
                <w:rPr>
                  <w:rFonts w:ascii="Arial" w:cs="Arial" w:eastAsia="Arial" w:hAnsi="Arial"/>
                  <w:sz w:val="17"/>
                  <w:szCs w:val="17"/>
                  <w:color w:val="0000FF"/>
                  <w:w w:val="97"/>
                </w:rPr>
                <w:t>September 15, 2006) (Incorporated by reference to Exhibit 10.3 to the Company’s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04">
              <w:r>
                <w:rPr>
                  <w:rFonts w:ascii="Arial" w:cs="Arial" w:eastAsia="Arial" w:hAnsi="Arial"/>
                  <w:sz w:val="17"/>
                  <w:szCs w:val="17"/>
                  <w:color w:val="0000FF"/>
                </w:rPr>
                <w:t>September 30,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10.13(b)</w:t>
            </w:r>
          </w:p>
        </w:tc>
        <w:tc>
          <w:tcPr>
            <w:tcW w:w="10160" w:type="dxa"/>
            <w:vAlign w:val="bottom"/>
            <w:gridSpan w:val="32"/>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Amendment to Lease Contract dated as of November 2, 2011, between Integra CI, Inc. and Puerto Rico Industrial Development Company</w:t>
              </w:r>
            </w:hyperlink>
          </w:p>
        </w:tc>
      </w:tr>
      <w:tr>
        <w:trPr>
          <w:trHeight w:val="153"/>
        </w:trPr>
        <w:tc>
          <w:tcPr>
            <w:tcW w:w="134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05">
              <w:r>
                <w:rPr>
                  <w:rFonts w:ascii="Arial" w:cs="Arial" w:eastAsia="Arial" w:hAnsi="Arial"/>
                  <w:sz w:val="17"/>
                  <w:szCs w:val="17"/>
                  <w:color w:val="0000FF"/>
                  <w:w w:val="95"/>
                </w:rPr>
                <w:t>(Incorporated by reference to Exhibit 10.1 to the Company’s Current Report on Form 8-K filed on November 7, 2011)</w:t>
              </w:r>
            </w:hyperlink>
          </w:p>
        </w:tc>
        <w:tc>
          <w:tcPr>
            <w:tcW w:w="14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10.13(c)</w:t>
            </w:r>
          </w:p>
        </w:tc>
        <w:tc>
          <w:tcPr>
            <w:tcW w:w="10160" w:type="dxa"/>
            <w:vAlign w:val="bottom"/>
            <w:gridSpan w:val="32"/>
          </w:tcPr>
          <w:p>
            <w:pPr>
              <w:spacing w:after="0"/>
              <w:rPr>
                <w:rFonts w:ascii="Arial" w:cs="Arial" w:eastAsia="Arial" w:hAnsi="Arial"/>
                <w:sz w:val="18"/>
                <w:szCs w:val="18"/>
                <w:color w:val="0000FF"/>
              </w:rPr>
            </w:pPr>
            <w:hyperlink r:id="rId106">
              <w:r>
                <w:rPr>
                  <w:rFonts w:ascii="Arial" w:cs="Arial" w:eastAsia="Arial" w:hAnsi="Arial"/>
                  <w:sz w:val="18"/>
                  <w:szCs w:val="18"/>
                  <w:color w:val="0000FF"/>
                </w:rPr>
                <w:t>Termination of Amendment to Lease Contract, dated as of April 2, 2012, between Integra CI, Inc. and Puerto Rico Industrial</w:t>
              </w:r>
            </w:hyperlink>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0"/>
          </w:tcPr>
          <w:p>
            <w:pPr>
              <w:spacing w:after="0" w:line="153" w:lineRule="exact"/>
              <w:rPr>
                <w:rFonts w:ascii="Arial" w:cs="Arial" w:eastAsia="Arial" w:hAnsi="Arial"/>
                <w:sz w:val="17"/>
                <w:szCs w:val="17"/>
                <w:color w:val="0000FF"/>
              </w:rPr>
            </w:pPr>
            <w:hyperlink r:id="rId106">
              <w:r>
                <w:rPr>
                  <w:rFonts w:ascii="Arial" w:cs="Arial" w:eastAsia="Arial" w:hAnsi="Arial"/>
                  <w:sz w:val="17"/>
                  <w:szCs w:val="17"/>
                  <w:color w:val="0000FF"/>
                </w:rPr>
                <w:t>Development Company (Incorporated by reference to Exhibit 10.2 to the Company’s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660" w:type="dxa"/>
            <w:vAlign w:val="bottom"/>
            <w:tcBorders>
              <w:bottom w:val="single" w:sz="8" w:color="0000FF"/>
            </w:tcBorders>
            <w:gridSpan w:val="3"/>
          </w:tcPr>
          <w:p>
            <w:pPr>
              <w:spacing w:after="0" w:line="153" w:lineRule="exact"/>
              <w:rPr>
                <w:rFonts w:ascii="Arial" w:cs="Arial" w:eastAsia="Arial" w:hAnsi="Arial"/>
                <w:sz w:val="17"/>
                <w:szCs w:val="17"/>
                <w:color w:val="0000FF"/>
                <w:w w:val="93"/>
              </w:rPr>
            </w:pPr>
            <w:hyperlink r:id="rId106">
              <w:r>
                <w:rPr>
                  <w:rFonts w:ascii="Arial" w:cs="Arial" w:eastAsia="Arial" w:hAnsi="Arial"/>
                  <w:sz w:val="17"/>
                  <w:szCs w:val="17"/>
                  <w:color w:val="0000FF"/>
                  <w:w w:val="93"/>
                </w:rPr>
                <w:t>ended March 31, 2012)</w:t>
              </w:r>
            </w:hyperlink>
          </w:p>
        </w:tc>
        <w:tc>
          <w:tcPr>
            <w:tcW w:w="840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gridSpan w:val="32"/>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Restricted Units Agreement dated December 27, 1997 between the Company and Stuart M. Essig (Incorporated by reference to Exhibit</w:t>
              </w:r>
            </w:hyperlink>
          </w:p>
        </w:tc>
      </w:tr>
      <w:tr>
        <w:trPr>
          <w:trHeight w:val="153"/>
        </w:trPr>
        <w:tc>
          <w:tcPr>
            <w:tcW w:w="1340" w:type="dxa"/>
            <w:vAlign w:val="bottom"/>
          </w:tcPr>
          <w:p>
            <w:pPr>
              <w:spacing w:after="0"/>
              <w:rPr>
                <w:sz w:val="13"/>
                <w:szCs w:val="13"/>
                <w:color w:val="auto"/>
              </w:rPr>
            </w:pPr>
          </w:p>
        </w:tc>
        <w:tc>
          <w:tcPr>
            <w:tcW w:w="1008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86">
              <w:r>
                <w:rPr>
                  <w:rFonts w:ascii="Arial" w:cs="Arial" w:eastAsia="Arial" w:hAnsi="Arial"/>
                  <w:sz w:val="17"/>
                  <w:szCs w:val="17"/>
                  <w:color w:val="0000FF"/>
                </w:rPr>
                <w:t>10.</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the Company’s Current Report on Form 8-K filed on February 3,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10.15(a)</w:t>
            </w:r>
          </w:p>
        </w:tc>
        <w:tc>
          <w:tcPr>
            <w:tcW w:w="10160" w:type="dxa"/>
            <w:vAlign w:val="bottom"/>
            <w:gridSpan w:val="32"/>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Stock Option Grant and Agreement pursuant to 1999 Stock Option Plan dated December 22, 2000 between the Company and Stuart M.</w:t>
              </w:r>
            </w:hyperlink>
          </w:p>
        </w:tc>
      </w:tr>
      <w:tr>
        <w:trPr>
          <w:trHeight w:val="153"/>
        </w:trPr>
        <w:tc>
          <w:tcPr>
            <w:tcW w:w="134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Essig (Incorporated by reference to Exhibit 4.1 to the Company’s Current Report on Form 8-K filed on January 8, 2001)*</w:t>
              </w:r>
            </w:hyperlink>
          </w:p>
        </w:tc>
        <w:tc>
          <w:tcPr>
            <w:tcW w:w="12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10.15(b)</w:t>
            </w:r>
          </w:p>
        </w:tc>
        <w:tc>
          <w:tcPr>
            <w:tcW w:w="10160" w:type="dxa"/>
            <w:vAlign w:val="bottom"/>
            <w:gridSpan w:val="32"/>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Stock Option Grant and Agreement pursuant to 2000 Equity Incentive Plan dated December 22, 2000 between the Company and Stuart</w:t>
              </w:r>
            </w:hyperlink>
          </w:p>
        </w:tc>
      </w:tr>
      <w:tr>
        <w:trPr>
          <w:trHeight w:val="153"/>
        </w:trPr>
        <w:tc>
          <w:tcPr>
            <w:tcW w:w="134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5"/>
              </w:rPr>
            </w:pPr>
            <w:hyperlink r:id="rId108">
              <w:r>
                <w:rPr>
                  <w:rFonts w:ascii="Arial" w:cs="Arial" w:eastAsia="Arial" w:hAnsi="Arial"/>
                  <w:sz w:val="17"/>
                  <w:szCs w:val="17"/>
                  <w:color w:val="0000FF"/>
                  <w:w w:val="95"/>
                </w:rPr>
                <w:t>M. Essig (Incorporated by reference to Exhibit 4.2 to the Company’s Current Report on Form 8-K filed on January 8, 2001)*</w:t>
              </w:r>
            </w:hyperlink>
          </w:p>
        </w:tc>
        <w:tc>
          <w:tcPr>
            <w:tcW w:w="11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10.16(a)</w:t>
            </w:r>
          </w:p>
        </w:tc>
        <w:tc>
          <w:tcPr>
            <w:tcW w:w="10160" w:type="dxa"/>
            <w:vAlign w:val="bottom"/>
            <w:gridSpan w:val="32"/>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Restricted Units Agreement dated December 22, 2000 between the Company and Stuart M. Essig (Incorporated by reference to Exhibit</w:t>
              </w:r>
            </w:hyperlink>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109">
              <w:r>
                <w:rPr>
                  <w:rFonts w:ascii="Arial" w:cs="Arial" w:eastAsia="Arial" w:hAnsi="Arial"/>
                  <w:sz w:val="17"/>
                  <w:szCs w:val="17"/>
                  <w:color w:val="0000FF"/>
                </w:rPr>
                <w:t>4.</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the Company’s Current Report on Form 8-K filed on January 8, 2001)*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10.16(b)</w:t>
            </w:r>
          </w:p>
        </w:tc>
        <w:tc>
          <w:tcPr>
            <w:tcW w:w="10160" w:type="dxa"/>
            <w:vAlign w:val="bottom"/>
            <w:gridSpan w:val="32"/>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Amendment 2006-1, dated as of October 30, 2006, to the Stuart M. Essig Restricted Units Agreement dated as of December 22, 2000</w:t>
              </w:r>
            </w:hyperlink>
          </w:p>
        </w:tc>
      </w:tr>
      <w:tr>
        <w:trPr>
          <w:trHeight w:val="153"/>
        </w:trPr>
        <w:tc>
          <w:tcPr>
            <w:tcW w:w="134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10">
              <w:r>
                <w:rPr>
                  <w:rFonts w:ascii="Arial" w:cs="Arial" w:eastAsia="Arial" w:hAnsi="Arial"/>
                  <w:sz w:val="17"/>
                  <w:szCs w:val="17"/>
                  <w:color w:val="0000FF"/>
                  <w:w w:val="95"/>
                </w:rPr>
                <w:t>(Incorporated by reference to Exhibit 10.1 to the Company’s Current Report on Form 8-K filed on November 3, 2006)*</w:t>
              </w:r>
            </w:hyperlink>
          </w:p>
        </w:tc>
        <w:tc>
          <w:tcPr>
            <w:tcW w:w="13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10160" w:type="dxa"/>
            <w:vAlign w:val="bottom"/>
            <w:gridSpan w:val="32"/>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Stock Option Grant and Agreement pursuant to 2003 Equity Incentive Plan dated July 27, 2004 between the Company and Stuart M.</w:t>
              </w:r>
            </w:hyperlink>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4"/>
          </w:tcPr>
          <w:p>
            <w:pPr>
              <w:spacing w:after="0" w:line="153" w:lineRule="exact"/>
              <w:rPr>
                <w:rFonts w:ascii="Arial" w:cs="Arial" w:eastAsia="Arial" w:hAnsi="Arial"/>
                <w:sz w:val="17"/>
                <w:szCs w:val="17"/>
                <w:color w:val="0000FF"/>
              </w:rPr>
            </w:pPr>
            <w:hyperlink r:id="rId111">
              <w:r>
                <w:rPr>
                  <w:rFonts w:ascii="Arial" w:cs="Arial" w:eastAsia="Arial" w:hAnsi="Arial"/>
                  <w:sz w:val="17"/>
                  <w:szCs w:val="17"/>
                  <w:color w:val="0000FF"/>
                </w:rPr>
                <w:t>Essig (Incorporated by reference to Exhibit 10.30 to the Company’s Annual Report on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00" w:type="dxa"/>
            <w:vAlign w:val="bottom"/>
            <w:tcBorders>
              <w:bottom w:val="single" w:sz="8" w:color="0000FF"/>
            </w:tcBorders>
          </w:tcPr>
          <w:p>
            <w:pPr>
              <w:spacing w:after="0" w:line="153" w:lineRule="exact"/>
              <w:rPr>
                <w:rFonts w:ascii="Arial" w:cs="Arial" w:eastAsia="Arial" w:hAnsi="Arial"/>
                <w:sz w:val="17"/>
                <w:szCs w:val="17"/>
                <w:color w:val="0000FF"/>
                <w:w w:val="95"/>
              </w:rPr>
            </w:pPr>
            <w:hyperlink r:id="rId111">
              <w:r>
                <w:rPr>
                  <w:rFonts w:ascii="Arial" w:cs="Arial" w:eastAsia="Arial" w:hAnsi="Arial"/>
                  <w:sz w:val="17"/>
                  <w:szCs w:val="17"/>
                  <w:color w:val="0000FF"/>
                  <w:w w:val="95"/>
                </w:rPr>
                <w:t>2004)</w:t>
              </w:r>
              <w:r>
                <w:rPr>
                  <w:rFonts w:ascii="Arial" w:cs="Arial" w:eastAsia="Arial" w:hAnsi="Arial"/>
                  <w:sz w:val="17"/>
                  <w:szCs w:val="17"/>
                  <w:u w:val="single" w:color="auto"/>
                  <w:color w:val="0000FF"/>
                  <w:w w:val="95"/>
                </w:rPr>
                <w:t>*</w:t>
              </w:r>
            </w:hyperlink>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10.18(a)</w:t>
            </w:r>
          </w:p>
        </w:tc>
        <w:tc>
          <w:tcPr>
            <w:tcW w:w="10160" w:type="dxa"/>
            <w:vAlign w:val="bottom"/>
            <w:gridSpan w:val="32"/>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Contract Stock/Restricted Units Agreement pursuant to 2003 Equity Incentive Plan dated July 27, 2004 between the Company and Stuart</w:t>
              </w:r>
            </w:hyperlink>
          </w:p>
        </w:tc>
      </w:tr>
      <w:tr>
        <w:trPr>
          <w:trHeight w:val="153"/>
        </w:trPr>
        <w:tc>
          <w:tcPr>
            <w:tcW w:w="134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3" w:lineRule="exact"/>
              <w:rPr>
                <w:rFonts w:ascii="Arial" w:cs="Arial" w:eastAsia="Arial" w:hAnsi="Arial"/>
                <w:sz w:val="17"/>
                <w:szCs w:val="17"/>
                <w:color w:val="0000FF"/>
                <w:w w:val="99"/>
              </w:rPr>
            </w:pPr>
            <w:hyperlink r:id="rId112">
              <w:r>
                <w:rPr>
                  <w:rFonts w:ascii="Arial" w:cs="Arial" w:eastAsia="Arial" w:hAnsi="Arial"/>
                  <w:sz w:val="17"/>
                  <w:szCs w:val="17"/>
                  <w:color w:val="0000FF"/>
                  <w:w w:val="99"/>
                </w:rPr>
                <w:t>M. Essig (Incorporated by reference to Exhibit 10.31 to the Company’s Annual Report on Form 10-K for the year ended December 31,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5"/>
              </w:rPr>
            </w:pPr>
            <w:hyperlink r:id="rId112">
              <w:r>
                <w:rPr>
                  <w:rFonts w:ascii="Arial" w:cs="Arial" w:eastAsia="Arial" w:hAnsi="Arial"/>
                  <w:sz w:val="17"/>
                  <w:szCs w:val="17"/>
                  <w:color w:val="0000FF"/>
                  <w:w w:val="95"/>
                </w:rPr>
                <w:t>2004)</w:t>
              </w:r>
              <w:r>
                <w:rPr>
                  <w:rFonts w:ascii="Arial" w:cs="Arial" w:eastAsia="Arial" w:hAnsi="Arial"/>
                  <w:sz w:val="17"/>
                  <w:szCs w:val="17"/>
                  <w:u w:val="single" w:color="auto"/>
                  <w:color w:val="0000FF"/>
                  <w:w w:val="95"/>
                </w:rPr>
                <w:t>*</w:t>
              </w:r>
            </w:hyperlink>
          </w:p>
        </w:tc>
        <w:tc>
          <w:tcPr>
            <w:tcW w:w="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10.18(b)</w:t>
            </w:r>
          </w:p>
        </w:tc>
        <w:tc>
          <w:tcPr>
            <w:tcW w:w="10160" w:type="dxa"/>
            <w:vAlign w:val="bottom"/>
            <w:gridSpan w:val="32"/>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Amendment 2006-1, dated as of October 30, 2006, to the Stuart M. Essig Contract Stock/Restricted Units Agreement dated as of July 27,</w:t>
              </w:r>
            </w:hyperlink>
          </w:p>
        </w:tc>
      </w:tr>
      <w:tr>
        <w:trPr>
          <w:trHeight w:val="153"/>
        </w:trPr>
        <w:tc>
          <w:tcPr>
            <w:tcW w:w="1340" w:type="dxa"/>
            <w:vAlign w:val="bottom"/>
          </w:tcPr>
          <w:p>
            <w:pPr>
              <w:spacing w:after="0"/>
              <w:rPr>
                <w:sz w:val="13"/>
                <w:szCs w:val="13"/>
                <w:color w:val="auto"/>
              </w:rPr>
            </w:pPr>
          </w:p>
        </w:tc>
        <w:tc>
          <w:tcPr>
            <w:tcW w:w="1012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13">
              <w:r>
                <w:rPr>
                  <w:rFonts w:ascii="Arial" w:cs="Arial" w:eastAsia="Arial" w:hAnsi="Arial"/>
                  <w:sz w:val="17"/>
                  <w:szCs w:val="17"/>
                  <w:color w:val="0000FF"/>
                </w:rPr>
                <w:t>2004 (Incorporated by reference to Exhibit 10.2 to the Company’s Current Report on Form 8-K filed on November 3,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10.18(c)</w:t>
            </w:r>
          </w:p>
        </w:tc>
        <w:tc>
          <w:tcPr>
            <w:tcW w:w="10160" w:type="dxa"/>
            <w:vAlign w:val="bottom"/>
            <w:gridSpan w:val="32"/>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Amendment 2008-1, dated as of March 6, 2008, to the Stuart M. Essig Contract Stock/Restricted Units Agreement dated as of July 27,</w:t>
              </w:r>
            </w:hyperlink>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8"/>
              </w:rPr>
            </w:pPr>
            <w:hyperlink r:id="rId114">
              <w:r>
                <w:rPr>
                  <w:rFonts w:ascii="Arial" w:cs="Arial" w:eastAsia="Arial" w:hAnsi="Arial"/>
                  <w:sz w:val="17"/>
                  <w:szCs w:val="17"/>
                  <w:color w:val="0000FF"/>
                  <w:w w:val="98"/>
                </w:rPr>
                <w:t>2004 (Incorporated by reference to Exhibit 10.25(c) to the Company’s Annual Report on Form 10-K for the year ended December 31,</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00" w:type="dxa"/>
            <w:vAlign w:val="bottom"/>
            <w:tcBorders>
              <w:bottom w:val="single" w:sz="8" w:color="0000FF"/>
            </w:tcBorders>
          </w:tcPr>
          <w:p>
            <w:pPr>
              <w:spacing w:after="0" w:line="153" w:lineRule="exact"/>
              <w:rPr>
                <w:rFonts w:ascii="Arial" w:cs="Arial" w:eastAsia="Arial" w:hAnsi="Arial"/>
                <w:sz w:val="17"/>
                <w:szCs w:val="17"/>
                <w:color w:val="0000FF"/>
                <w:w w:val="95"/>
              </w:rPr>
            </w:pPr>
            <w:hyperlink r:id="rId114">
              <w:r>
                <w:rPr>
                  <w:rFonts w:ascii="Arial" w:cs="Arial" w:eastAsia="Arial" w:hAnsi="Arial"/>
                  <w:sz w:val="17"/>
                  <w:szCs w:val="17"/>
                  <w:color w:val="0000FF"/>
                  <w:w w:val="95"/>
                </w:rPr>
                <w:t>2007)</w:t>
              </w:r>
              <w:r>
                <w:rPr>
                  <w:rFonts w:ascii="Arial" w:cs="Arial" w:eastAsia="Arial" w:hAnsi="Arial"/>
                  <w:sz w:val="17"/>
                  <w:szCs w:val="17"/>
                  <w:u w:val="single" w:color="auto"/>
                  <w:color w:val="0000FF"/>
                  <w:w w:val="95"/>
                </w:rPr>
                <w:t>*</w:t>
              </w:r>
            </w:hyperlink>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10.18(d)</w:t>
            </w:r>
          </w:p>
        </w:tc>
        <w:tc>
          <w:tcPr>
            <w:tcW w:w="10160" w:type="dxa"/>
            <w:vAlign w:val="bottom"/>
            <w:gridSpan w:val="32"/>
          </w:tcPr>
          <w:p>
            <w:pPr>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Amendment 2011-1, dated as of May 17, 2011, to the Stuart M. Essig Contract Stock/Restricted Units Agreement dated as of July 24,</w:t>
              </w:r>
            </w:hyperlink>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1"/>
          </w:tcPr>
          <w:p>
            <w:pPr>
              <w:spacing w:after="0" w:line="153" w:lineRule="exact"/>
              <w:rPr>
                <w:rFonts w:ascii="Arial" w:cs="Arial" w:eastAsia="Arial" w:hAnsi="Arial"/>
                <w:sz w:val="17"/>
                <w:szCs w:val="17"/>
                <w:color w:val="0000FF"/>
                <w:w w:val="97"/>
              </w:rPr>
            </w:pPr>
            <w:hyperlink r:id="rId115">
              <w:r>
                <w:rPr>
                  <w:rFonts w:ascii="Arial" w:cs="Arial" w:eastAsia="Arial" w:hAnsi="Arial"/>
                  <w:sz w:val="17"/>
                  <w:szCs w:val="17"/>
                  <w:color w:val="0000FF"/>
                  <w:w w:val="97"/>
                </w:rPr>
                <w:t>2004 (Incorporated by reference to Exhibit 10.6 to the Company’s Quarterly Report on Form 10-Q for the quarter ended June 30, 2011)*</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gridSpan w:val="32"/>
          </w:tcPr>
          <w:p>
            <w:pPr>
              <w:spacing w:after="0"/>
              <w:rPr>
                <w:rFonts w:ascii="Arial" w:cs="Arial" w:eastAsia="Arial" w:hAnsi="Arial"/>
                <w:sz w:val="18"/>
                <w:szCs w:val="18"/>
                <w:color w:val="0000FF"/>
                <w:w w:val="96"/>
              </w:rPr>
            </w:pPr>
            <w:hyperlink r:id="rId116">
              <w:r>
                <w:rPr>
                  <w:rFonts w:ascii="Arial" w:cs="Arial" w:eastAsia="Arial" w:hAnsi="Arial"/>
                  <w:sz w:val="18"/>
                  <w:szCs w:val="18"/>
                  <w:color w:val="0000FF"/>
                  <w:w w:val="96"/>
                </w:rPr>
                <w:t>Contract Stock/Units Agreement dated as of May 17, 2011 between the Company and Stuart M. Essig (Incorporated by reference to</w:t>
              </w:r>
            </w:hyperlink>
          </w:p>
        </w:tc>
      </w:tr>
      <w:tr>
        <w:trPr>
          <w:trHeight w:val="153"/>
        </w:trPr>
        <w:tc>
          <w:tcPr>
            <w:tcW w:w="134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6"/>
              </w:rPr>
            </w:pPr>
            <w:hyperlink r:id="rId116">
              <w:r>
                <w:rPr>
                  <w:rFonts w:ascii="Arial" w:cs="Arial" w:eastAsia="Arial" w:hAnsi="Arial"/>
                  <w:sz w:val="17"/>
                  <w:szCs w:val="17"/>
                  <w:color w:val="0000FF"/>
                  <w:w w:val="96"/>
                </w:rPr>
                <w:t>Exhibit 10.2 to the Company’s Current Report on Form 8-K filed on May 23, 2011)*</w:t>
              </w:r>
            </w:hyperlink>
          </w:p>
        </w:tc>
        <w:tc>
          <w:tcPr>
            <w:tcW w:w="40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10.20</w:t>
            </w:r>
          </w:p>
        </w:tc>
        <w:tc>
          <w:tcPr>
            <w:tcW w:w="10160" w:type="dxa"/>
            <w:vAlign w:val="bottom"/>
            <w:gridSpan w:val="32"/>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Form of Amendment 2011-1 to Contract Stock/Restricted Units Agreements between the Company and Mr. Essig (Incorporated by</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3" w:lineRule="exact"/>
              <w:rPr>
                <w:rFonts w:ascii="Arial" w:cs="Arial" w:eastAsia="Arial" w:hAnsi="Arial"/>
                <w:sz w:val="17"/>
                <w:szCs w:val="17"/>
                <w:color w:val="0000FF"/>
              </w:rPr>
            </w:pPr>
            <w:hyperlink r:id="rId117">
              <w:r>
                <w:rPr>
                  <w:rFonts w:ascii="Arial" w:cs="Arial" w:eastAsia="Arial" w:hAnsi="Arial"/>
                  <w:sz w:val="17"/>
                  <w:szCs w:val="17"/>
                  <w:color w:val="0000FF"/>
                </w:rPr>
                <w:t>reference to Exhibit 10.5 to the Company’s Quarterly Report on Form 10-Q for the quarter ended June 30, 2011)*</w:t>
              </w:r>
            </w:hyperlink>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08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32"/>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Form of Stock Option Grant and Agreement between the Company and Stuart M. Essig (Incorporated by reference to Exhibit 10.32 to the</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3" w:lineRule="exact"/>
              <w:rPr>
                <w:rFonts w:ascii="Arial" w:cs="Arial" w:eastAsia="Arial" w:hAnsi="Arial"/>
                <w:sz w:val="17"/>
                <w:szCs w:val="17"/>
                <w:color w:val="0000FF"/>
              </w:rPr>
            </w:pPr>
            <w:hyperlink r:id="rId118">
              <w:r>
                <w:rPr>
                  <w:rFonts w:ascii="Arial" w:cs="Arial" w:eastAsia="Arial" w:hAnsi="Arial"/>
                  <w:sz w:val="17"/>
                  <w:szCs w:val="17"/>
                  <w:color w:val="0000FF"/>
                </w:rPr>
                <w:t>Company’s Annual Report on Form 10-K for the year ended December 31, 2004)*</w:t>
              </w:r>
            </w:hyperlink>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28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10.22(a)</w:t>
            </w:r>
          </w:p>
        </w:tc>
        <w:tc>
          <w:tcPr>
            <w:tcW w:w="10160" w:type="dxa"/>
            <w:vAlign w:val="bottom"/>
            <w:gridSpan w:val="32"/>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Form of Contract Stock/Restricted Units Agreement for Stuart M. Essig (Incorporated by reference to Exhibit 10.8 to the Company’s</w:t>
              </w:r>
            </w:hyperlink>
          </w:p>
        </w:tc>
      </w:tr>
      <w:tr>
        <w:trPr>
          <w:trHeight w:val="153"/>
        </w:trPr>
        <w:tc>
          <w:tcPr>
            <w:tcW w:w="13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4"/>
              </w:rPr>
            </w:pPr>
            <w:hyperlink r:id="rId119">
              <w:r>
                <w:rPr>
                  <w:rFonts w:ascii="Arial" w:cs="Arial" w:eastAsia="Arial" w:hAnsi="Arial"/>
                  <w:sz w:val="17"/>
                  <w:szCs w:val="17"/>
                  <w:color w:val="0000FF"/>
                  <w:w w:val="94"/>
                </w:rPr>
                <w:t>Quarterly Report on Form 10-Q for the quarter ended June 30, 2008)*</w:t>
              </w:r>
            </w:hyperlink>
          </w:p>
        </w:tc>
        <w:tc>
          <w:tcPr>
            <w:tcW w:w="51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10.22(b)</w:t>
            </w:r>
          </w:p>
        </w:tc>
        <w:tc>
          <w:tcPr>
            <w:tcW w:w="10160" w:type="dxa"/>
            <w:vAlign w:val="bottom"/>
            <w:gridSpan w:val="38"/>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New Form of Contract Stock/Restricted Units Agreement (for Annual Equity Awards) for Stuart M. Essig (Incorporated by reference to</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21">
              <w:r>
                <w:rPr>
                  <w:rFonts w:ascii="Arial" w:cs="Arial" w:eastAsia="Arial" w:hAnsi="Arial"/>
                  <w:sz w:val="17"/>
                  <w:szCs w:val="17"/>
                  <w:color w:val="0000FF"/>
                </w:rPr>
                <w:t>Exhibit 10.28(b) to the Company’s Annual Report on Form 10-K for the year ended December 31,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10.22(c)</w:t>
            </w:r>
          </w:p>
        </w:tc>
        <w:tc>
          <w:tcPr>
            <w:tcW w:w="10160" w:type="dxa"/>
            <w:vAlign w:val="bottom"/>
            <w:gridSpan w:val="38"/>
          </w:tcPr>
          <w:p>
            <w:pPr>
              <w:spacing w:after="0"/>
              <w:rPr>
                <w:rFonts w:ascii="Arial" w:cs="Arial" w:eastAsia="Arial" w:hAnsi="Arial"/>
                <w:sz w:val="18"/>
                <w:szCs w:val="18"/>
                <w:color w:val="0000FF"/>
                <w:w w:val="98"/>
              </w:rPr>
            </w:pPr>
            <w:hyperlink r:id="rId122">
              <w:r>
                <w:rPr>
                  <w:rFonts w:ascii="Arial" w:cs="Arial" w:eastAsia="Arial" w:hAnsi="Arial"/>
                  <w:sz w:val="18"/>
                  <w:szCs w:val="18"/>
                  <w:color w:val="0000FF"/>
                  <w:w w:val="98"/>
                </w:rPr>
                <w:t>Form of Amendment 2011-1 to Contract Stock/Restricted Units Agreement between the Company and Mr. Essig (Incorporated by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120" w:type="dxa"/>
            <w:vAlign w:val="bottom"/>
            <w:tcBorders>
              <w:top w:val="single" w:sz="8" w:color="0000FF"/>
            </w:tcBorders>
            <w:gridSpan w:val="36"/>
          </w:tcPr>
          <w:p>
            <w:pPr>
              <w:spacing w:after="0" w:line="153" w:lineRule="exact"/>
              <w:rPr>
                <w:rFonts w:ascii="Arial" w:cs="Arial" w:eastAsia="Arial" w:hAnsi="Arial"/>
                <w:sz w:val="17"/>
                <w:szCs w:val="17"/>
                <w:color w:val="0000FF"/>
              </w:rPr>
            </w:pPr>
            <w:hyperlink r:id="rId122">
              <w:r>
                <w:rPr>
                  <w:rFonts w:ascii="Arial" w:cs="Arial" w:eastAsia="Arial" w:hAnsi="Arial"/>
                  <w:sz w:val="17"/>
                  <w:szCs w:val="17"/>
                  <w:color w:val="0000FF"/>
                </w:rPr>
                <w:t>reference to Exhibit 10.4 to the Company’s Quarterly Report on Form 10-Q for the quarter ended June 30,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10.23</w:t>
            </w:r>
          </w:p>
        </w:tc>
        <w:tc>
          <w:tcPr>
            <w:tcW w:w="10160" w:type="dxa"/>
            <w:vAlign w:val="bottom"/>
            <w:gridSpan w:val="38"/>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Form of Performance Stock Agreement for Stuart M. Essig (Incorporated by reference to Exhibit 10.9 to the Company’s Quarterly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123">
              <w:r>
                <w:rPr>
                  <w:rFonts w:ascii="Arial" w:cs="Arial" w:eastAsia="Arial" w:hAnsi="Arial"/>
                  <w:sz w:val="17"/>
                  <w:szCs w:val="17"/>
                  <w:color w:val="0000FF"/>
                </w:rPr>
                <w:t>on Form 10-Q for the quarter ended June 30,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10.24</w:t>
            </w:r>
          </w:p>
        </w:tc>
        <w:tc>
          <w:tcPr>
            <w:tcW w:w="10160" w:type="dxa"/>
            <w:vAlign w:val="bottom"/>
            <w:gridSpan w:val="38"/>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Form of Restricted Stock Agreement for Stuart M. Essig for 2009 (Incorporated by reference to Exhibit 10.3 to the Company’s Current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8"/>
              </w:rPr>
            </w:pPr>
            <w:hyperlink r:id="rId124">
              <w:r>
                <w:rPr>
                  <w:rFonts w:ascii="Arial" w:cs="Arial" w:eastAsia="Arial" w:hAnsi="Arial"/>
                  <w:sz w:val="17"/>
                  <w:szCs w:val="17"/>
                  <w:color w:val="0000FF"/>
                  <w:w w:val="98"/>
                </w:rPr>
                <w:t>Report on Form 8-K filed April 13, 2009)*</w:t>
              </w:r>
            </w:hyperlink>
          </w:p>
        </w:tc>
        <w:tc>
          <w:tcPr>
            <w:tcW w:w="70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10.25(a)</w:t>
            </w:r>
          </w:p>
        </w:tc>
        <w:tc>
          <w:tcPr>
            <w:tcW w:w="10160" w:type="dxa"/>
            <w:vAlign w:val="bottom"/>
            <w:gridSpan w:val="38"/>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Form of Performance Stock Agreement (Executive Officers) (Incorporated by reference to Exhibit 10.2 to the Company's Current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6"/>
              </w:rPr>
            </w:pPr>
            <w:hyperlink r:id="rId125">
              <w:r>
                <w:rPr>
                  <w:rFonts w:ascii="Arial" w:cs="Arial" w:eastAsia="Arial" w:hAnsi="Arial"/>
                  <w:sz w:val="17"/>
                  <w:szCs w:val="17"/>
                  <w:color w:val="0000FF"/>
                  <w:w w:val="96"/>
                </w:rPr>
                <w:t>on Form 8-K filed on February 25, 2013)*</w:t>
              </w:r>
            </w:hyperlink>
          </w:p>
        </w:tc>
        <w:tc>
          <w:tcPr>
            <w:tcW w:w="7080" w:type="dxa"/>
            <w:vAlign w:val="bottom"/>
            <w:tcBorders>
              <w:top w:val="single" w:sz="8" w:color="0000FF"/>
            </w:tcBorders>
            <w:gridSpan w:val="3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10.25(b)</w:t>
            </w:r>
          </w:p>
        </w:tc>
        <w:tc>
          <w:tcPr>
            <w:tcW w:w="10160" w:type="dxa"/>
            <w:vAlign w:val="bottom"/>
            <w:gridSpan w:val="38"/>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Form of Performance Stock Agreement (Executive Officers) (Incorporated by reference to Exhibit 10.1 to the Company’s Current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6"/>
              </w:rPr>
            </w:pPr>
            <w:hyperlink r:id="rId126">
              <w:r>
                <w:rPr>
                  <w:rFonts w:ascii="Arial" w:cs="Arial" w:eastAsia="Arial" w:hAnsi="Arial"/>
                  <w:sz w:val="17"/>
                  <w:szCs w:val="17"/>
                  <w:color w:val="0000FF"/>
                  <w:w w:val="96"/>
                </w:rPr>
                <w:t>on Form 8-K filed on February 29, 2016)*</w:t>
              </w:r>
            </w:hyperlink>
          </w:p>
        </w:tc>
        <w:tc>
          <w:tcPr>
            <w:tcW w:w="69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10.25(c)</w:t>
            </w:r>
          </w:p>
        </w:tc>
        <w:tc>
          <w:tcPr>
            <w:tcW w:w="10160" w:type="dxa"/>
            <w:vAlign w:val="bottom"/>
            <w:gridSpan w:val="38"/>
          </w:tcPr>
          <w:p>
            <w:pPr>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Form of Performance Stock Agreement for Peter J. Arduini (Incorporated by reference to Exhibit 10.2 to the Company’s Report on Form</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r:id="rId127">
              <w:r>
                <w:rPr>
                  <w:rFonts w:ascii="Arial" w:cs="Arial" w:eastAsia="Arial" w:hAnsi="Arial"/>
                  <w:sz w:val="17"/>
                  <w:szCs w:val="17"/>
                  <w:color w:val="0000FF"/>
                </w:rPr>
                <w:t>8-K filed on February 29,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10.25(d)</w:t>
            </w:r>
          </w:p>
        </w:tc>
        <w:tc>
          <w:tcPr>
            <w:tcW w:w="10160" w:type="dxa"/>
            <w:vAlign w:val="bottom"/>
            <w:gridSpan w:val="38"/>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Form of Performance Stock Agreement (Executive Officers) (Incorporated by reference to Exhibit 10.1 to the Company’s Quarterly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128">
              <w:r>
                <w:rPr>
                  <w:rFonts w:ascii="Arial" w:cs="Arial" w:eastAsia="Arial" w:hAnsi="Arial"/>
                  <w:sz w:val="17"/>
                  <w:szCs w:val="17"/>
                  <w:color w:val="0000FF"/>
                </w:rPr>
                <w:t>Report on Form 10-Q for the quarter ended March 31, 2018) *</w:t>
              </w:r>
            </w:hyperlink>
          </w:p>
        </w:tc>
        <w:tc>
          <w:tcPr>
            <w:tcW w:w="4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10.25(e)</w:t>
            </w:r>
          </w:p>
        </w:tc>
        <w:tc>
          <w:tcPr>
            <w:tcW w:w="10160" w:type="dxa"/>
            <w:vAlign w:val="bottom"/>
            <w:gridSpan w:val="38"/>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Form of Performance Stock Agreement for Peter J. Arduini (Incorporated by reference to Exhibit 10.2 to the Company’s Quarterly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4"/>
              </w:rPr>
            </w:pPr>
            <w:hyperlink r:id="rId129">
              <w:r>
                <w:rPr>
                  <w:rFonts w:ascii="Arial" w:cs="Arial" w:eastAsia="Arial" w:hAnsi="Arial"/>
                  <w:sz w:val="17"/>
                  <w:szCs w:val="17"/>
                  <w:color w:val="0000FF"/>
                  <w:w w:val="94"/>
                </w:rPr>
                <w:t>on Form 10-Q for the quarter ended March 31, 2018)*</w:t>
              </w:r>
            </w:hyperlink>
          </w:p>
        </w:tc>
        <w:tc>
          <w:tcPr>
            <w:tcW w:w="594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10.26</w:t>
            </w:r>
          </w:p>
        </w:tc>
        <w:tc>
          <w:tcPr>
            <w:tcW w:w="10160" w:type="dxa"/>
            <w:vAlign w:val="bottom"/>
            <w:gridSpan w:val="38"/>
          </w:tcPr>
          <w:p>
            <w:pPr>
              <w:spacing w:after="0"/>
              <w:rPr>
                <w:rFonts w:ascii="Arial" w:cs="Arial" w:eastAsia="Arial" w:hAnsi="Arial"/>
                <w:sz w:val="18"/>
                <w:szCs w:val="18"/>
                <w:color w:val="0000FF"/>
                <w:w w:val="98"/>
              </w:rPr>
            </w:pPr>
            <w:hyperlink r:id="rId130">
              <w:r>
                <w:rPr>
                  <w:rFonts w:ascii="Arial" w:cs="Arial" w:eastAsia="Arial" w:hAnsi="Arial"/>
                  <w:sz w:val="18"/>
                  <w:szCs w:val="18"/>
                  <w:color w:val="0000FF"/>
                  <w:w w:val="98"/>
                </w:rPr>
                <w:t>Performance Incentive Compensation Plan effective January 1, 2013 (Incorporated by reference to Exhibit 10.3 to the Company’s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30">
              <w:r>
                <w:rPr>
                  <w:rFonts w:ascii="Arial" w:cs="Arial" w:eastAsia="Arial" w:hAnsi="Arial"/>
                  <w:sz w:val="17"/>
                  <w:szCs w:val="17"/>
                  <w:color w:val="0000FF"/>
                </w:rPr>
                <w:t>Quarterly Report on Form 10-Q for the quarter ended March 31,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10.27(a)</w:t>
            </w:r>
          </w:p>
        </w:tc>
        <w:tc>
          <w:tcPr>
            <w:tcW w:w="10160" w:type="dxa"/>
            <w:vAlign w:val="bottom"/>
            <w:gridSpan w:val="38"/>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First Amendment, dated as of February 15, 2017, to the Performance Incentive Compensation Plan (Incorporated by reference to Exhibit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31">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Current Report on Form 8-K filed on February 17,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10.27(b)</w:t>
            </w: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40" w:type="dxa"/>
            <w:vAlign w:val="bottom"/>
            <w:vMerge w:val="continue"/>
          </w:tcPr>
          <w:p>
            <w:pPr>
              <w:spacing w:after="0"/>
              <w:rPr>
                <w:sz w:val="24"/>
                <w:szCs w:val="24"/>
                <w:color w:val="auto"/>
              </w:rPr>
            </w:pPr>
          </w:p>
        </w:tc>
        <w:tc>
          <w:tcPr>
            <w:tcW w:w="10160" w:type="dxa"/>
            <w:vAlign w:val="bottom"/>
            <w:gridSpan w:val="38"/>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80" w:type="dxa"/>
            <w:vAlign w:val="bottom"/>
            <w:tcBorders>
              <w:top w:val="single" w:sz="8" w:color="0000FF"/>
            </w:tcBorders>
            <w:gridSpan w:val="34"/>
          </w:tcPr>
          <w:p>
            <w:pPr>
              <w:spacing w:after="0" w:line="153" w:lineRule="exact"/>
              <w:rPr>
                <w:rFonts w:ascii="Arial" w:cs="Arial" w:eastAsia="Arial" w:hAnsi="Arial"/>
                <w:sz w:val="17"/>
                <w:szCs w:val="17"/>
                <w:color w:val="0000FF"/>
              </w:rPr>
            </w:pPr>
            <w:hyperlink r:id="rId132">
              <w:r>
                <w:rPr>
                  <w:rFonts w:ascii="Arial" w:cs="Arial" w:eastAsia="Arial" w:hAnsi="Arial"/>
                  <w:sz w:val="17"/>
                  <w:szCs w:val="17"/>
                  <w:color w:val="0000FF"/>
                </w:rPr>
                <w:t>Current Report on Form 8-K filed on May 25, 2017)</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340" w:type="dxa"/>
            <w:vAlign w:val="bottom"/>
          </w:tcPr>
          <w:p>
            <w:pPr>
              <w:spacing w:after="0"/>
              <w:rPr>
                <w:sz w:val="20"/>
                <w:szCs w:val="20"/>
                <w:color w:val="auto"/>
              </w:rPr>
            </w:pPr>
            <w:r>
              <w:rPr>
                <w:rFonts w:ascii="Arial" w:cs="Arial" w:eastAsia="Arial" w:hAnsi="Arial"/>
                <w:sz w:val="18"/>
                <w:szCs w:val="18"/>
                <w:color w:val="auto"/>
              </w:rPr>
              <w:t>10.28</w:t>
            </w:r>
          </w:p>
        </w:tc>
        <w:tc>
          <w:tcPr>
            <w:tcW w:w="10160" w:type="dxa"/>
            <w:vAlign w:val="bottom"/>
            <w:gridSpan w:val="38"/>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New Form of Contract Stock/Restricted Units Agreement pursuant to 2003 Equity Incentive Plan (for 2011) Annual Equity Award for</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20" w:type="dxa"/>
            <w:vAlign w:val="bottom"/>
            <w:tcBorders>
              <w:top w:val="single" w:sz="8" w:color="0000FF"/>
            </w:tcBorders>
            <w:gridSpan w:val="31"/>
          </w:tcPr>
          <w:p>
            <w:pPr>
              <w:spacing w:after="0" w:line="153" w:lineRule="exact"/>
              <w:rPr>
                <w:rFonts w:ascii="Arial" w:cs="Arial" w:eastAsia="Arial" w:hAnsi="Arial"/>
                <w:sz w:val="17"/>
                <w:szCs w:val="17"/>
                <w:color w:val="0000FF"/>
                <w:w w:val="97"/>
              </w:rPr>
            </w:pPr>
            <w:hyperlink r:id="rId133">
              <w:r>
                <w:rPr>
                  <w:rFonts w:ascii="Arial" w:cs="Arial" w:eastAsia="Arial" w:hAnsi="Arial"/>
                  <w:sz w:val="17"/>
                  <w:szCs w:val="17"/>
                  <w:color w:val="0000FF"/>
                  <w:w w:val="97"/>
                </w:rPr>
                <w:t>Stuart M. Essig) (Incorporated by reference to Exhibit 10.3 to the Company’s Quarterly Report on Form 10-Q for the quarter ended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4"/>
              </w:rPr>
            </w:pPr>
            <w:hyperlink r:id="rId133">
              <w:r>
                <w:rPr>
                  <w:rFonts w:ascii="Arial" w:cs="Arial" w:eastAsia="Arial" w:hAnsi="Arial"/>
                  <w:sz w:val="17"/>
                  <w:szCs w:val="17"/>
                  <w:color w:val="0000FF"/>
                  <w:w w:val="94"/>
                </w:rPr>
                <w:t>30, 2011)*</w:t>
              </w:r>
            </w:hyperlink>
          </w:p>
        </w:tc>
        <w:tc>
          <w:tcPr>
            <w:tcW w:w="13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10.29</w:t>
            </w:r>
          </w:p>
        </w:tc>
        <w:tc>
          <w:tcPr>
            <w:tcW w:w="10160" w:type="dxa"/>
            <w:vAlign w:val="bottom"/>
            <w:gridSpan w:val="38"/>
          </w:tcPr>
          <w:p>
            <w:pPr>
              <w:spacing w:after="0"/>
              <w:rPr>
                <w:rFonts w:ascii="Arial" w:cs="Arial" w:eastAsia="Arial" w:hAnsi="Arial"/>
                <w:sz w:val="18"/>
                <w:szCs w:val="18"/>
                <w:color w:val="0000FF"/>
                <w:w w:val="98"/>
              </w:rPr>
            </w:pPr>
            <w:hyperlink r:id="rId134">
              <w:r>
                <w:rPr>
                  <w:rFonts w:ascii="Arial" w:cs="Arial" w:eastAsia="Arial" w:hAnsi="Arial"/>
                  <w:sz w:val="18"/>
                  <w:szCs w:val="18"/>
                  <w:color w:val="0000FF"/>
                  <w:w w:val="98"/>
                </w:rPr>
                <w:t>Form of Notice of Grant of Stock Option and Stock Option Agreement (Incorporated by reference to Exhibit 10.1 to the Company’s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134">
              <w:r>
                <w:rPr>
                  <w:rFonts w:ascii="Arial" w:cs="Arial" w:eastAsia="Arial" w:hAnsi="Arial"/>
                  <w:sz w:val="17"/>
                  <w:szCs w:val="17"/>
                  <w:color w:val="0000FF"/>
                </w:rPr>
                <w:t>Current Report on Form 8-K filed on July 29,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10.30</w:t>
            </w:r>
          </w:p>
        </w:tc>
        <w:tc>
          <w:tcPr>
            <w:tcW w:w="10160" w:type="dxa"/>
            <w:vAlign w:val="bottom"/>
            <w:gridSpan w:val="38"/>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Form of Non-Qualified Stock Option Agreement (Non-Directors) (Incorporated by reference to Exhibit 10.35 to the Company’s Annual</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Report on Form 10-K for the year ended December 31, 2004)*</w:t>
              </w:r>
            </w:hyperlink>
          </w:p>
        </w:tc>
        <w:tc>
          <w:tcPr>
            <w:tcW w:w="560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10.31</w:t>
            </w:r>
          </w:p>
        </w:tc>
        <w:tc>
          <w:tcPr>
            <w:tcW w:w="10160" w:type="dxa"/>
            <w:vAlign w:val="bottom"/>
            <w:gridSpan w:val="38"/>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Form of Incentive Stock Option Agreement (Incorporated by reference to Exhibit 10.36 to the Company’s Annual Report on Form 10-K</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3"/>
              </w:rPr>
            </w:pPr>
            <w:hyperlink r:id="rId136">
              <w:r>
                <w:rPr>
                  <w:rFonts w:ascii="Arial" w:cs="Arial" w:eastAsia="Arial" w:hAnsi="Arial"/>
                  <w:sz w:val="17"/>
                  <w:szCs w:val="17"/>
                  <w:color w:val="0000FF"/>
                  <w:w w:val="93"/>
                </w:rPr>
                <w:t>for the year ended December 31, 2004)*</w:t>
              </w:r>
            </w:hyperlink>
          </w:p>
        </w:tc>
        <w:tc>
          <w:tcPr>
            <w:tcW w:w="7160" w:type="dxa"/>
            <w:vAlign w:val="bottom"/>
            <w:tcBorders>
              <w:top w:val="single" w:sz="8" w:color="0000FF"/>
            </w:tcBorders>
            <w:gridSpan w:val="2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10.32</w:t>
            </w:r>
          </w:p>
        </w:tc>
        <w:tc>
          <w:tcPr>
            <w:tcW w:w="10160" w:type="dxa"/>
            <w:vAlign w:val="bottom"/>
            <w:gridSpan w:val="38"/>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Form of Non-Qualified Stock Option Agreement (Directors) (Incorporated by reference to Exhibit 10.37 to the Company’s Annual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140" w:type="dxa"/>
            <w:vAlign w:val="bottom"/>
            <w:tcBorders>
              <w:top w:val="single" w:sz="8" w:color="0000FF"/>
            </w:tcBorders>
            <w:gridSpan w:val="37"/>
          </w:tcPr>
          <w:p>
            <w:pPr>
              <w:spacing w:after="0" w:line="153" w:lineRule="exact"/>
              <w:rPr>
                <w:rFonts w:ascii="Arial" w:cs="Arial" w:eastAsia="Arial" w:hAnsi="Arial"/>
                <w:sz w:val="17"/>
                <w:szCs w:val="17"/>
                <w:color w:val="0000FF"/>
              </w:rPr>
            </w:pPr>
            <w:hyperlink r:id="rId137">
              <w:r>
                <w:rPr>
                  <w:rFonts w:ascii="Arial" w:cs="Arial" w:eastAsia="Arial" w:hAnsi="Arial"/>
                  <w:sz w:val="17"/>
                  <w:szCs w:val="17"/>
                  <w:color w:val="0000FF"/>
                </w:rPr>
                <w:t>on Form 10-K for the year ended December 31, 2004)*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10.33</w:t>
            </w:r>
          </w:p>
        </w:tc>
        <w:tc>
          <w:tcPr>
            <w:tcW w:w="10160" w:type="dxa"/>
            <w:vAlign w:val="bottom"/>
            <w:gridSpan w:val="38"/>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Form of Stock Option Agreement (Executive Officers) (Incorporated by reference to Exhibit 10.1 to the Company’s Quarterly Report 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38">
              <w:r>
                <w:rPr>
                  <w:rFonts w:ascii="Arial" w:cs="Arial" w:eastAsia="Arial" w:hAnsi="Arial"/>
                  <w:sz w:val="17"/>
                  <w:szCs w:val="17"/>
                  <w:color w:val="0000FF"/>
                  <w:w w:val="95"/>
                </w:rPr>
                <w:t>Form 10-Q for the quarter ended March 31, 2015)*</w:t>
              </w:r>
            </w:hyperlink>
          </w:p>
        </w:tc>
        <w:tc>
          <w:tcPr>
            <w:tcW w:w="626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10.34</w:t>
            </w:r>
          </w:p>
        </w:tc>
        <w:tc>
          <w:tcPr>
            <w:tcW w:w="10160" w:type="dxa"/>
            <w:vAlign w:val="bottom"/>
            <w:gridSpan w:val="38"/>
          </w:tcPr>
          <w:p>
            <w:pPr>
              <w:spacing w:after="0"/>
              <w:rPr>
                <w:rFonts w:ascii="Arial" w:cs="Arial" w:eastAsia="Arial" w:hAnsi="Arial"/>
                <w:sz w:val="18"/>
                <w:szCs w:val="18"/>
                <w:color w:val="0000FF"/>
                <w:w w:val="95"/>
              </w:rPr>
            </w:pPr>
            <w:hyperlink r:id="rId139">
              <w:r>
                <w:rPr>
                  <w:rFonts w:ascii="Arial" w:cs="Arial" w:eastAsia="Arial" w:hAnsi="Arial"/>
                  <w:sz w:val="18"/>
                  <w:szCs w:val="18"/>
                  <w:color w:val="0000FF"/>
                  <w:w w:val="95"/>
                </w:rPr>
                <w:t>Form of Stock Option Agreement for Glenn Coleman (Incorporated by reference to Exhibit 10.2 to the Company’s Quarterly Report 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39">
              <w:r>
                <w:rPr>
                  <w:rFonts w:ascii="Arial" w:cs="Arial" w:eastAsia="Arial" w:hAnsi="Arial"/>
                  <w:sz w:val="17"/>
                  <w:szCs w:val="17"/>
                  <w:color w:val="0000FF"/>
                  <w:w w:val="95"/>
                </w:rPr>
                <w:t>Form 10-Q for the quarter ended March 31, 2015)*</w:t>
              </w:r>
            </w:hyperlink>
          </w:p>
        </w:tc>
        <w:tc>
          <w:tcPr>
            <w:tcW w:w="622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10.35</w:t>
            </w:r>
          </w:p>
        </w:tc>
        <w:tc>
          <w:tcPr>
            <w:tcW w:w="10160" w:type="dxa"/>
            <w:vAlign w:val="bottom"/>
            <w:gridSpan w:val="38"/>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Form of Change in Control Severance Program (Incorporated by reference to Exhibit 10.1 to the Company’s Current Report on Form 8-K</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140">
              <w:r>
                <w:rPr>
                  <w:rFonts w:ascii="Arial" w:cs="Arial" w:eastAsia="Arial" w:hAnsi="Arial"/>
                  <w:sz w:val="17"/>
                  <w:szCs w:val="17"/>
                  <w:color w:val="0000FF"/>
                  <w:w w:val="95"/>
                </w:rPr>
                <w:t>filed on December 19, 2020)*</w:t>
              </w:r>
            </w:hyperlink>
          </w:p>
        </w:tc>
        <w:tc>
          <w:tcPr>
            <w:tcW w:w="7840" w:type="dxa"/>
            <w:vAlign w:val="bottom"/>
            <w:tcBorders>
              <w:top w:val="single" w:sz="8" w:color="0000FF"/>
            </w:tcBorders>
            <w:gridSpan w:val="27"/>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10.36(a)</w:t>
            </w:r>
          </w:p>
        </w:tc>
        <w:tc>
          <w:tcPr>
            <w:tcW w:w="10160" w:type="dxa"/>
            <w:vAlign w:val="bottom"/>
            <w:gridSpan w:val="38"/>
          </w:tcPr>
          <w:p>
            <w:pPr>
              <w:spacing w:after="0"/>
              <w:rPr>
                <w:rFonts w:ascii="Arial" w:cs="Arial" w:eastAsia="Arial" w:hAnsi="Arial"/>
                <w:sz w:val="18"/>
                <w:szCs w:val="18"/>
                <w:color w:val="0000FF"/>
                <w:w w:val="96"/>
              </w:rPr>
            </w:pPr>
            <w:hyperlink r:id="rId141">
              <w:r>
                <w:rPr>
                  <w:rFonts w:ascii="Arial" w:cs="Arial" w:eastAsia="Arial" w:hAnsi="Arial"/>
                  <w:sz w:val="18"/>
                  <w:szCs w:val="18"/>
                  <w:color w:val="0000FF"/>
                  <w:w w:val="96"/>
                </w:rPr>
                <w:t>Form of Restricted Stock Agreement for Non-Employee Directors under the 2003 Equity Incentive Plan (Incorporated by reference to</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141">
              <w:r>
                <w:rPr>
                  <w:rFonts w:ascii="Arial" w:cs="Arial" w:eastAsia="Arial" w:hAnsi="Arial"/>
                  <w:sz w:val="17"/>
                  <w:szCs w:val="17"/>
                  <w:color w:val="0000FF"/>
                </w:rPr>
                <w:t>Exhibit 10.4 to the Company’s Quarterly Report on Form 10-Q for the quarter ended June 30, 2012)*</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10.36(b)</w:t>
            </w:r>
          </w:p>
        </w:tc>
        <w:tc>
          <w:tcPr>
            <w:tcW w:w="10120" w:type="dxa"/>
            <w:vAlign w:val="bottom"/>
            <w:gridSpan w:val="32"/>
          </w:tcPr>
          <w:p>
            <w:pPr>
              <w:spacing w:after="0"/>
              <w:rPr>
                <w:rFonts w:ascii="Arial" w:cs="Arial" w:eastAsia="Arial" w:hAnsi="Arial"/>
                <w:sz w:val="18"/>
                <w:szCs w:val="18"/>
                <w:color w:val="0000FF"/>
                <w:w w:val="93"/>
              </w:rPr>
            </w:pPr>
            <w:hyperlink r:id="rId143">
              <w:r>
                <w:rPr>
                  <w:rFonts w:ascii="Arial" w:cs="Arial" w:eastAsia="Arial" w:hAnsi="Arial"/>
                  <w:sz w:val="18"/>
                  <w:szCs w:val="18"/>
                  <w:color w:val="0000FF"/>
                  <w:w w:val="93"/>
                </w:rPr>
                <w:t>New Form of Restricted Stock Agreement for Non-Employee Directors under the 2003 Equity Incentive Plan (Incorporated by reference</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143">
              <w:r>
                <w:rPr>
                  <w:rFonts w:ascii="Arial" w:cs="Arial" w:eastAsia="Arial" w:hAnsi="Arial"/>
                  <w:sz w:val="17"/>
                  <w:szCs w:val="17"/>
                  <w:color w:val="0000FF"/>
                </w:rPr>
                <w:t>to Exhibit 10.38(b) to the Company’s Annual Report on Form 10-K for the year ended December 31,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10.37(a)</w:t>
            </w:r>
          </w:p>
        </w:tc>
        <w:tc>
          <w:tcPr>
            <w:tcW w:w="10120" w:type="dxa"/>
            <w:vAlign w:val="bottom"/>
            <w:gridSpan w:val="32"/>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Form of Restricted Stock Agreement for Executive Officers - Annual Vesting (Incorporated by reference to Exhibit 10.1 to the Company’s</w:t>
              </w:r>
            </w:hyperlink>
          </w:p>
        </w:tc>
      </w:tr>
      <w:tr>
        <w:trPr>
          <w:trHeight w:val="153"/>
        </w:trPr>
        <w:tc>
          <w:tcPr>
            <w:tcW w:w="134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6"/>
              </w:rPr>
            </w:pPr>
            <w:hyperlink r:id="rId144">
              <w:r>
                <w:rPr>
                  <w:rFonts w:ascii="Arial" w:cs="Arial" w:eastAsia="Arial" w:hAnsi="Arial"/>
                  <w:sz w:val="17"/>
                  <w:szCs w:val="17"/>
                  <w:color w:val="0000FF"/>
                  <w:w w:val="96"/>
                </w:rPr>
                <w:t>Current Report on Form 8-K filed on February 25, 2009)*</w:t>
              </w:r>
            </w:hyperlink>
          </w:p>
        </w:tc>
        <w:tc>
          <w:tcPr>
            <w:tcW w:w="57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10.37(b)</w:t>
            </w:r>
          </w:p>
        </w:tc>
        <w:tc>
          <w:tcPr>
            <w:tcW w:w="10120" w:type="dxa"/>
            <w:vAlign w:val="bottom"/>
            <w:gridSpan w:val="32"/>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Form of Restricted Stock Agreement for Executive Officers - Annual Vesting (Incorporated by reference to Exhibit 10.5 to the Company’s</w:t>
              </w:r>
            </w:hyperlink>
          </w:p>
        </w:tc>
      </w:tr>
      <w:tr>
        <w:trPr>
          <w:trHeight w:val="153"/>
        </w:trPr>
        <w:tc>
          <w:tcPr>
            <w:tcW w:w="13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45">
              <w:r>
                <w:rPr>
                  <w:rFonts w:ascii="Arial" w:cs="Arial" w:eastAsia="Arial" w:hAnsi="Arial"/>
                  <w:sz w:val="17"/>
                  <w:szCs w:val="17"/>
                  <w:color w:val="0000FF"/>
                  <w:w w:val="94"/>
                </w:rPr>
                <w:t>Quarterly Report on Form 10-Q for the quarter ended June 30, 2012)*</w:t>
              </w:r>
            </w:hyperlink>
          </w:p>
        </w:tc>
        <w:tc>
          <w:tcPr>
            <w:tcW w:w="49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10.37(c)</w:t>
            </w:r>
          </w:p>
        </w:tc>
        <w:tc>
          <w:tcPr>
            <w:tcW w:w="10120" w:type="dxa"/>
            <w:vAlign w:val="bottom"/>
            <w:gridSpan w:val="32"/>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New Form of Restricted Stock Agreement for Executive Officers - Annual Vesting (Incorporated by reference to Exhibit 10.38(e) to the</w:t>
              </w:r>
            </w:hyperlink>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3" w:lineRule="exact"/>
              <w:rPr>
                <w:rFonts w:ascii="Arial" w:cs="Arial" w:eastAsia="Arial" w:hAnsi="Arial"/>
                <w:sz w:val="17"/>
                <w:szCs w:val="17"/>
                <w:color w:val="0000FF"/>
              </w:rPr>
            </w:pPr>
            <w:hyperlink r:id="rId146">
              <w:r>
                <w:rPr>
                  <w:rFonts w:ascii="Arial" w:cs="Arial" w:eastAsia="Arial" w:hAnsi="Arial"/>
                  <w:sz w:val="17"/>
                  <w:szCs w:val="17"/>
                  <w:color w:val="0000FF"/>
                </w:rPr>
                <w:t>Company’s Annual Report on Form 10-K for the year ended December 31, 2012)*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10.38(a)</w:t>
            </w:r>
          </w:p>
        </w:tc>
        <w:tc>
          <w:tcPr>
            <w:tcW w:w="10120" w:type="dxa"/>
            <w:vAlign w:val="bottom"/>
            <w:gridSpan w:val="32"/>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Form of Restricted Stock Agreement for Executive Officers - Cliff Vesting (Incorporated by reference to Exhibit 10.8 to the Company’s</w:t>
              </w:r>
            </w:hyperlink>
          </w:p>
        </w:tc>
      </w:tr>
      <w:tr>
        <w:trPr>
          <w:trHeight w:val="153"/>
        </w:trPr>
        <w:tc>
          <w:tcPr>
            <w:tcW w:w="134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3" w:lineRule="exact"/>
              <w:rPr>
                <w:rFonts w:ascii="Arial" w:cs="Arial" w:eastAsia="Arial" w:hAnsi="Arial"/>
                <w:sz w:val="17"/>
                <w:szCs w:val="17"/>
                <w:color w:val="0000FF"/>
              </w:rPr>
            </w:pPr>
            <w:hyperlink r:id="rId147">
              <w:r>
                <w:rPr>
                  <w:rFonts w:ascii="Arial" w:cs="Arial" w:eastAsia="Arial" w:hAnsi="Arial"/>
                  <w:sz w:val="17"/>
                  <w:szCs w:val="17"/>
                  <w:color w:val="0000FF"/>
                </w:rPr>
                <w:t>Quarter Report on Form 10-Q for the quarter ended March 31, 2009)*</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10.38(b)</w:t>
            </w:r>
          </w:p>
        </w:tc>
        <w:tc>
          <w:tcPr>
            <w:tcW w:w="10120" w:type="dxa"/>
            <w:vAlign w:val="bottom"/>
            <w:gridSpan w:val="32"/>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Form of Restricted Stock Agreement for Executive Officers - Cliff Vesting (Incorporated by reference to Exhibit 10.6 to the Company’s</w:t>
              </w:r>
            </w:hyperlink>
          </w:p>
        </w:tc>
      </w:tr>
      <w:tr>
        <w:trPr>
          <w:trHeight w:val="153"/>
        </w:trPr>
        <w:tc>
          <w:tcPr>
            <w:tcW w:w="13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4"/>
              </w:rPr>
            </w:pPr>
            <w:hyperlink r:id="rId148">
              <w:r>
                <w:rPr>
                  <w:rFonts w:ascii="Arial" w:cs="Arial" w:eastAsia="Arial" w:hAnsi="Arial"/>
                  <w:sz w:val="17"/>
                  <w:szCs w:val="17"/>
                  <w:color w:val="0000FF"/>
                  <w:w w:val="94"/>
                </w:rPr>
                <w:t>quarterly report on Form 10-Q for the quarter ended June 30, 2012)*</w:t>
              </w:r>
            </w:hyperlink>
          </w:p>
        </w:tc>
        <w:tc>
          <w:tcPr>
            <w:tcW w:w="52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10.38(c)</w:t>
            </w:r>
          </w:p>
        </w:tc>
        <w:tc>
          <w:tcPr>
            <w:tcW w:w="10120" w:type="dxa"/>
            <w:vAlign w:val="bottom"/>
            <w:gridSpan w:val="32"/>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New Form of Restricted Stock Agreement for Executive Officers - Cliff Vesting (Incorporated by reference to Exhibit 10.38(h) to the</w:t>
              </w:r>
            </w:hyperlink>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149">
              <w:r>
                <w:rPr>
                  <w:rFonts w:ascii="Arial" w:cs="Arial" w:eastAsia="Arial" w:hAnsi="Arial"/>
                  <w:sz w:val="17"/>
                  <w:szCs w:val="17"/>
                  <w:color w:val="0000FF"/>
                </w:rPr>
                <w:t>Company’s Annual Report on Form 10-K for the year ended December 31,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10.39</w:t>
            </w:r>
          </w:p>
        </w:tc>
        <w:tc>
          <w:tcPr>
            <w:tcW w:w="10120" w:type="dxa"/>
            <w:vAlign w:val="bottom"/>
            <w:gridSpan w:val="32"/>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Davis Promotion Summary, effective December 1, 2016 (Incorporated by reference to Exhibit 10.2 to the Company’s Current Report on</w:t>
              </w:r>
            </w:hyperlink>
          </w:p>
        </w:tc>
      </w:tr>
      <w:tr>
        <w:trPr>
          <w:trHeight w:val="153"/>
        </w:trPr>
        <w:tc>
          <w:tcPr>
            <w:tcW w:w="134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6"/>
              </w:rPr>
            </w:pPr>
            <w:hyperlink r:id="rId150">
              <w:r>
                <w:rPr>
                  <w:rFonts w:ascii="Arial" w:cs="Arial" w:eastAsia="Arial" w:hAnsi="Arial"/>
                  <w:sz w:val="17"/>
                  <w:szCs w:val="17"/>
                  <w:color w:val="0000FF"/>
                  <w:w w:val="96"/>
                </w:rPr>
                <w:t>Form 8-K filed on December 5, 2016)*</w:t>
              </w:r>
            </w:hyperlink>
          </w:p>
        </w:tc>
        <w:tc>
          <w:tcPr>
            <w:tcW w:w="706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10.40</w:t>
            </w:r>
          </w:p>
        </w:tc>
        <w:tc>
          <w:tcPr>
            <w:tcW w:w="10120" w:type="dxa"/>
            <w:vAlign w:val="bottom"/>
            <w:gridSpan w:val="32"/>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Coleman Promotion Summary, effective June 24, 2019(Incorporated by reference to the Current Report on Form 8-K filed on June 24,</w:t>
              </w:r>
            </w:hyperlink>
          </w:p>
        </w:tc>
      </w:tr>
      <w:tr>
        <w:trPr>
          <w:trHeight w:val="153"/>
        </w:trPr>
        <w:tc>
          <w:tcPr>
            <w:tcW w:w="13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51">
              <w:r>
                <w:rPr>
                  <w:rFonts w:ascii="Arial" w:cs="Arial" w:eastAsia="Arial" w:hAnsi="Arial"/>
                  <w:sz w:val="17"/>
                  <w:szCs w:val="17"/>
                  <w:color w:val="0000FF"/>
                  <w:w w:val="91"/>
                </w:rPr>
                <w:t>2019)</w:t>
              </w:r>
            </w:hyperlink>
          </w:p>
        </w:tc>
        <w:tc>
          <w:tcPr>
            <w:tcW w:w="2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10.41</w:t>
            </w:r>
          </w:p>
        </w:tc>
        <w:tc>
          <w:tcPr>
            <w:tcW w:w="10120" w:type="dxa"/>
            <w:vAlign w:val="bottom"/>
            <w:gridSpan w:val="32"/>
          </w:tcPr>
          <w:p>
            <w:pPr>
              <w:spacing w:after="0"/>
              <w:rPr>
                <w:rFonts w:ascii="Arial" w:cs="Arial" w:eastAsia="Arial" w:hAnsi="Arial"/>
                <w:sz w:val="18"/>
                <w:szCs w:val="18"/>
                <w:color w:val="0000FF"/>
                <w:w w:val="93"/>
              </w:rPr>
            </w:pPr>
            <w:hyperlink r:id="rId151">
              <w:r>
                <w:rPr>
                  <w:rFonts w:ascii="Arial" w:cs="Arial" w:eastAsia="Arial" w:hAnsi="Arial"/>
                  <w:sz w:val="18"/>
                  <w:szCs w:val="18"/>
                  <w:color w:val="0000FF"/>
                  <w:w w:val="93"/>
                </w:rPr>
                <w:t>Anderson Offer Summary, effective June 24, 2019(Incorporated by reference to the Current Report on Form 8-K filed on June 24, 2019)</w:t>
              </w:r>
            </w:hyperlink>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10.42</w:t>
            </w:r>
          </w:p>
        </w:tc>
        <w:tc>
          <w:tcPr>
            <w:tcW w:w="10120" w:type="dxa"/>
            <w:vAlign w:val="bottom"/>
            <w:gridSpan w:val="32"/>
          </w:tcPr>
          <w:p>
            <w:pPr>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Annual Executive Physical Medical Exam Arrangement (Incorporated by reference to the Exhibit 10.2 to the Company’s Current Report</w:t>
              </w:r>
            </w:hyperlink>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52">
              <w:r>
                <w:rPr>
                  <w:rFonts w:ascii="Arial" w:cs="Arial" w:eastAsia="Arial" w:hAnsi="Arial"/>
                  <w:sz w:val="17"/>
                  <w:szCs w:val="17"/>
                  <w:color w:val="0000FF"/>
                </w:rPr>
                <w:t>on Form 8-K filed on July 29, 2013)*</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10.43</w:t>
            </w:r>
          </w:p>
        </w:tc>
        <w:tc>
          <w:tcPr>
            <w:tcW w:w="10120" w:type="dxa"/>
            <w:vAlign w:val="bottom"/>
            <w:gridSpan w:val="32"/>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Amended and Restated Management Incentive Compensation Plan, as of January 1, 2008 (Incorporated by reference to Exhibit 10.43(c)</w:t>
              </w:r>
            </w:hyperlink>
          </w:p>
        </w:tc>
      </w:tr>
      <w:tr>
        <w:trPr>
          <w:trHeight w:val="153"/>
        </w:trPr>
        <w:tc>
          <w:tcPr>
            <w:tcW w:w="134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4"/>
              </w:rPr>
            </w:pPr>
            <w:hyperlink r:id="rId153">
              <w:r>
                <w:rPr>
                  <w:rFonts w:ascii="Arial" w:cs="Arial" w:eastAsia="Arial" w:hAnsi="Arial"/>
                  <w:sz w:val="17"/>
                  <w:szCs w:val="17"/>
                  <w:color w:val="0000FF"/>
                  <w:w w:val="94"/>
                </w:rPr>
                <w:t>to the Company’s Annual Report on Form 10-K for the year ended December 31, 2007)*</w:t>
              </w:r>
            </w:hyperlink>
          </w:p>
        </w:tc>
        <w:tc>
          <w:tcPr>
            <w:tcW w:w="36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10.44(a)</w:t>
            </w:r>
          </w:p>
        </w:tc>
        <w:tc>
          <w:tcPr>
            <w:tcW w:w="10120" w:type="dxa"/>
            <w:vAlign w:val="bottom"/>
            <w:gridSpan w:val="32"/>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Lease Agreement between 109 Morgan Lane, LLC and Integra LifeSciences Corporation, dated May 15, 2008 (Incorporated by reference</w:t>
              </w:r>
            </w:hyperlink>
          </w:p>
        </w:tc>
      </w:tr>
      <w:tr>
        <w:trPr>
          <w:trHeight w:val="153"/>
        </w:trPr>
        <w:tc>
          <w:tcPr>
            <w:tcW w:w="134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154">
              <w:r>
                <w:rPr>
                  <w:rFonts w:ascii="Arial" w:cs="Arial" w:eastAsia="Arial" w:hAnsi="Arial"/>
                  <w:sz w:val="17"/>
                  <w:szCs w:val="17"/>
                  <w:color w:val="0000FF"/>
                </w:rPr>
                <w:t>to Exhibit 10.10 to the Company’s Quarterly Report on Form 10-Q for the quarter ended June 30,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10.44(b)</w:t>
            </w:r>
          </w:p>
        </w:tc>
        <w:tc>
          <w:tcPr>
            <w:tcW w:w="10120" w:type="dxa"/>
            <w:vAlign w:val="bottom"/>
            <w:gridSpan w:val="32"/>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First Amendment to Lease Agreement between 109 Morgan Lane, LLC and Integra LifeSciences Corporation, dated March 9, 2009</w:t>
              </w:r>
            </w:hyperlink>
          </w:p>
        </w:tc>
      </w:tr>
      <w:tr>
        <w:trPr>
          <w:trHeight w:val="153"/>
        </w:trPr>
        <w:tc>
          <w:tcPr>
            <w:tcW w:w="134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155">
              <w:r>
                <w:rPr>
                  <w:rFonts w:ascii="Arial" w:cs="Arial" w:eastAsia="Arial" w:hAnsi="Arial"/>
                  <w:sz w:val="17"/>
                  <w:szCs w:val="17"/>
                  <w:color w:val="0000FF"/>
                </w:rPr>
                <w:t>(Incorporated by reference to Exhibit 10.9 to the Company’s Quarterly Report on Form 10-Q for the quarter ended March 31, 2009)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10.44(c)</w:t>
            </w:r>
          </w:p>
        </w:tc>
        <w:tc>
          <w:tcPr>
            <w:tcW w:w="10120" w:type="dxa"/>
            <w:vAlign w:val="bottom"/>
            <w:gridSpan w:val="32"/>
          </w:tcPr>
          <w:p>
            <w:pPr>
              <w:spacing w:after="0"/>
              <w:rPr>
                <w:rFonts w:ascii="Arial" w:cs="Arial" w:eastAsia="Arial" w:hAnsi="Arial"/>
                <w:sz w:val="18"/>
                <w:szCs w:val="18"/>
                <w:color w:val="0000FF"/>
                <w:w w:val="96"/>
              </w:rPr>
            </w:pPr>
            <w:hyperlink r:id="rId156">
              <w:r>
                <w:rPr>
                  <w:rFonts w:ascii="Arial" w:cs="Arial" w:eastAsia="Arial" w:hAnsi="Arial"/>
                  <w:sz w:val="18"/>
                  <w:szCs w:val="18"/>
                  <w:color w:val="0000FF"/>
                  <w:w w:val="96"/>
                </w:rPr>
                <w:t>Lease Agreement dated as of July 1, 2013, between 109 Morgan Lane, LLC and Integra LifeSciences Corporation (Incorporated by</w:t>
              </w:r>
            </w:hyperlink>
          </w:p>
        </w:tc>
      </w:tr>
      <w:tr>
        <w:trPr>
          <w:trHeight w:val="153"/>
        </w:trPr>
        <w:tc>
          <w:tcPr>
            <w:tcW w:w="134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56">
              <w:r>
                <w:rPr>
                  <w:rFonts w:ascii="Arial" w:cs="Arial" w:eastAsia="Arial" w:hAnsi="Arial"/>
                  <w:sz w:val="17"/>
                  <w:szCs w:val="17"/>
                  <w:color w:val="0000FF"/>
                </w:rPr>
                <w:t>reference to Exhibit 10.1 to the Company's Current Report on Form 8-K filed on July 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10.45(a)</w:t>
            </w:r>
          </w:p>
        </w:tc>
        <w:tc>
          <w:tcPr>
            <w:tcW w:w="10120" w:type="dxa"/>
            <w:vAlign w:val="bottom"/>
            <w:gridSpan w:val="32"/>
          </w:tcPr>
          <w:p>
            <w:pPr>
              <w:spacing w:after="0"/>
              <w:rPr>
                <w:rFonts w:ascii="Arial" w:cs="Arial" w:eastAsia="Arial" w:hAnsi="Arial"/>
                <w:sz w:val="18"/>
                <w:szCs w:val="18"/>
                <w:color w:val="0000FF"/>
                <w:w w:val="93"/>
              </w:rPr>
            </w:pPr>
            <w:hyperlink r:id="rId157">
              <w:r>
                <w:rPr>
                  <w:rFonts w:ascii="Arial" w:cs="Arial" w:eastAsia="Arial" w:hAnsi="Arial"/>
                  <w:sz w:val="18"/>
                  <w:szCs w:val="18"/>
                  <w:color w:val="0000FF"/>
                  <w:w w:val="93"/>
                </w:rPr>
                <w:t>Receivables Financing Agreement, dated as of December 21, 2018, by and among Integra Receivables LLC, Integra LifeSciences Sales</w:t>
              </w:r>
            </w:hyperlink>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2"/>
          </w:tcPr>
          <w:p>
            <w:pPr>
              <w:spacing w:after="0" w:line="153" w:lineRule="exact"/>
              <w:rPr>
                <w:rFonts w:ascii="Arial" w:cs="Arial" w:eastAsia="Arial" w:hAnsi="Arial"/>
                <w:sz w:val="17"/>
                <w:szCs w:val="17"/>
                <w:color w:val="0000FF"/>
              </w:rPr>
            </w:pPr>
            <w:hyperlink r:id="rId157">
              <w:r>
                <w:rPr>
                  <w:rFonts w:ascii="Arial" w:cs="Arial" w:eastAsia="Arial" w:hAnsi="Arial"/>
                  <w:sz w:val="17"/>
                  <w:szCs w:val="17"/>
                  <w:color w:val="0000FF"/>
                </w:rPr>
                <w:t>LLC, as Servicer, PNC Bank, National Association, as Administrative Agent, PNC Capital Markets LLC, as Structuring Agent,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40" w:type="dxa"/>
            <w:vAlign w:val="bottom"/>
            <w:tcBorders>
              <w:bottom w:val="single" w:sz="8" w:color="0000FF"/>
            </w:tcBorders>
            <w:gridSpan w:val="23"/>
          </w:tcPr>
          <w:p>
            <w:pPr>
              <w:spacing w:after="0" w:line="153" w:lineRule="exact"/>
              <w:rPr>
                <w:rFonts w:ascii="Arial" w:cs="Arial" w:eastAsia="Arial" w:hAnsi="Arial"/>
                <w:sz w:val="17"/>
                <w:szCs w:val="17"/>
                <w:color w:val="0000FF"/>
                <w:w w:val="98"/>
              </w:rPr>
            </w:pPr>
            <w:hyperlink r:id="rId157">
              <w:r>
                <w:rPr>
                  <w:rFonts w:ascii="Arial" w:cs="Arial" w:eastAsia="Arial" w:hAnsi="Arial"/>
                  <w:sz w:val="17"/>
                  <w:szCs w:val="17"/>
                  <w:color w:val="0000FF"/>
                  <w:w w:val="98"/>
                </w:rPr>
                <w:t>certain lenders and group agents that are parties thereto from time to time (Incorporated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120" w:type="dxa"/>
            <w:vAlign w:val="bottom"/>
            <w:gridSpan w:val="32"/>
          </w:tcPr>
          <w:p>
            <w:pPr>
              <w:spacing w:after="0" w:line="153" w:lineRule="exact"/>
              <w:rPr>
                <w:rFonts w:ascii="Arial" w:cs="Arial" w:eastAsia="Arial" w:hAnsi="Arial"/>
                <w:sz w:val="17"/>
                <w:szCs w:val="17"/>
                <w:color w:val="0000FF"/>
              </w:rPr>
            </w:pPr>
            <w:hyperlink r:id="rId157">
              <w:r>
                <w:rPr>
                  <w:rFonts w:ascii="Arial" w:cs="Arial" w:eastAsia="Arial" w:hAnsi="Arial"/>
                  <w:sz w:val="17"/>
                  <w:szCs w:val="17"/>
                  <w:color w:val="0000FF"/>
                </w:rPr>
                <w:t>Current Report on Form 8-K filed on December 28, 2018)</w:t>
              </w:r>
            </w:hyperlink>
          </w:p>
        </w:tc>
      </w:tr>
      <w:tr>
        <w:trPr>
          <w:trHeight w:val="20"/>
        </w:trPr>
        <w:tc>
          <w:tcPr>
            <w:tcW w:w="134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5840" w:type="dxa"/>
            <w:vAlign w:val="bottom"/>
            <w:gridSpan w:val="2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10.45(b)</w:t>
            </w:r>
          </w:p>
        </w:tc>
        <w:tc>
          <w:tcPr>
            <w:tcW w:w="10120" w:type="dxa"/>
            <w:vAlign w:val="bottom"/>
            <w:gridSpan w:val="32"/>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Amendment No. 1 to Receivables Financing Agreement and Reaffirmation of Performance Guaranty, dated as of March 29, 2019, by and</w:t>
              </w:r>
            </w:hyperlink>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4"/>
          </w:tcPr>
          <w:p>
            <w:pPr>
              <w:spacing w:after="0" w:line="153" w:lineRule="exact"/>
              <w:rPr>
                <w:rFonts w:ascii="Arial" w:cs="Arial" w:eastAsia="Arial" w:hAnsi="Arial"/>
                <w:sz w:val="17"/>
                <w:szCs w:val="17"/>
                <w:color w:val="0000FF"/>
              </w:rPr>
            </w:pPr>
            <w:hyperlink r:id="rId158">
              <w:r>
                <w:rPr>
                  <w:rFonts w:ascii="Arial" w:cs="Arial" w:eastAsia="Arial" w:hAnsi="Arial"/>
                  <w:sz w:val="17"/>
                  <w:szCs w:val="17"/>
                  <w:color w:val="0000FF"/>
                </w:rPr>
                <w:t>among Integra Receivables LLC, Integra LifeSciences Sales LLC, as Servicer, PNC Bank, National Associations, as Administrative</w:t>
              </w:r>
            </w:hyperlink>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1340" w:type="dxa"/>
            <w:vAlign w:val="bottom"/>
          </w:tcPr>
          <w:p>
            <w:pPr>
              <w:spacing w:after="0"/>
              <w:rPr>
                <w:sz w:val="13"/>
                <w:szCs w:val="13"/>
                <w:color w:val="auto"/>
              </w:rPr>
            </w:pPr>
          </w:p>
        </w:tc>
        <w:tc>
          <w:tcPr>
            <w:tcW w:w="10080" w:type="dxa"/>
            <w:vAlign w:val="bottom"/>
            <w:gridSpan w:val="30"/>
          </w:tcPr>
          <w:p>
            <w:pPr>
              <w:spacing w:after="0" w:line="154" w:lineRule="exact"/>
              <w:rPr>
                <w:rFonts w:ascii="Arial" w:cs="Arial" w:eastAsia="Arial" w:hAnsi="Arial"/>
                <w:sz w:val="17"/>
                <w:szCs w:val="17"/>
                <w:u w:val="single" w:color="auto"/>
                <w:color w:val="0000FF"/>
                <w:w w:val="98"/>
              </w:rPr>
            </w:pPr>
            <w:hyperlink r:id="rId158">
              <w:r>
                <w:rPr>
                  <w:rFonts w:ascii="Arial" w:cs="Arial" w:eastAsia="Arial" w:hAnsi="Arial"/>
                  <w:sz w:val="17"/>
                  <w:szCs w:val="17"/>
                  <w:u w:val="single" w:color="auto"/>
                  <w:color w:val="0000FF"/>
                  <w:w w:val="98"/>
                </w:rPr>
                <w:t>Agent, Committed Lender and Group Agent, Mizuho Bank, Ltd., as Committed Lender and Group Agent and PNC Capital Markets LLC,</w:t>
              </w:r>
            </w:hyperlink>
          </w:p>
        </w:tc>
        <w:tc>
          <w:tcPr>
            <w:tcW w:w="40" w:type="dxa"/>
            <w:vAlign w:val="bottom"/>
            <w:gridSpan w:val="2"/>
          </w:tcPr>
          <w:p>
            <w:pPr>
              <w:spacing w:after="0"/>
              <w:rPr>
                <w:sz w:val="13"/>
                <w:szCs w:val="13"/>
                <w:color w:val="auto"/>
              </w:rPr>
            </w:pPr>
          </w:p>
        </w:tc>
      </w:tr>
    </w:tbl>
    <w:p>
      <w:pPr>
        <w:ind w:left="1340"/>
        <w:spacing w:after="0" w:line="221"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as Structuring Agent, and certain lenders and group agents that are parties thereto from time to time (Incorporated by reference to the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Company’s Quarterly Report on Form 10-Q for the quarter ended June 30,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10.45(c)</w:t>
            </w:r>
          </w:p>
        </w:tc>
        <w:tc>
          <w:tcPr>
            <w:tcW w:w="10400" w:type="dxa"/>
            <w:vAlign w:val="bottom"/>
            <w:gridSpan w:val="43"/>
          </w:tcPr>
          <w:p>
            <w:pPr>
              <w:spacing w:after="0"/>
              <w:rPr>
                <w:rFonts w:ascii="Arial" w:cs="Arial" w:eastAsia="Arial" w:hAnsi="Arial"/>
                <w:sz w:val="18"/>
                <w:szCs w:val="18"/>
                <w:color w:val="0000FF"/>
                <w:w w:val="96"/>
              </w:rPr>
            </w:pPr>
            <w:hyperlink r:id="rId158">
              <w:r>
                <w:rPr>
                  <w:rFonts w:ascii="Arial" w:cs="Arial" w:eastAsia="Arial" w:hAnsi="Arial"/>
                  <w:sz w:val="18"/>
                  <w:szCs w:val="18"/>
                  <w:color w:val="0000FF"/>
                  <w:w w:val="96"/>
                </w:rPr>
                <w:t>Amendment No. 2 to Receivables Financing Agreement and Reaffirmation of Performance Guaranty, dated as of July 17, 2020, by and</w:t>
              </w:r>
            </w:hyperlink>
          </w:p>
        </w:tc>
      </w:tr>
      <w:tr>
        <w:trPr>
          <w:trHeight w:val="153"/>
        </w:trPr>
        <w:tc>
          <w:tcPr>
            <w:tcW w:w="1340" w:type="dxa"/>
            <w:vAlign w:val="bottom"/>
          </w:tcPr>
          <w:p>
            <w:pPr>
              <w:spacing w:after="0"/>
              <w:rPr>
                <w:sz w:val="13"/>
                <w:szCs w:val="13"/>
                <w:color w:val="auto"/>
              </w:rPr>
            </w:pPr>
          </w:p>
        </w:tc>
        <w:tc>
          <w:tcPr>
            <w:tcW w:w="10300" w:type="dxa"/>
            <w:vAlign w:val="bottom"/>
            <w:tcBorders>
              <w:top w:val="single" w:sz="8" w:color="0000FF"/>
            </w:tcBorders>
            <w:gridSpan w:val="38"/>
          </w:tcPr>
          <w:p>
            <w:pPr>
              <w:spacing w:after="0" w:line="153" w:lineRule="exact"/>
              <w:rPr>
                <w:rFonts w:ascii="Arial" w:cs="Arial" w:eastAsia="Arial" w:hAnsi="Arial"/>
                <w:sz w:val="17"/>
                <w:szCs w:val="17"/>
                <w:color w:val="0000FF"/>
              </w:rPr>
            </w:pPr>
            <w:hyperlink r:id="rId158">
              <w:r>
                <w:rPr>
                  <w:rFonts w:ascii="Arial" w:cs="Arial" w:eastAsia="Arial" w:hAnsi="Arial"/>
                  <w:sz w:val="17"/>
                  <w:szCs w:val="17"/>
                  <w:color w:val="0000FF"/>
                </w:rPr>
                <w:t>among, Integra Receivables LLC, Integra LifeSciences Sales LLC, as Servicer, PNC Bank, National Associations,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w w:val="97"/>
              </w:rPr>
            </w:pPr>
            <w:hyperlink r:id="rId158">
              <w:r>
                <w:rPr>
                  <w:rFonts w:ascii="Arial" w:cs="Arial" w:eastAsia="Arial" w:hAnsi="Arial"/>
                  <w:sz w:val="17"/>
                  <w:szCs w:val="17"/>
                  <w:color w:val="0000FF"/>
                  <w:w w:val="97"/>
                </w:rPr>
                <w:t>Agent, Committed Lender and Group Agent, Mizuho Bank, Ltd., as Committed Lender and Group Agent and PNC Capital Markets LLC,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80" w:type="dxa"/>
            <w:vAlign w:val="bottom"/>
            <w:tcBorders>
              <w:bottom w:val="single" w:sz="8" w:color="0000FF"/>
            </w:tcBorders>
            <w:gridSpan w:val="27"/>
          </w:tcPr>
          <w:p>
            <w:pPr>
              <w:spacing w:after="0" w:line="153" w:lineRule="exact"/>
              <w:rPr>
                <w:rFonts w:ascii="Arial" w:cs="Arial" w:eastAsia="Arial" w:hAnsi="Arial"/>
                <w:sz w:val="17"/>
                <w:szCs w:val="17"/>
                <w:color w:val="0000FF"/>
              </w:rPr>
            </w:pPr>
            <w:hyperlink r:id="rId158">
              <w:r>
                <w:rPr>
                  <w:rFonts w:ascii="Arial" w:cs="Arial" w:eastAsia="Arial" w:hAnsi="Arial"/>
                  <w:sz w:val="17"/>
                  <w:szCs w:val="17"/>
                  <w:color w:val="0000FF"/>
                </w:rPr>
                <w:t>as Structuring Agent, and certain lenders and group agents that are parties thereto from time to time (Incorporated by reference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740" w:type="dxa"/>
            <w:vAlign w:val="bottom"/>
            <w:tcBorders>
              <w:bottom w:val="single" w:sz="8" w:color="0000FF"/>
            </w:tcBorders>
            <w:gridSpan w:val="8"/>
          </w:tcPr>
          <w:p>
            <w:pPr>
              <w:spacing w:after="0" w:line="153" w:lineRule="exact"/>
              <w:rPr>
                <w:rFonts w:ascii="Arial" w:cs="Arial" w:eastAsia="Arial" w:hAnsi="Arial"/>
                <w:sz w:val="17"/>
                <w:szCs w:val="17"/>
                <w:color w:val="0000FF"/>
                <w:w w:val="94"/>
              </w:rPr>
            </w:pPr>
            <w:hyperlink r:id="rId158">
              <w:r>
                <w:rPr>
                  <w:rFonts w:ascii="Arial" w:cs="Arial" w:eastAsia="Arial" w:hAnsi="Arial"/>
                  <w:sz w:val="17"/>
                  <w:szCs w:val="17"/>
                  <w:color w:val="0000FF"/>
                  <w:w w:val="94"/>
                </w:rPr>
                <w:t>Company’s Quarterly Report on Form 10-Q for the quarter ended June 30, 2021)</w:t>
              </w:r>
            </w:hyperlink>
          </w:p>
        </w:tc>
        <w:tc>
          <w:tcPr>
            <w:tcW w:w="436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10.45(d)</w:t>
            </w:r>
          </w:p>
        </w:tc>
        <w:tc>
          <w:tcPr>
            <w:tcW w:w="10400" w:type="dxa"/>
            <w:vAlign w:val="bottom"/>
            <w:gridSpan w:val="43"/>
          </w:tcPr>
          <w:p>
            <w:pPr>
              <w:spacing w:after="0"/>
              <w:rPr>
                <w:rFonts w:ascii="Arial" w:cs="Arial" w:eastAsia="Arial" w:hAnsi="Arial"/>
                <w:sz w:val="18"/>
                <w:szCs w:val="18"/>
                <w:color w:val="0000FF"/>
                <w:w w:val="96"/>
              </w:rPr>
            </w:pPr>
            <w:hyperlink r:id="rId158">
              <w:r>
                <w:rPr>
                  <w:rFonts w:ascii="Arial" w:cs="Arial" w:eastAsia="Arial" w:hAnsi="Arial"/>
                  <w:sz w:val="18"/>
                  <w:szCs w:val="18"/>
                  <w:color w:val="0000FF"/>
                  <w:w w:val="96"/>
                </w:rPr>
                <w:t>Amendment No. 3 to Receivables Financing Agreement and Reaffirmation of Performance Guaranty, dated as of May 28, 2021, by and</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6"/>
          </w:tcPr>
          <w:p>
            <w:pPr>
              <w:spacing w:after="0" w:line="153" w:lineRule="exact"/>
              <w:rPr>
                <w:rFonts w:ascii="Arial" w:cs="Arial" w:eastAsia="Arial" w:hAnsi="Arial"/>
                <w:sz w:val="17"/>
                <w:szCs w:val="17"/>
                <w:color w:val="0000FF"/>
                <w:w w:val="99"/>
              </w:rPr>
            </w:pPr>
            <w:hyperlink r:id="rId158">
              <w:r>
                <w:rPr>
                  <w:rFonts w:ascii="Arial" w:cs="Arial" w:eastAsia="Arial" w:hAnsi="Arial"/>
                  <w:sz w:val="17"/>
                  <w:szCs w:val="17"/>
                  <w:color w:val="0000FF"/>
                  <w:w w:val="99"/>
                </w:rPr>
                <w:t>among, Integra Receivables LLC, Integra LifeSciences Sales LLC, as Servicer, PNC Bank, National Associations,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w w:val="97"/>
              </w:rPr>
            </w:pPr>
            <w:hyperlink r:id="rId158">
              <w:r>
                <w:rPr>
                  <w:rFonts w:ascii="Arial" w:cs="Arial" w:eastAsia="Arial" w:hAnsi="Arial"/>
                  <w:sz w:val="17"/>
                  <w:szCs w:val="17"/>
                  <w:color w:val="0000FF"/>
                  <w:w w:val="97"/>
                </w:rPr>
                <w:t>Agent, PNC Capital Markets LLC, as Structuring Agent, Committed Lender and Group Agent, and certain lenders and group agents that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220" w:type="dxa"/>
            <w:vAlign w:val="bottom"/>
            <w:gridSpan w:val="34"/>
          </w:tcPr>
          <w:p>
            <w:pPr>
              <w:spacing w:after="0" w:line="153" w:lineRule="exact"/>
              <w:rPr>
                <w:rFonts w:ascii="Arial" w:cs="Arial" w:eastAsia="Arial" w:hAnsi="Arial"/>
                <w:sz w:val="17"/>
                <w:szCs w:val="17"/>
                <w:color w:val="0000FF"/>
              </w:rPr>
            </w:pPr>
            <w:hyperlink r:id="rId158">
              <w:r>
                <w:rPr>
                  <w:rFonts w:ascii="Arial" w:cs="Arial" w:eastAsia="Arial" w:hAnsi="Arial"/>
                  <w:sz w:val="17"/>
                  <w:szCs w:val="17"/>
                  <w:color w:val="0000FF"/>
                </w:rPr>
                <w:t>are parties thereto from time to time (Incorporated by reference to the Company’s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1"/>
              </w:rPr>
            </w:pPr>
            <w:hyperlink r:id="rId158">
              <w:r>
                <w:rPr>
                  <w:rFonts w:ascii="Arial" w:cs="Arial" w:eastAsia="Arial" w:hAnsi="Arial"/>
                  <w:sz w:val="17"/>
                  <w:szCs w:val="17"/>
                  <w:color w:val="0000FF"/>
                  <w:w w:val="91"/>
                </w:rPr>
                <w:t>June 30, 2021)</w:t>
              </w:r>
            </w:hyperlink>
          </w:p>
        </w:tc>
        <w:tc>
          <w:tcPr>
            <w:tcW w:w="88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10.46</w:t>
            </w:r>
          </w:p>
        </w:tc>
        <w:tc>
          <w:tcPr>
            <w:tcW w:w="10400" w:type="dxa"/>
            <w:vAlign w:val="bottom"/>
            <w:gridSpan w:val="43"/>
          </w:tcPr>
          <w:p>
            <w:pPr>
              <w:spacing w:after="0"/>
              <w:rPr>
                <w:rFonts w:ascii="Arial" w:cs="Arial" w:eastAsia="Arial" w:hAnsi="Arial"/>
                <w:sz w:val="18"/>
                <w:szCs w:val="18"/>
                <w:color w:val="0000FF"/>
                <w:w w:val="97"/>
              </w:rPr>
            </w:pPr>
            <w:hyperlink r:id="rId160">
              <w:r>
                <w:rPr>
                  <w:rFonts w:ascii="Arial" w:cs="Arial" w:eastAsia="Arial" w:hAnsi="Arial"/>
                  <w:sz w:val="18"/>
                  <w:szCs w:val="18"/>
                  <w:color w:val="0000FF"/>
                  <w:w w:val="97"/>
                </w:rPr>
                <w:t>Purchase and Sale Agreement, dated as of December 21, 2018, by and among Integra LifeSciences Sales LLC, Integra LifeSciences</w:t>
              </w:r>
            </w:hyperlink>
          </w:p>
        </w:tc>
      </w:tr>
      <w:tr>
        <w:trPr>
          <w:trHeight w:val="153"/>
        </w:trPr>
        <w:tc>
          <w:tcPr>
            <w:tcW w:w="13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9"/>
          </w:tcPr>
          <w:p>
            <w:pPr>
              <w:spacing w:after="0" w:line="153" w:lineRule="exact"/>
              <w:rPr>
                <w:rFonts w:ascii="Arial" w:cs="Arial" w:eastAsia="Arial" w:hAnsi="Arial"/>
                <w:sz w:val="17"/>
                <w:szCs w:val="17"/>
                <w:color w:val="0000FF"/>
                <w:w w:val="99"/>
              </w:rPr>
            </w:pPr>
            <w:hyperlink r:id="rId160">
              <w:r>
                <w:rPr>
                  <w:rFonts w:ascii="Arial" w:cs="Arial" w:eastAsia="Arial" w:hAnsi="Arial"/>
                  <w:sz w:val="17"/>
                  <w:szCs w:val="17"/>
                  <w:color w:val="0000FF"/>
                  <w:w w:val="99"/>
                </w:rPr>
                <w:t>Corporation and Integra Receivables LLC (Incorporated by reference to Exhibit 10.1 to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680" w:type="dxa"/>
            <w:vAlign w:val="bottom"/>
            <w:tcBorders>
              <w:bottom w:val="single" w:sz="8" w:color="0000FF"/>
            </w:tcBorders>
            <w:gridSpan w:val="4"/>
          </w:tcPr>
          <w:p>
            <w:pPr>
              <w:spacing w:after="0" w:line="153" w:lineRule="exact"/>
              <w:rPr>
                <w:rFonts w:ascii="Arial" w:cs="Arial" w:eastAsia="Arial" w:hAnsi="Arial"/>
                <w:sz w:val="17"/>
                <w:szCs w:val="17"/>
                <w:color w:val="0000FF"/>
                <w:w w:val="92"/>
              </w:rPr>
            </w:pPr>
            <w:hyperlink r:id="rId160">
              <w:r>
                <w:rPr>
                  <w:rFonts w:ascii="Arial" w:cs="Arial" w:eastAsia="Arial" w:hAnsi="Arial"/>
                  <w:sz w:val="17"/>
                  <w:szCs w:val="17"/>
                  <w:color w:val="0000FF"/>
                  <w:w w:val="92"/>
                </w:rPr>
                <w:t>on December 28, 2018)</w:t>
              </w:r>
            </w:hyperlink>
          </w:p>
        </w:tc>
        <w:tc>
          <w:tcPr>
            <w:tcW w:w="8680" w:type="dxa"/>
            <w:vAlign w:val="bottom"/>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10.47(a)</w:t>
            </w:r>
          </w:p>
        </w:tc>
        <w:tc>
          <w:tcPr>
            <w:tcW w:w="10400" w:type="dxa"/>
            <w:vAlign w:val="bottom"/>
            <w:gridSpan w:val="43"/>
          </w:tcPr>
          <w:p>
            <w:pPr>
              <w:spacing w:after="0"/>
              <w:rPr>
                <w:rFonts w:ascii="Arial" w:cs="Arial" w:eastAsia="Arial" w:hAnsi="Arial"/>
                <w:sz w:val="18"/>
                <w:szCs w:val="18"/>
                <w:color w:val="0000FF"/>
                <w:w w:val="97"/>
              </w:rPr>
            </w:pPr>
            <w:hyperlink r:id="rId161">
              <w:r>
                <w:rPr>
                  <w:rFonts w:ascii="Arial" w:cs="Arial" w:eastAsia="Arial" w:hAnsi="Arial"/>
                  <w:sz w:val="18"/>
                  <w:szCs w:val="18"/>
                  <w:color w:val="0000FF"/>
                  <w:w w:val="97"/>
                </w:rPr>
                <w:t>Sixth Amended and Restated Credit Agreement, dated as of February 3, 2020, among Integra LifeSciences Holdings Corporation, the</w:t>
              </w:r>
            </w:hyperlink>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8"/>
          </w:tcPr>
          <w:p>
            <w:pPr>
              <w:spacing w:after="0" w:line="153" w:lineRule="exact"/>
              <w:rPr>
                <w:rFonts w:ascii="Arial" w:cs="Arial" w:eastAsia="Arial" w:hAnsi="Arial"/>
                <w:sz w:val="17"/>
                <w:szCs w:val="17"/>
                <w:color w:val="0000FF"/>
              </w:rPr>
            </w:pPr>
            <w:hyperlink r:id="rId161">
              <w:r>
                <w:rPr>
                  <w:rFonts w:ascii="Arial" w:cs="Arial" w:eastAsia="Arial" w:hAnsi="Arial"/>
                  <w:sz w:val="17"/>
                  <w:szCs w:val="17"/>
                  <w:color w:val="0000FF"/>
                </w:rPr>
                <w:t>lenders party thereto, Bank of America, N.A., as Administrative Agent, Swing Line Lender and an L/C Issuer, Citibank N.A., Morgan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20" w:type="dxa"/>
            <w:vAlign w:val="bottom"/>
            <w:tcBorders>
              <w:bottom w:val="single" w:sz="8" w:color="0000FF"/>
            </w:tcBorders>
            <w:gridSpan w:val="24"/>
          </w:tcPr>
          <w:p>
            <w:pPr>
              <w:spacing w:after="0" w:line="153" w:lineRule="exact"/>
              <w:rPr>
                <w:rFonts w:ascii="Arial" w:cs="Arial" w:eastAsia="Arial" w:hAnsi="Arial"/>
                <w:sz w:val="17"/>
                <w:szCs w:val="17"/>
                <w:color w:val="0000FF"/>
                <w:w w:val="98"/>
              </w:rPr>
            </w:pPr>
            <w:hyperlink r:id="rId161">
              <w:r>
                <w:rPr>
                  <w:rFonts w:ascii="Arial" w:cs="Arial" w:eastAsia="Arial" w:hAnsi="Arial"/>
                  <w:sz w:val="17"/>
                  <w:szCs w:val="17"/>
                  <w:color w:val="0000FF"/>
                  <w:w w:val="98"/>
                </w:rPr>
                <w:t>Stanley MUFG Loan Partners, LLC and Wells Fargo Bank, N.A., as Co-Syndication Agents, and PNC Bank, N.A., Bank of Nova Scotia,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160" w:type="dxa"/>
            <w:vAlign w:val="bottom"/>
            <w:tcBorders>
              <w:bottom w:val="single" w:sz="8" w:color="0000FF"/>
            </w:tcBorders>
            <w:gridSpan w:val="31"/>
          </w:tcPr>
          <w:p>
            <w:pPr>
              <w:spacing w:after="0" w:line="153" w:lineRule="exact"/>
              <w:rPr>
                <w:rFonts w:ascii="Arial" w:cs="Arial" w:eastAsia="Arial" w:hAnsi="Arial"/>
                <w:sz w:val="17"/>
                <w:szCs w:val="17"/>
                <w:color w:val="0000FF"/>
              </w:rPr>
            </w:pPr>
            <w:hyperlink r:id="rId161">
              <w:r>
                <w:rPr>
                  <w:rFonts w:ascii="Arial" w:cs="Arial" w:eastAsia="Arial" w:hAnsi="Arial"/>
                  <w:sz w:val="17"/>
                  <w:szCs w:val="17"/>
                  <w:color w:val="0000FF"/>
                </w:rPr>
                <w:t>Bank of the West, BBVA USA, Capital One, National Association, Citizens Bank, N.A., DNB Capital LLC, Santander Bank, N.A., TD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320" w:type="dxa"/>
            <w:vAlign w:val="bottom"/>
            <w:gridSpan w:val="39"/>
          </w:tcPr>
          <w:p>
            <w:pPr>
              <w:spacing w:after="0" w:line="153" w:lineRule="exact"/>
              <w:rPr>
                <w:rFonts w:ascii="Arial" w:cs="Arial" w:eastAsia="Arial" w:hAnsi="Arial"/>
                <w:sz w:val="17"/>
                <w:szCs w:val="17"/>
                <w:color w:val="0000FF"/>
              </w:rPr>
            </w:pPr>
            <w:hyperlink r:id="rId161">
              <w:r>
                <w:rPr>
                  <w:rFonts w:ascii="Arial" w:cs="Arial" w:eastAsia="Arial" w:hAnsi="Arial"/>
                  <w:sz w:val="17"/>
                  <w:szCs w:val="17"/>
                  <w:color w:val="0000FF"/>
                </w:rPr>
                <w:t>Bank, N.A. and Truist Bank, as Co-Documentation Agents. (Incorporated by reference to Exhibit 10.1 to the Company’s Current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61">
              <w:r>
                <w:rPr>
                  <w:rFonts w:ascii="Arial" w:cs="Arial" w:eastAsia="Arial" w:hAnsi="Arial"/>
                  <w:sz w:val="17"/>
                  <w:szCs w:val="17"/>
                  <w:color w:val="0000FF"/>
                </w:rPr>
                <w:t>on Form 8-K filed on February 3,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1340" w:type="dxa"/>
            <w:vAlign w:val="bottom"/>
          </w:tcPr>
          <w:p>
            <w:pPr>
              <w:spacing w:after="0"/>
              <w:rPr>
                <w:sz w:val="20"/>
                <w:szCs w:val="20"/>
                <w:color w:val="auto"/>
              </w:rPr>
            </w:pPr>
            <w:r>
              <w:rPr>
                <w:rFonts w:ascii="Arial" w:cs="Arial" w:eastAsia="Arial" w:hAnsi="Arial"/>
                <w:sz w:val="18"/>
                <w:szCs w:val="18"/>
                <w:color w:val="auto"/>
              </w:rPr>
              <w:t>10.47(b)</w:t>
            </w:r>
          </w:p>
        </w:tc>
        <w:tc>
          <w:tcPr>
            <w:tcW w:w="10400" w:type="dxa"/>
            <w:vAlign w:val="bottom"/>
            <w:gridSpan w:val="43"/>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Amendment, dated July 14, 2020, to that Sixth Amended and Restated Credit Agreement, among Integra LifeSciences Holdings</w:t>
              </w:r>
            </w:hyperlink>
          </w:p>
        </w:tc>
      </w:tr>
      <w:tr>
        <w:trPr>
          <w:trHeight w:val="153"/>
        </w:trPr>
        <w:tc>
          <w:tcPr>
            <w:tcW w:w="1340" w:type="dxa"/>
            <w:vAlign w:val="bottom"/>
          </w:tcPr>
          <w:p>
            <w:pPr>
              <w:spacing w:after="0"/>
              <w:rPr>
                <w:sz w:val="13"/>
                <w:szCs w:val="13"/>
                <w:color w:val="auto"/>
              </w:rPr>
            </w:pPr>
          </w:p>
        </w:tc>
        <w:tc>
          <w:tcPr>
            <w:tcW w:w="10340" w:type="dxa"/>
            <w:vAlign w:val="bottom"/>
            <w:tcBorders>
              <w:top w:val="single" w:sz="8" w:color="0000FF"/>
            </w:tcBorders>
            <w:gridSpan w:val="40"/>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Corporation, a syndicate of lending banks, Bank of America, N.A., as Administrative Agent, Swing Line Lender and L/C Issuer, Citibank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260" w:type="dxa"/>
            <w:vAlign w:val="bottom"/>
            <w:tcBorders>
              <w:top w:val="single" w:sz="8" w:color="0000FF"/>
            </w:tcBorders>
            <w:gridSpan w:val="36"/>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N.A., Morgan Stanley MUFG Loan Partners, LLC and Wells Fargo Bank, N.A. as Co-Syndication Agents, and PNC Bank, N.A., Bank of</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Nova Scotia, Bank of the West, BBVA USA, Capital One, National Association, Citizens Bank, N.A., DNB Capital LLC, Santander</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140" w:type="dxa"/>
            <w:vAlign w:val="bottom"/>
            <w:tcBorders>
              <w:bottom w:val="single" w:sz="8" w:color="0000FF"/>
            </w:tcBorders>
            <w:gridSpan w:val="30"/>
          </w:tcPr>
          <w:p>
            <w:pPr>
              <w:spacing w:after="0" w:line="153" w:lineRule="exact"/>
              <w:rPr>
                <w:rFonts w:ascii="Arial" w:cs="Arial" w:eastAsia="Arial" w:hAnsi="Arial"/>
                <w:sz w:val="17"/>
                <w:szCs w:val="17"/>
                <w:color w:val="0000FF"/>
                <w:w w:val="97"/>
              </w:rPr>
            </w:pPr>
            <w:hyperlink r:id="rId162">
              <w:r>
                <w:rPr>
                  <w:rFonts w:ascii="Arial" w:cs="Arial" w:eastAsia="Arial" w:hAnsi="Arial"/>
                  <w:sz w:val="17"/>
                  <w:szCs w:val="17"/>
                  <w:color w:val="0000FF"/>
                  <w:w w:val="97"/>
                </w:rPr>
                <w:t>Bank, N.A., T.D. Bank, N.A. and Truist Bank, as Co-Documentation Agents (as amended, restated, modified and supplemented from time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380" w:type="dxa"/>
            <w:vAlign w:val="bottom"/>
            <w:gridSpan w:val="42"/>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to time prior to the date hereof, the “Credit Agreement”) (Incorporated by reference to Exhibit 4.1 to the Company’s Current Report on</w:t>
              </w:r>
            </w:hyperlink>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r:id="rId162">
              <w:r>
                <w:rPr>
                  <w:rFonts w:ascii="Arial" w:cs="Arial" w:eastAsia="Arial" w:hAnsi="Arial"/>
                  <w:sz w:val="17"/>
                  <w:szCs w:val="17"/>
                  <w:color w:val="0000FF"/>
                </w:rPr>
                <w:t>Form 8-K filed on July 20,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10.48</w:t>
            </w:r>
          </w:p>
        </w:tc>
        <w:tc>
          <w:tcPr>
            <w:tcW w:w="10400" w:type="dxa"/>
            <w:vAlign w:val="bottom"/>
            <w:gridSpan w:val="43"/>
          </w:tcPr>
          <w:p>
            <w:pPr>
              <w:spacing w:after="0"/>
              <w:rPr>
                <w:rFonts w:ascii="Arial" w:cs="Arial" w:eastAsia="Arial" w:hAnsi="Arial"/>
                <w:sz w:val="18"/>
                <w:szCs w:val="18"/>
                <w:color w:val="0000FF"/>
              </w:rPr>
            </w:pPr>
            <w:hyperlink r:id="rId163">
              <w:r>
                <w:rPr>
                  <w:rFonts w:ascii="Arial" w:cs="Arial" w:eastAsia="Arial" w:hAnsi="Arial"/>
                  <w:sz w:val="18"/>
                  <w:szCs w:val="18"/>
                  <w:color w:val="0000FF"/>
                </w:rPr>
                <w:t>Base Call Option Transaction Confirmation, dated as of February 4,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5"/>
              </w:rPr>
            </w:pPr>
            <w:hyperlink r:id="rId163">
              <w:r>
                <w:rPr>
                  <w:rFonts w:ascii="Arial" w:cs="Arial" w:eastAsia="Arial" w:hAnsi="Arial"/>
                  <w:sz w:val="17"/>
                  <w:szCs w:val="17"/>
                  <w:color w:val="0000FF"/>
                  <w:w w:val="95"/>
                </w:rPr>
                <w:t>Citibank, N.A. (Incorporated by reference to Exhibit 10.1 to the Company’s Current Report on Form 8-K filed on February 7, 2020)</w:t>
              </w:r>
            </w:hyperlink>
          </w:p>
        </w:tc>
        <w:tc>
          <w:tcPr>
            <w:tcW w:w="6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10.49</w:t>
            </w:r>
          </w:p>
        </w:tc>
        <w:tc>
          <w:tcPr>
            <w:tcW w:w="10400" w:type="dxa"/>
            <w:vAlign w:val="bottom"/>
            <w:gridSpan w:val="43"/>
          </w:tcPr>
          <w:p>
            <w:pPr>
              <w:spacing w:after="0"/>
              <w:rPr>
                <w:rFonts w:ascii="Arial" w:cs="Arial" w:eastAsia="Arial" w:hAnsi="Arial"/>
                <w:sz w:val="18"/>
                <w:szCs w:val="18"/>
                <w:color w:val="0000FF"/>
                <w:w w:val="95"/>
              </w:rPr>
            </w:pPr>
            <w:hyperlink r:id="rId164">
              <w:r>
                <w:rPr>
                  <w:rFonts w:ascii="Arial" w:cs="Arial" w:eastAsia="Arial" w:hAnsi="Arial"/>
                  <w:sz w:val="18"/>
                  <w:szCs w:val="18"/>
                  <w:color w:val="0000FF"/>
                  <w:w w:val="95"/>
                </w:rPr>
                <w:t>Ratification Agreement, dated as of February 3, 2020, between Integra LifeSciences Holdings Corporation, the Subsidiary Guarantors of</w:t>
              </w:r>
            </w:hyperlink>
          </w:p>
        </w:tc>
      </w:tr>
      <w:tr>
        <w:trPr>
          <w:trHeight w:val="153"/>
        </w:trPr>
        <w:tc>
          <w:tcPr>
            <w:tcW w:w="1340" w:type="dxa"/>
            <w:vAlign w:val="bottom"/>
          </w:tcPr>
          <w:p>
            <w:pPr>
              <w:spacing w:after="0"/>
              <w:rPr>
                <w:sz w:val="13"/>
                <w:szCs w:val="13"/>
                <w:color w:val="auto"/>
              </w:rPr>
            </w:pPr>
          </w:p>
        </w:tc>
        <w:tc>
          <w:tcPr>
            <w:tcW w:w="10240" w:type="dxa"/>
            <w:vAlign w:val="bottom"/>
            <w:tcBorders>
              <w:top w:val="single" w:sz="8" w:color="0000FF"/>
            </w:tcBorders>
            <w:gridSpan w:val="35"/>
          </w:tcPr>
          <w:p>
            <w:pPr>
              <w:spacing w:after="0" w:line="153" w:lineRule="exact"/>
              <w:rPr>
                <w:rFonts w:ascii="Arial" w:cs="Arial" w:eastAsia="Arial" w:hAnsi="Arial"/>
                <w:sz w:val="17"/>
                <w:szCs w:val="17"/>
                <w:color w:val="0000FF"/>
              </w:rPr>
            </w:pPr>
            <w:hyperlink r:id="rId164">
              <w:r>
                <w:rPr>
                  <w:rFonts w:ascii="Arial" w:cs="Arial" w:eastAsia="Arial" w:hAnsi="Arial"/>
                  <w:sz w:val="17"/>
                  <w:szCs w:val="17"/>
                  <w:color w:val="0000FF"/>
                </w:rPr>
                <w:t>Integra LifeSciences Holdings Corporation and Bank of America, N.A., as Administrative Agent (Incorporated by reference to Exhibit</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64">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2</w:t>
              </w:r>
              <w:r>
                <w:rPr>
                  <w:rFonts w:ascii="Arial" w:cs="Arial" w:eastAsia="Arial" w:hAnsi="Arial"/>
                  <w:sz w:val="17"/>
                  <w:szCs w:val="17"/>
                  <w:color w:val="0000FF"/>
                  <w:w w:val="95"/>
                </w:rPr>
                <w:t xml:space="preserve"> to the Company’s Current Report on Form 8-K filed on February 3, 2020)</w:t>
              </w:r>
            </w:hyperlink>
          </w:p>
        </w:tc>
        <w:tc>
          <w:tcPr>
            <w:tcW w:w="4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10.50</w:t>
            </w:r>
          </w:p>
        </w:tc>
        <w:tc>
          <w:tcPr>
            <w:tcW w:w="10400" w:type="dxa"/>
            <w:vAlign w:val="bottom"/>
            <w:gridSpan w:val="4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Base Call Option Transaction Confirmation, dated as of February 4,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3" w:lineRule="exact"/>
              <w:rPr>
                <w:rFonts w:ascii="Arial" w:cs="Arial" w:eastAsia="Arial" w:hAnsi="Arial"/>
                <w:sz w:val="17"/>
                <w:szCs w:val="17"/>
                <w:color w:val="0000FF"/>
                <w:w w:val="99"/>
              </w:rPr>
            </w:pPr>
            <w:hyperlink r:id="rId165">
              <w:r>
                <w:rPr>
                  <w:rFonts w:ascii="Arial" w:cs="Arial" w:eastAsia="Arial" w:hAnsi="Arial"/>
                  <w:sz w:val="17"/>
                  <w:szCs w:val="17"/>
                  <w:color w:val="0000FF"/>
                  <w:w w:val="99"/>
                </w:rPr>
                <w:t>Morgan Stanley &amp; Co. International plc. (Incorporated by reference to Exhibit 10.3 to the Company’s Current Report on Form 8-K filed</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3"/>
              </w:rPr>
            </w:pPr>
            <w:hyperlink r:id="rId165">
              <w:r>
                <w:rPr>
                  <w:rFonts w:ascii="Arial" w:cs="Arial" w:eastAsia="Arial" w:hAnsi="Arial"/>
                  <w:sz w:val="17"/>
                  <w:szCs w:val="17"/>
                  <w:color w:val="0000FF"/>
                  <w:w w:val="93"/>
                </w:rPr>
                <w:t>on February 7, 2020)</w:t>
              </w:r>
            </w:hyperlink>
          </w:p>
        </w:tc>
        <w:tc>
          <w:tcPr>
            <w:tcW w:w="848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10.51</w:t>
            </w:r>
          </w:p>
        </w:tc>
        <w:tc>
          <w:tcPr>
            <w:tcW w:w="10400" w:type="dxa"/>
            <w:vAlign w:val="bottom"/>
            <w:gridSpan w:val="43"/>
          </w:tcPr>
          <w:p>
            <w:pPr>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Base Call Option Transaction Confirmation, dated as of February 4, 2020, between Integra LifeSciences Holdings Corporation and Wells</w:t>
              </w:r>
            </w:hyperlink>
          </w:p>
        </w:tc>
      </w:tr>
      <w:tr>
        <w:trPr>
          <w:trHeight w:val="153"/>
        </w:trPr>
        <w:tc>
          <w:tcPr>
            <w:tcW w:w="134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3" w:lineRule="exact"/>
              <w:rPr>
                <w:rFonts w:ascii="Arial" w:cs="Arial" w:eastAsia="Arial" w:hAnsi="Arial"/>
                <w:sz w:val="17"/>
                <w:szCs w:val="17"/>
                <w:color w:val="0000FF"/>
              </w:rPr>
            </w:pPr>
            <w:hyperlink r:id="rId166">
              <w:r>
                <w:rPr>
                  <w:rFonts w:ascii="Arial" w:cs="Arial" w:eastAsia="Arial" w:hAnsi="Arial"/>
                  <w:sz w:val="17"/>
                  <w:szCs w:val="17"/>
                  <w:color w:val="0000FF"/>
                </w:rPr>
                <w:t>Fargo, National Association. (Incorporated by reference to Exhibit 10.4 to the Company’s Current Report on Form 8-K filed on February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166">
              <w:r>
                <w:rPr>
                  <w:rFonts w:ascii="Arial" w:cs="Arial" w:eastAsia="Arial" w:hAnsi="Arial"/>
                  <w:sz w:val="17"/>
                  <w:szCs w:val="17"/>
                  <w:color w:val="0000FF"/>
                  <w:w w:val="92"/>
                </w:rPr>
                <w:t>7, 2020)</w:t>
              </w:r>
            </w:hyperlink>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10.52</w:t>
            </w:r>
          </w:p>
        </w:tc>
        <w:tc>
          <w:tcPr>
            <w:tcW w:w="10400" w:type="dxa"/>
            <w:vAlign w:val="bottom"/>
            <w:gridSpan w:val="4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Base Warrant Confirmation, dated as of February 4, 2020, between Integra LifeSciences Holdings Corporation and Citibank, N.A.</w:t>
              </w:r>
            </w:hyperlink>
          </w:p>
        </w:tc>
      </w:tr>
      <w:tr>
        <w:trPr>
          <w:trHeight w:val="153"/>
        </w:trPr>
        <w:tc>
          <w:tcPr>
            <w:tcW w:w="134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5"/>
              </w:rPr>
            </w:pPr>
            <w:hyperlink r:id="rId167">
              <w:r>
                <w:rPr>
                  <w:rFonts w:ascii="Arial" w:cs="Arial" w:eastAsia="Arial" w:hAnsi="Arial"/>
                  <w:sz w:val="17"/>
                  <w:szCs w:val="17"/>
                  <w:color w:val="0000FF"/>
                  <w:w w:val="95"/>
                </w:rPr>
                <w:t>(Incorporated by reference to Exhibit 10.5 to the Company’s Current Report on Form 8-K filed on February 7, 2020)</w:t>
              </w:r>
            </w:hyperlink>
          </w:p>
        </w:tc>
        <w:tc>
          <w:tcPr>
            <w:tcW w:w="1780" w:type="dxa"/>
            <w:vAlign w:val="bottom"/>
            <w:tcBorders>
              <w:top w:val="single" w:sz="8" w:color="0000FF"/>
            </w:tcBorders>
            <w:gridSpan w:val="17"/>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52"/>
        </w:trPr>
        <w:tc>
          <w:tcPr>
            <w:tcW w:w="1340" w:type="dxa"/>
            <w:vAlign w:val="bottom"/>
          </w:tcPr>
          <w:p>
            <w:pPr>
              <w:spacing w:after="0"/>
              <w:rPr>
                <w:sz w:val="20"/>
                <w:szCs w:val="20"/>
                <w:color w:val="auto"/>
              </w:rPr>
            </w:pPr>
            <w:r>
              <w:rPr>
                <w:rFonts w:ascii="Arial" w:cs="Arial" w:eastAsia="Arial" w:hAnsi="Arial"/>
                <w:sz w:val="18"/>
                <w:szCs w:val="18"/>
                <w:color w:val="auto"/>
              </w:rPr>
              <w:t>10.53</w:t>
            </w:r>
          </w:p>
        </w:tc>
        <w:tc>
          <w:tcPr>
            <w:tcW w:w="10400" w:type="dxa"/>
            <w:vAlign w:val="bottom"/>
            <w:gridSpan w:val="43"/>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Base Warrant Confirmation, dated as of February 4, 2020, between Integra LifeSciences Holdings Corporation and Goldman Sachs &amp; Co.</w:t>
              </w:r>
            </w:hyperlink>
          </w:p>
        </w:tc>
      </w:tr>
      <w:tr>
        <w:trPr>
          <w:trHeight w:val="153"/>
        </w:trPr>
        <w:tc>
          <w:tcPr>
            <w:tcW w:w="134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68">
              <w:r>
                <w:rPr>
                  <w:rFonts w:ascii="Arial" w:cs="Arial" w:eastAsia="Arial" w:hAnsi="Arial"/>
                  <w:sz w:val="17"/>
                  <w:szCs w:val="17"/>
                  <w:color w:val="0000FF"/>
                  <w:w w:val="95"/>
                </w:rPr>
                <w:t>LLC. (Incorporated by reference to Exhibit 10.6 to the Company’s Current Report on Form 8-K filed on February 7, 2020)</w:t>
              </w:r>
            </w:hyperlink>
          </w:p>
        </w:tc>
        <w:tc>
          <w:tcPr>
            <w:tcW w:w="1580" w:type="dxa"/>
            <w:vAlign w:val="bottom"/>
            <w:tcBorders>
              <w:top w:val="single" w:sz="8" w:color="0000FF"/>
            </w:tcBorders>
            <w:gridSpan w:val="2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10.54</w:t>
            </w:r>
          </w:p>
        </w:tc>
        <w:tc>
          <w:tcPr>
            <w:tcW w:w="10400" w:type="dxa"/>
            <w:vAlign w:val="bottom"/>
            <w:gridSpan w:val="43"/>
          </w:tcPr>
          <w:p>
            <w:pPr>
              <w:spacing w:after="0"/>
              <w:rPr>
                <w:rFonts w:ascii="Arial" w:cs="Arial" w:eastAsia="Arial" w:hAnsi="Arial"/>
                <w:sz w:val="18"/>
                <w:szCs w:val="18"/>
                <w:color w:val="0000FF"/>
                <w:w w:val="94"/>
              </w:rPr>
            </w:pPr>
            <w:hyperlink r:id="rId169">
              <w:r>
                <w:rPr>
                  <w:rFonts w:ascii="Arial" w:cs="Arial" w:eastAsia="Arial" w:hAnsi="Arial"/>
                  <w:sz w:val="18"/>
                  <w:szCs w:val="18"/>
                  <w:color w:val="0000FF"/>
                  <w:w w:val="94"/>
                </w:rPr>
                <w:t>Base Warrant Confirmation, dated as of February 4, 2020, between Integra LifeSciences Holdings Corporation and Morgan Stanley &amp; Co.</w:t>
              </w:r>
            </w:hyperlink>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3" w:lineRule="exact"/>
              <w:rPr>
                <w:rFonts w:ascii="Arial" w:cs="Arial" w:eastAsia="Arial" w:hAnsi="Arial"/>
                <w:sz w:val="17"/>
                <w:szCs w:val="17"/>
                <w:color w:val="0000FF"/>
                <w:w w:val="98"/>
              </w:rPr>
            </w:pPr>
            <w:hyperlink r:id="rId169">
              <w:r>
                <w:rPr>
                  <w:rFonts w:ascii="Arial" w:cs="Arial" w:eastAsia="Arial" w:hAnsi="Arial"/>
                  <w:sz w:val="17"/>
                  <w:szCs w:val="17"/>
                  <w:color w:val="0000FF"/>
                  <w:w w:val="98"/>
                </w:rPr>
                <w:t>International plc. (Incorporated by reference to Exhibit 10.7 to the Company’s Current Report on Form 8-K filed on February 7, 2020)</w:t>
              </w:r>
            </w:hyperlink>
          </w:p>
        </w:tc>
        <w:tc>
          <w:tcPr>
            <w:tcW w:w="340" w:type="dxa"/>
            <w:vAlign w:val="bottom"/>
            <w:gridSpan w:val="17"/>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9200" w:type="dxa"/>
            <w:vAlign w:val="bottom"/>
            <w:gridSpan w:val="11"/>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gridSpan w:val="1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99"/>
        </w:trPr>
        <w:tc>
          <w:tcPr>
            <w:tcW w:w="1340" w:type="dxa"/>
            <w:vAlign w:val="bottom"/>
          </w:tcPr>
          <w:p>
            <w:pPr>
              <w:spacing w:after="0"/>
              <w:rPr>
                <w:sz w:val="20"/>
                <w:szCs w:val="20"/>
                <w:color w:val="auto"/>
              </w:rPr>
            </w:pPr>
            <w:r>
              <w:rPr>
                <w:rFonts w:ascii="Arial" w:cs="Arial" w:eastAsia="Arial" w:hAnsi="Arial"/>
                <w:sz w:val="18"/>
                <w:szCs w:val="18"/>
                <w:color w:val="auto"/>
              </w:rPr>
              <w:t>10.55</w:t>
            </w:r>
          </w:p>
        </w:tc>
        <w:tc>
          <w:tcPr>
            <w:tcW w:w="10400" w:type="dxa"/>
            <w:vAlign w:val="bottom"/>
            <w:gridSpan w:val="43"/>
          </w:tcPr>
          <w:p>
            <w:pPr>
              <w:spacing w:after="0"/>
              <w:rPr>
                <w:rFonts w:ascii="Arial" w:cs="Arial" w:eastAsia="Arial" w:hAnsi="Arial"/>
                <w:sz w:val="18"/>
                <w:szCs w:val="18"/>
                <w:color w:val="0000FF"/>
                <w:w w:val="95"/>
              </w:rPr>
            </w:pPr>
            <w:hyperlink r:id="rId170">
              <w:r>
                <w:rPr>
                  <w:rFonts w:ascii="Arial" w:cs="Arial" w:eastAsia="Arial" w:hAnsi="Arial"/>
                  <w:sz w:val="18"/>
                  <w:szCs w:val="18"/>
                  <w:color w:val="0000FF"/>
                  <w:w w:val="95"/>
                </w:rPr>
                <w:t>Base Warrant Confirmation, dated as of February 4, 2020, between Integra LifeSciences Holdings Corporation and Wells Fargo, National</w:t>
              </w:r>
            </w:hyperlink>
          </w:p>
        </w:tc>
      </w:tr>
      <w:tr>
        <w:trPr>
          <w:trHeight w:val="153"/>
        </w:trPr>
        <w:tc>
          <w:tcPr>
            <w:tcW w:w="134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70">
              <w:r>
                <w:rPr>
                  <w:rFonts w:ascii="Arial" w:cs="Arial" w:eastAsia="Arial" w:hAnsi="Arial"/>
                  <w:sz w:val="17"/>
                  <w:szCs w:val="17"/>
                  <w:color w:val="0000FF"/>
                  <w:w w:val="95"/>
                </w:rPr>
                <w:t>Association. (Incorporated by reference to Exhibit 10.8 to the Company’s Current Report on Form 8-K filed on February 7, 2020)</w:t>
              </w:r>
            </w:hyperlink>
          </w:p>
        </w:tc>
        <w:tc>
          <w:tcPr>
            <w:tcW w:w="980" w:type="dxa"/>
            <w:vAlign w:val="bottom"/>
            <w:tcBorders>
              <w:top w:val="single" w:sz="8" w:color="0000FF"/>
            </w:tcBorders>
            <w:gridSpan w:val="21"/>
          </w:tcPr>
          <w:p>
            <w:pPr>
              <w:spacing w:after="0"/>
              <w:rPr>
                <w:sz w:val="13"/>
                <w:szCs w:val="13"/>
                <w:color w:val="auto"/>
              </w:rPr>
            </w:pPr>
          </w:p>
        </w:tc>
        <w:tc>
          <w:tcPr>
            <w:tcW w:w="220" w:type="dxa"/>
            <w:vAlign w:val="bottom"/>
            <w:gridSpan w:val="11"/>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10.56</w:t>
            </w:r>
          </w:p>
        </w:tc>
        <w:tc>
          <w:tcPr>
            <w:tcW w:w="10080" w:type="dxa"/>
            <w:vAlign w:val="bottom"/>
            <w:gridSpan w:val="33"/>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6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8"/>
          </w:tcPr>
          <w:p>
            <w:pPr>
              <w:spacing w:after="0" w:line="153" w:lineRule="exact"/>
              <w:rPr>
                <w:rFonts w:ascii="Arial" w:cs="Arial" w:eastAsia="Arial" w:hAnsi="Arial"/>
                <w:sz w:val="17"/>
                <w:szCs w:val="17"/>
                <w:color w:val="0000FF"/>
                <w:w w:val="95"/>
              </w:rPr>
            </w:pPr>
            <w:hyperlink r:id="rId172">
              <w:r>
                <w:rPr>
                  <w:rFonts w:ascii="Arial" w:cs="Arial" w:eastAsia="Arial" w:hAnsi="Arial"/>
                  <w:sz w:val="17"/>
                  <w:szCs w:val="17"/>
                  <w:color w:val="0000FF"/>
                  <w:w w:val="95"/>
                </w:rPr>
                <w:t>Citibank, N.A. (Incorporated by reference to Exhibit 10.9 to the Company’s Current Report on Form 8-K filed on February 7, 2020)</w:t>
              </w:r>
            </w:hyperlink>
          </w:p>
        </w:tc>
        <w:tc>
          <w:tcPr>
            <w:tcW w:w="5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9"/>
        </w:trPr>
        <w:tc>
          <w:tcPr>
            <w:tcW w:w="1360" w:type="dxa"/>
            <w:vAlign w:val="bottom"/>
          </w:tcPr>
          <w:p>
            <w:pPr>
              <w:ind w:left="20"/>
              <w:spacing w:after="0"/>
              <w:rPr>
                <w:sz w:val="20"/>
                <w:szCs w:val="20"/>
                <w:color w:val="auto"/>
              </w:rPr>
            </w:pPr>
            <w:r>
              <w:rPr>
                <w:rFonts w:ascii="Arial" w:cs="Arial" w:eastAsia="Arial" w:hAnsi="Arial"/>
                <w:sz w:val="18"/>
                <w:szCs w:val="18"/>
                <w:color w:val="auto"/>
              </w:rPr>
              <w:t>10.57</w:t>
            </w:r>
          </w:p>
        </w:tc>
        <w:tc>
          <w:tcPr>
            <w:tcW w:w="10080" w:type="dxa"/>
            <w:vAlign w:val="bottom"/>
            <w:gridSpan w:val="33"/>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60" w:type="dxa"/>
            <w:vAlign w:val="bottom"/>
          </w:tcPr>
          <w:p>
            <w:pPr>
              <w:spacing w:after="0"/>
              <w:rPr>
                <w:sz w:val="13"/>
                <w:szCs w:val="13"/>
                <w:color w:val="auto"/>
              </w:rPr>
            </w:pPr>
          </w:p>
        </w:tc>
        <w:tc>
          <w:tcPr>
            <w:tcW w:w="9940" w:type="dxa"/>
            <w:vAlign w:val="bottom"/>
            <w:tcBorders>
              <w:top w:val="single" w:sz="8" w:color="0000FF"/>
            </w:tcBorders>
            <w:gridSpan w:val="26"/>
          </w:tcPr>
          <w:p>
            <w:pPr>
              <w:spacing w:after="0" w:line="153" w:lineRule="exact"/>
              <w:rPr>
                <w:rFonts w:ascii="Arial" w:cs="Arial" w:eastAsia="Arial" w:hAnsi="Arial"/>
                <w:sz w:val="17"/>
                <w:szCs w:val="17"/>
                <w:color w:val="0000FF"/>
                <w:w w:val="97"/>
              </w:rPr>
            </w:pPr>
            <w:hyperlink r:id="rId173">
              <w:r>
                <w:rPr>
                  <w:rFonts w:ascii="Arial" w:cs="Arial" w:eastAsia="Arial" w:hAnsi="Arial"/>
                  <w:sz w:val="17"/>
                  <w:szCs w:val="17"/>
                  <w:color w:val="0000FF"/>
                  <w:w w:val="97"/>
                </w:rPr>
                <w:t>Goldman Sachs &amp; Co. LLC. (Incorporated by reference to Exhibit 10.10 to the Company’s Current Report on Form 8-K filed on February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6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2"/>
              </w:rPr>
            </w:pPr>
            <w:hyperlink r:id="rId173">
              <w:r>
                <w:rPr>
                  <w:rFonts w:ascii="Arial" w:cs="Arial" w:eastAsia="Arial" w:hAnsi="Arial"/>
                  <w:sz w:val="17"/>
                  <w:szCs w:val="17"/>
                  <w:color w:val="0000FF"/>
                  <w:w w:val="92"/>
                </w:rPr>
                <w:t>7, 2020)</w:t>
              </w:r>
            </w:hyperlink>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10.58</w:t>
            </w:r>
          </w:p>
        </w:tc>
        <w:tc>
          <w:tcPr>
            <w:tcW w:w="10080" w:type="dxa"/>
            <w:vAlign w:val="bottom"/>
            <w:gridSpan w:val="33"/>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60" w:type="dxa"/>
            <w:vAlign w:val="bottom"/>
          </w:tcPr>
          <w:p>
            <w:pPr>
              <w:spacing w:after="0"/>
              <w:rPr>
                <w:sz w:val="13"/>
                <w:szCs w:val="13"/>
                <w:color w:val="auto"/>
              </w:rPr>
            </w:pPr>
          </w:p>
        </w:tc>
        <w:tc>
          <w:tcPr>
            <w:tcW w:w="9940" w:type="dxa"/>
            <w:vAlign w:val="bottom"/>
            <w:tcBorders>
              <w:top w:val="single" w:sz="8" w:color="0000FF"/>
            </w:tcBorders>
            <w:gridSpan w:val="26"/>
          </w:tcPr>
          <w:p>
            <w:pPr>
              <w:spacing w:after="0" w:line="153" w:lineRule="exact"/>
              <w:rPr>
                <w:rFonts w:ascii="Arial" w:cs="Arial" w:eastAsia="Arial" w:hAnsi="Arial"/>
                <w:sz w:val="17"/>
                <w:szCs w:val="17"/>
                <w:color w:val="0000FF"/>
                <w:w w:val="98"/>
              </w:rPr>
            </w:pPr>
            <w:hyperlink r:id="rId98">
              <w:r>
                <w:rPr>
                  <w:rFonts w:ascii="Arial" w:cs="Arial" w:eastAsia="Arial" w:hAnsi="Arial"/>
                  <w:sz w:val="17"/>
                  <w:szCs w:val="17"/>
                  <w:color w:val="0000FF"/>
                  <w:w w:val="98"/>
                </w:rPr>
                <w:t>Morgan Stanley &amp; Co. International plc. (Incorporated by reference to Exhibit 10.11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6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3"/>
              </w:rPr>
            </w:pPr>
            <w:hyperlink r:id="rId98">
              <w:r>
                <w:rPr>
                  <w:rFonts w:ascii="Arial" w:cs="Arial" w:eastAsia="Arial" w:hAnsi="Arial"/>
                  <w:sz w:val="17"/>
                  <w:szCs w:val="17"/>
                  <w:color w:val="0000FF"/>
                  <w:w w:val="93"/>
                </w:rPr>
                <w:t>on February 7, 2020)</w:t>
              </w:r>
            </w:hyperlink>
          </w:p>
        </w:tc>
        <w:tc>
          <w:tcPr>
            <w:tcW w:w="84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10.59</w:t>
            </w:r>
          </w:p>
        </w:tc>
        <w:tc>
          <w:tcPr>
            <w:tcW w:w="10080" w:type="dxa"/>
            <w:vAlign w:val="bottom"/>
            <w:gridSpan w:val="33"/>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60" w:type="dxa"/>
            <w:vAlign w:val="bottom"/>
          </w:tcPr>
          <w:p>
            <w:pPr>
              <w:spacing w:after="0"/>
              <w:rPr>
                <w:sz w:val="13"/>
                <w:szCs w:val="13"/>
                <w:color w:val="auto"/>
              </w:rPr>
            </w:pPr>
          </w:p>
        </w:tc>
        <w:tc>
          <w:tcPr>
            <w:tcW w:w="9940" w:type="dxa"/>
            <w:vAlign w:val="bottom"/>
            <w:tcBorders>
              <w:top w:val="single" w:sz="8" w:color="0000FF"/>
            </w:tcBorders>
            <w:gridSpan w:val="26"/>
          </w:tcPr>
          <w:p>
            <w:pPr>
              <w:spacing w:after="0" w:line="153" w:lineRule="exact"/>
              <w:rPr>
                <w:rFonts w:ascii="Arial" w:cs="Arial" w:eastAsia="Arial" w:hAnsi="Arial"/>
                <w:sz w:val="17"/>
                <w:szCs w:val="17"/>
                <w:color w:val="0000FF"/>
                <w:w w:val="99"/>
              </w:rPr>
            </w:pPr>
            <w:hyperlink r:id="rId174">
              <w:r>
                <w:rPr>
                  <w:rFonts w:ascii="Arial" w:cs="Arial" w:eastAsia="Arial" w:hAnsi="Arial"/>
                  <w:sz w:val="17"/>
                  <w:szCs w:val="17"/>
                  <w:color w:val="0000FF"/>
                  <w:w w:val="99"/>
                </w:rPr>
                <w:t>Wells Fargo, National Association. (Incorporated by reference to Exhibit 10.12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6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3"/>
              </w:rPr>
            </w:pPr>
            <w:hyperlink r:id="rId174">
              <w:r>
                <w:rPr>
                  <w:rFonts w:ascii="Arial" w:cs="Arial" w:eastAsia="Arial" w:hAnsi="Arial"/>
                  <w:sz w:val="17"/>
                  <w:szCs w:val="17"/>
                  <w:color w:val="0000FF"/>
                  <w:w w:val="93"/>
                </w:rPr>
                <w:t>February 7, 2020)</w:t>
              </w:r>
            </w:hyperlink>
          </w:p>
        </w:tc>
        <w:tc>
          <w:tcPr>
            <w:tcW w:w="86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9"/>
        </w:trPr>
        <w:tc>
          <w:tcPr>
            <w:tcW w:w="1360" w:type="dxa"/>
            <w:vAlign w:val="bottom"/>
          </w:tcPr>
          <w:p>
            <w:pPr>
              <w:ind w:left="20"/>
              <w:spacing w:after="0"/>
              <w:rPr>
                <w:sz w:val="20"/>
                <w:szCs w:val="20"/>
                <w:color w:val="auto"/>
              </w:rPr>
            </w:pPr>
            <w:r>
              <w:rPr>
                <w:rFonts w:ascii="Arial" w:cs="Arial" w:eastAsia="Arial" w:hAnsi="Arial"/>
                <w:sz w:val="18"/>
                <w:szCs w:val="18"/>
                <w:color w:val="auto"/>
              </w:rPr>
              <w:t>10.60</w:t>
            </w:r>
          </w:p>
        </w:tc>
        <w:tc>
          <w:tcPr>
            <w:tcW w:w="10080" w:type="dxa"/>
            <w:vAlign w:val="bottom"/>
            <w:gridSpan w:val="33"/>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Additional Warrant Confirmation, dated as of February 5, 2020, between Integra LifeSciences Holdings Corporation and Citibank, N.A.</w:t>
              </w:r>
            </w:hyperlink>
          </w:p>
        </w:tc>
      </w:tr>
      <w:tr>
        <w:trPr>
          <w:trHeight w:val="153"/>
        </w:trPr>
        <w:tc>
          <w:tcPr>
            <w:tcW w:w="1360" w:type="dxa"/>
            <w:vAlign w:val="bottom"/>
          </w:tcPr>
          <w:p>
            <w:pPr>
              <w:spacing w:after="0"/>
              <w:rPr>
                <w:sz w:val="13"/>
                <w:szCs w:val="13"/>
                <w:color w:val="auto"/>
              </w:rPr>
            </w:pPr>
          </w:p>
        </w:tc>
        <w:tc>
          <w:tcPr>
            <w:tcW w:w="996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175">
              <w:r>
                <w:rPr>
                  <w:rFonts w:ascii="Arial" w:cs="Arial" w:eastAsia="Arial" w:hAnsi="Arial"/>
                  <w:sz w:val="17"/>
                  <w:szCs w:val="17"/>
                  <w:color w:val="0000FF"/>
                </w:rPr>
                <w:t>(Incorporated by reference to Exhibit 10.13 to the Company’s Current Report on Form 8-K filed on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10.61</w:t>
            </w:r>
          </w:p>
        </w:tc>
        <w:tc>
          <w:tcPr>
            <w:tcW w:w="10080" w:type="dxa"/>
            <w:vAlign w:val="bottom"/>
            <w:gridSpan w:val="33"/>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Additional Warrant Confirmation, dated as of February 5, 2020, between Integra LifeSciences Holdings Corporation and Goldman Sachs</w:t>
              </w:r>
            </w:hyperlink>
          </w:p>
        </w:tc>
      </w:tr>
      <w:tr>
        <w:trPr>
          <w:trHeight w:val="153"/>
        </w:trPr>
        <w:tc>
          <w:tcPr>
            <w:tcW w:w="136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176">
              <w:r>
                <w:rPr>
                  <w:rFonts w:ascii="Arial" w:cs="Arial" w:eastAsia="Arial" w:hAnsi="Arial"/>
                  <w:sz w:val="17"/>
                  <w:szCs w:val="17"/>
                  <w:color w:val="0000FF"/>
                </w:rPr>
                <w:t>&amp; Co. LLC. (Incorporated by reference to Exhibit 10.14 to the Company’s Current Report on Form 8-K filed on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10.62</w:t>
            </w:r>
          </w:p>
        </w:tc>
        <w:tc>
          <w:tcPr>
            <w:tcW w:w="10080" w:type="dxa"/>
            <w:vAlign w:val="bottom"/>
            <w:gridSpan w:val="33"/>
          </w:tcPr>
          <w:p>
            <w:pPr>
              <w:spacing w:after="0"/>
              <w:rPr>
                <w:rFonts w:ascii="Arial" w:cs="Arial" w:eastAsia="Arial" w:hAnsi="Arial"/>
                <w:sz w:val="18"/>
                <w:szCs w:val="18"/>
                <w:color w:val="0000FF"/>
                <w:w w:val="92"/>
              </w:rPr>
            </w:pPr>
            <w:hyperlink r:id="rId177">
              <w:r>
                <w:rPr>
                  <w:rFonts w:ascii="Arial" w:cs="Arial" w:eastAsia="Arial" w:hAnsi="Arial"/>
                  <w:sz w:val="18"/>
                  <w:szCs w:val="18"/>
                  <w:color w:val="0000FF"/>
                  <w:w w:val="92"/>
                </w:rPr>
                <w:t>Additional Warrant Confirmation, dated as of February 5, 2020, between Integra LifeSciences Holdings Corporation and Morgan Stanley</w:t>
              </w:r>
            </w:hyperlink>
          </w:p>
        </w:tc>
      </w:tr>
      <w:tr>
        <w:trPr>
          <w:trHeight w:val="153"/>
        </w:trPr>
        <w:tc>
          <w:tcPr>
            <w:tcW w:w="136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177">
              <w:r>
                <w:rPr>
                  <w:rFonts w:ascii="Arial" w:cs="Arial" w:eastAsia="Arial" w:hAnsi="Arial"/>
                  <w:sz w:val="17"/>
                  <w:szCs w:val="17"/>
                  <w:color w:val="0000FF"/>
                </w:rPr>
                <w:t>&amp; Co. plc. (Incorporated by reference to Exhibit 10.15 to the Company’s Current Report on Form 8-K filed on February 7, 2020)</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10.63</w:t>
            </w:r>
          </w:p>
        </w:tc>
        <w:tc>
          <w:tcPr>
            <w:tcW w:w="10080" w:type="dxa"/>
            <w:vAlign w:val="bottom"/>
            <w:gridSpan w:val="33"/>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Additional Warrant Confirmation, dated as of February 5, 2020, between Integra LifeSciences Holdings Corporation and Wells Fargo,</w:t>
              </w:r>
            </w:hyperlink>
          </w:p>
        </w:tc>
      </w:tr>
      <w:tr>
        <w:trPr>
          <w:trHeight w:val="153"/>
        </w:trPr>
        <w:tc>
          <w:tcPr>
            <w:tcW w:w="136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178">
              <w:r>
                <w:rPr>
                  <w:rFonts w:ascii="Arial" w:cs="Arial" w:eastAsia="Arial" w:hAnsi="Arial"/>
                  <w:sz w:val="17"/>
                  <w:szCs w:val="17"/>
                  <w:color w:val="0000FF"/>
                </w:rPr>
                <w:t>National Association. (Incorporated by reference to Exhibit 10.16 to the Company’s Current Report on Form 8-K filed on February 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78">
              <w:r>
                <w:rPr>
                  <w:rFonts w:ascii="Arial" w:cs="Arial" w:eastAsia="Arial" w:hAnsi="Arial"/>
                  <w:sz w:val="17"/>
                  <w:szCs w:val="17"/>
                  <w:color w:val="0000FF"/>
                  <w:w w:val="91"/>
                </w:rPr>
                <w:t>2020)</w:t>
              </w:r>
            </w:hyperlink>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10.64</w:t>
            </w:r>
          </w:p>
        </w:tc>
        <w:tc>
          <w:tcPr>
            <w:tcW w:w="10080" w:type="dxa"/>
            <w:vAlign w:val="bottom"/>
            <w:gridSpan w:val="33"/>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Issuer Forward Repurchase Transaction Confirmation, dated as of February 5, 2020, between Integra LifeSciences Holdings Corporation</w:t>
              </w:r>
            </w:hyperlink>
          </w:p>
        </w:tc>
      </w:tr>
      <w:tr>
        <w:trPr>
          <w:trHeight w:val="153"/>
        </w:trPr>
        <w:tc>
          <w:tcPr>
            <w:tcW w:w="1360" w:type="dxa"/>
            <w:vAlign w:val="bottom"/>
          </w:tcPr>
          <w:p>
            <w:pPr>
              <w:spacing w:after="0"/>
              <w:rPr>
                <w:sz w:val="13"/>
                <w:szCs w:val="13"/>
                <w:color w:val="auto"/>
              </w:rPr>
            </w:pPr>
          </w:p>
        </w:tc>
        <w:tc>
          <w:tcPr>
            <w:tcW w:w="10060" w:type="dxa"/>
            <w:vAlign w:val="bottom"/>
            <w:tcBorders>
              <w:top w:val="single" w:sz="8" w:color="0000FF"/>
            </w:tcBorders>
            <w:gridSpan w:val="32"/>
          </w:tcPr>
          <w:p>
            <w:pPr>
              <w:spacing w:after="0" w:line="153" w:lineRule="exact"/>
              <w:rPr>
                <w:rFonts w:ascii="Arial" w:cs="Arial" w:eastAsia="Arial" w:hAnsi="Arial"/>
                <w:sz w:val="17"/>
                <w:szCs w:val="17"/>
                <w:color w:val="0000FF"/>
              </w:rPr>
            </w:pPr>
            <w:hyperlink r:id="rId102">
              <w:r>
                <w:rPr>
                  <w:rFonts w:ascii="Arial" w:cs="Arial" w:eastAsia="Arial" w:hAnsi="Arial"/>
                  <w:sz w:val="17"/>
                  <w:szCs w:val="17"/>
                  <w:color w:val="0000FF"/>
                </w:rPr>
                <w:t>and JPMorgan Chase Bank, National Association, New York Branch. (Incorporated by reference to Exhibit 10.17 to the Company’s</w:t>
              </w:r>
            </w:hyperlink>
          </w:p>
        </w:tc>
        <w:tc>
          <w:tcPr>
            <w:tcW w:w="20" w:type="dxa"/>
            <w:vAlign w:val="bottom"/>
          </w:tcPr>
          <w:p>
            <w:pPr>
              <w:spacing w:after="0"/>
              <w:rPr>
                <w:sz w:val="13"/>
                <w:szCs w:val="13"/>
                <w:color w:val="auto"/>
              </w:rPr>
            </w:pPr>
          </w:p>
        </w:tc>
      </w:tr>
      <w:tr>
        <w:trPr>
          <w:trHeight w:val="153"/>
        </w:trPr>
        <w:tc>
          <w:tcPr>
            <w:tcW w:w="1360" w:type="dxa"/>
            <w:vAlign w:val="bottom"/>
          </w:tcPr>
          <w:p>
            <w:pPr>
              <w:spacing w:after="0"/>
              <w:rPr>
                <w:sz w:val="13"/>
                <w:szCs w:val="13"/>
                <w:color w:val="auto"/>
              </w:rPr>
            </w:pPr>
          </w:p>
        </w:tc>
        <w:tc>
          <w:tcPr>
            <w:tcW w:w="1002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02">
              <w:r>
                <w:rPr>
                  <w:rFonts w:ascii="Arial" w:cs="Arial" w:eastAsia="Arial" w:hAnsi="Arial"/>
                  <w:sz w:val="17"/>
                  <w:szCs w:val="17"/>
                  <w:color w:val="0000FF"/>
                </w:rPr>
                <w:t>Current Report on Form 8-K filed on February 7,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10.65</w:t>
            </w:r>
          </w:p>
        </w:tc>
        <w:tc>
          <w:tcPr>
            <w:tcW w:w="10080" w:type="dxa"/>
            <w:vAlign w:val="bottom"/>
            <w:gridSpan w:val="33"/>
          </w:tcPr>
          <w:p>
            <w:pPr>
              <w:spacing w:after="0"/>
              <w:rPr>
                <w:rFonts w:ascii="Arial" w:cs="Arial" w:eastAsia="Arial" w:hAnsi="Arial"/>
                <w:sz w:val="18"/>
                <w:szCs w:val="18"/>
                <w:color w:val="0000FF"/>
                <w:w w:val="96"/>
              </w:rPr>
            </w:pPr>
            <w:hyperlink r:id="rId179">
              <w:r>
                <w:rPr>
                  <w:rFonts w:ascii="Arial" w:cs="Arial" w:eastAsia="Arial" w:hAnsi="Arial"/>
                  <w:sz w:val="18"/>
                  <w:szCs w:val="18"/>
                  <w:color w:val="0000FF"/>
                  <w:w w:val="96"/>
                </w:rPr>
                <w:t>Employment Agreement, dated October 28, 2021, by and between Integra LifeSciences Holdings Corporation, Integra LifeSciences</w:t>
              </w:r>
            </w:hyperlink>
          </w:p>
        </w:tc>
      </w:tr>
      <w:tr>
        <w:trPr>
          <w:trHeight w:val="20"/>
        </w:trPr>
        <w:tc>
          <w:tcPr>
            <w:tcW w:w="1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1360" w:type="dxa"/>
            <w:vAlign w:val="bottom"/>
          </w:tcPr>
          <w:p>
            <w:pPr>
              <w:spacing w:after="0"/>
              <w:rPr>
                <w:sz w:val="13"/>
                <w:szCs w:val="13"/>
                <w:color w:val="auto"/>
              </w:rPr>
            </w:pPr>
          </w:p>
        </w:tc>
        <w:tc>
          <w:tcPr>
            <w:tcW w:w="10080" w:type="dxa"/>
            <w:vAlign w:val="bottom"/>
            <w:gridSpan w:val="33"/>
          </w:tcPr>
          <w:p>
            <w:pPr>
              <w:spacing w:after="0" w:line="153" w:lineRule="exact"/>
              <w:rPr>
                <w:rFonts w:ascii="Arial" w:cs="Arial" w:eastAsia="Arial" w:hAnsi="Arial"/>
                <w:sz w:val="17"/>
                <w:szCs w:val="17"/>
                <w:color w:val="0000FF"/>
                <w:w w:val="98"/>
              </w:rPr>
            </w:pPr>
            <w:hyperlink r:id="rId179">
              <w:r>
                <w:rPr>
                  <w:rFonts w:ascii="Arial" w:cs="Arial" w:eastAsia="Arial" w:hAnsi="Arial"/>
                  <w:sz w:val="17"/>
                  <w:szCs w:val="17"/>
                  <w:color w:val="0000FF"/>
                  <w:w w:val="98"/>
                </w:rPr>
                <w:t>Corporation and Jan De Witte (Incorporated by reference to Exhibit 10.1 to the Company’s Current Report on Form 8-K filed on October</w:t>
              </w:r>
            </w:hyperlink>
          </w:p>
        </w:tc>
      </w:tr>
      <w:tr>
        <w:trPr>
          <w:trHeight w:val="153"/>
        </w:trPr>
        <w:tc>
          <w:tcPr>
            <w:tcW w:w="136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6"/>
              </w:rPr>
            </w:pPr>
            <w:hyperlink r:id="rId179">
              <w:r>
                <w:rPr>
                  <w:rFonts w:ascii="Arial" w:cs="Arial" w:eastAsia="Arial" w:hAnsi="Arial"/>
                  <w:sz w:val="17"/>
                  <w:szCs w:val="17"/>
                  <w:color w:val="0000FF"/>
                  <w:w w:val="96"/>
                </w:rPr>
                <w:t>28, 2021)*</w:t>
              </w:r>
            </w:hyperlink>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21.1</w:t>
            </w:r>
          </w:p>
        </w:tc>
        <w:tc>
          <w:tcPr>
            <w:tcW w:w="21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112">
              <w:r>
                <w:rPr>
                  <w:rFonts w:ascii="Arial" w:cs="Arial" w:eastAsia="Arial" w:hAnsi="Arial"/>
                  <w:sz w:val="18"/>
                  <w:szCs w:val="18"/>
                  <w:color w:val="0000FF"/>
                  <w:w w:val="88"/>
                </w:rPr>
                <w:t>Subsidiaries of the Company+</w:t>
              </w:r>
            </w:hyperlink>
          </w:p>
        </w:tc>
        <w:tc>
          <w:tcPr>
            <w:tcW w:w="7920" w:type="dxa"/>
            <w:vAlign w:val="bottom"/>
            <w:gridSpan w:val="27"/>
          </w:tcPr>
          <w:p>
            <w:pPr>
              <w:spacing w:after="0"/>
              <w:rPr>
                <w:sz w:val="24"/>
                <w:szCs w:val="24"/>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23.1</w:t>
            </w:r>
          </w:p>
        </w:tc>
        <w:tc>
          <w:tcPr>
            <w:tcW w:w="30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14">
              <w:r>
                <w:rPr>
                  <w:rFonts w:ascii="Arial" w:cs="Arial" w:eastAsia="Arial" w:hAnsi="Arial"/>
                  <w:sz w:val="18"/>
                  <w:szCs w:val="18"/>
                  <w:color w:val="0000FF"/>
                  <w:w w:val="88"/>
                </w:rPr>
                <w:t>Consent of PricewaterhouseCoopers LLP+</w:t>
              </w:r>
            </w:hyperlink>
          </w:p>
        </w:tc>
        <w:tc>
          <w:tcPr>
            <w:tcW w:w="7040" w:type="dxa"/>
            <w:vAlign w:val="bottom"/>
            <w:gridSpan w:val="26"/>
          </w:tcPr>
          <w:p>
            <w:pPr>
              <w:spacing w:after="0"/>
              <w:rPr>
                <w:sz w:val="24"/>
                <w:szCs w:val="24"/>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33"/>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Principal Executive Officer Pursuant to Section 302 of the Sarbanes-Oxley Act of 2002+</w:t>
              </w:r>
            </w:hyperlink>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73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Certification of Principal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660" w:type="dxa"/>
            <w:vAlign w:val="bottom"/>
            <w:gridSpan w:val="21"/>
          </w:tcPr>
          <w:p>
            <w:pPr>
              <w:spacing w:after="0"/>
              <w:rPr>
                <w:sz w:val="24"/>
                <w:szCs w:val="24"/>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80" w:type="dxa"/>
            <w:vAlign w:val="bottom"/>
            <w:gridSpan w:val="33"/>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Certification of Principal Executive Officer Pursuant to Section 906 of the Sarbanes-Oxley Act of 2002+</w:t>
              </w:r>
            </w:hyperlink>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73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660" w:type="dxa"/>
            <w:vAlign w:val="bottom"/>
            <w:gridSpan w:val="21"/>
          </w:tcPr>
          <w:p>
            <w:pPr>
              <w:spacing w:after="0"/>
              <w:rPr>
                <w:sz w:val="24"/>
                <w:szCs w:val="24"/>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33"/>
          </w:tcPr>
          <w:p>
            <w:pPr>
              <w:spacing w:after="0"/>
              <w:rPr>
                <w:rFonts w:ascii="Arial" w:cs="Arial" w:eastAsia="Arial" w:hAnsi="Arial"/>
                <w:sz w:val="18"/>
                <w:szCs w:val="18"/>
                <w:color w:val="0000FF"/>
              </w:rPr>
            </w:pPr>
            <w:hyperlink r:id="rId180">
              <w:r>
                <w:rPr>
                  <w:rFonts w:ascii="Arial" w:cs="Arial" w:eastAsia="Arial" w:hAnsi="Arial"/>
                  <w:sz w:val="18"/>
                  <w:szCs w:val="18"/>
                  <w:color w:val="0000FF"/>
                </w:rPr>
                <w:t>Letter, dated December 21, 2011, from the United States Food and Drug Administration to Integra LifeSciences Corporation</w:t>
              </w:r>
            </w:hyperlink>
          </w:p>
        </w:tc>
      </w:tr>
      <w:tr>
        <w:trPr>
          <w:trHeight w:val="153"/>
        </w:trPr>
        <w:tc>
          <w:tcPr>
            <w:tcW w:w="13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3" w:lineRule="exact"/>
              <w:rPr>
                <w:rFonts w:ascii="Arial" w:cs="Arial" w:eastAsia="Arial" w:hAnsi="Arial"/>
                <w:sz w:val="17"/>
                <w:szCs w:val="17"/>
                <w:color w:val="0000FF"/>
              </w:rPr>
            </w:pPr>
            <w:hyperlink r:id="rId180">
              <w:r>
                <w:rPr>
                  <w:rFonts w:ascii="Arial" w:cs="Arial" w:eastAsia="Arial" w:hAnsi="Arial"/>
                  <w:sz w:val="17"/>
                  <w:szCs w:val="17"/>
                  <w:color w:val="0000FF"/>
                </w:rPr>
                <w:t>(Incorporated by reference to Exhibit 99.1 to the Company’s Current Report on Form 8-K filed on January 5, 2012)</w:t>
              </w:r>
            </w:hyperlink>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24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99.2</w:t>
            </w:r>
          </w:p>
        </w:tc>
        <w:tc>
          <w:tcPr>
            <w:tcW w:w="10080" w:type="dxa"/>
            <w:vAlign w:val="bottom"/>
            <w:gridSpan w:val="33"/>
          </w:tcPr>
          <w:p>
            <w:pPr>
              <w:spacing w:after="0"/>
              <w:rPr>
                <w:rFonts w:ascii="Arial" w:cs="Arial" w:eastAsia="Arial" w:hAnsi="Arial"/>
                <w:sz w:val="18"/>
                <w:szCs w:val="18"/>
                <w:color w:val="0000FF"/>
                <w:w w:val="98"/>
              </w:rPr>
            </w:pPr>
            <w:hyperlink r:id="rId181">
              <w:r>
                <w:rPr>
                  <w:rFonts w:ascii="Arial" w:cs="Arial" w:eastAsia="Arial" w:hAnsi="Arial"/>
                  <w:sz w:val="18"/>
                  <w:szCs w:val="18"/>
                  <w:color w:val="0000FF"/>
                  <w:w w:val="98"/>
                </w:rPr>
                <w:t>Food and Drug Administration Form FDA-483, dated July 30, 2012, relating to inspection of Plainsboro, NJ manufacturing facility</w:t>
              </w:r>
            </w:hyperlink>
          </w:p>
        </w:tc>
      </w:tr>
      <w:tr>
        <w:trPr>
          <w:trHeight w:val="153"/>
        </w:trPr>
        <w:tc>
          <w:tcPr>
            <w:tcW w:w="136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81">
              <w:r>
                <w:rPr>
                  <w:rFonts w:ascii="Arial" w:cs="Arial" w:eastAsia="Arial" w:hAnsi="Arial"/>
                  <w:sz w:val="17"/>
                  <w:szCs w:val="17"/>
                  <w:color w:val="0000FF"/>
                </w:rPr>
                <w:t>(Incorporated by reference to Exhibit 99.1 to the Company’s Quarterly Report on Form 10-Q for the quarter ended June 30, 2012)</w:t>
              </w:r>
            </w:hyperlink>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24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2"/>
        </w:trPr>
        <w:tc>
          <w:tcPr>
            <w:tcW w:w="1360" w:type="dxa"/>
            <w:vAlign w:val="bottom"/>
          </w:tcPr>
          <w:p>
            <w:pPr>
              <w:ind w:left="20"/>
              <w:spacing w:after="0"/>
              <w:rPr>
                <w:sz w:val="20"/>
                <w:szCs w:val="20"/>
                <w:color w:val="auto"/>
              </w:rPr>
            </w:pPr>
            <w:r>
              <w:rPr>
                <w:rFonts w:ascii="Arial" w:cs="Arial" w:eastAsia="Arial" w:hAnsi="Arial"/>
                <w:sz w:val="18"/>
                <w:szCs w:val="18"/>
                <w:color w:val="auto"/>
              </w:rPr>
              <w:t>99.3</w:t>
            </w:r>
          </w:p>
        </w:tc>
        <w:tc>
          <w:tcPr>
            <w:tcW w:w="10080" w:type="dxa"/>
            <w:vAlign w:val="bottom"/>
            <w:gridSpan w:val="33"/>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Letter, dated November 1, 2012, from the United States Food and Drug Administration to Integra NeuroSciences Ltd. (Incorporated by</w:t>
              </w:r>
            </w:hyperlink>
          </w:p>
        </w:tc>
      </w:tr>
      <w:tr>
        <w:trPr>
          <w:trHeight w:val="153"/>
        </w:trPr>
        <w:tc>
          <w:tcPr>
            <w:tcW w:w="136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r:id="rId182">
              <w:r>
                <w:rPr>
                  <w:rFonts w:ascii="Arial" w:cs="Arial" w:eastAsia="Arial" w:hAnsi="Arial"/>
                  <w:sz w:val="17"/>
                  <w:szCs w:val="17"/>
                  <w:color w:val="0000FF"/>
                </w:rPr>
                <w:t>reference to Exhibit 99.1 to the Company’s Current Report on Form 8-K filed on November 13, 2012)</w:t>
              </w:r>
            </w:hyperlink>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240" w:type="dxa"/>
            <w:vAlign w:val="bottom"/>
            <w:gridSpan w:val="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1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6"/>
        </w:trPr>
        <w:tc>
          <w:tcPr>
            <w:tcW w:w="1360" w:type="dxa"/>
            <w:vAlign w:val="bottom"/>
          </w:tcPr>
          <w:p>
            <w:pPr>
              <w:ind w:left="20"/>
              <w:spacing w:after="0" w:line="206" w:lineRule="exact"/>
              <w:rPr>
                <w:sz w:val="20"/>
                <w:szCs w:val="20"/>
                <w:color w:val="auto"/>
              </w:rPr>
            </w:pPr>
            <w:r>
              <w:rPr>
                <w:rFonts w:ascii="Arial" w:cs="Arial" w:eastAsia="Arial" w:hAnsi="Arial"/>
                <w:sz w:val="18"/>
                <w:szCs w:val="18"/>
                <w:color w:val="auto"/>
              </w:rPr>
              <w:t>99.4</w:t>
            </w:r>
          </w:p>
        </w:tc>
        <w:tc>
          <w:tcPr>
            <w:tcW w:w="10080" w:type="dxa"/>
            <w:vAlign w:val="bottom"/>
            <w:gridSpan w:val="33"/>
          </w:tcPr>
          <w:p>
            <w:pPr>
              <w:spacing w:after="0" w:line="206" w:lineRule="exact"/>
              <w:rPr>
                <w:rFonts w:ascii="Arial" w:cs="Arial" w:eastAsia="Arial" w:hAnsi="Arial"/>
                <w:sz w:val="18"/>
                <w:szCs w:val="18"/>
                <w:color w:val="0000FF"/>
                <w:w w:val="93"/>
              </w:rPr>
            </w:pPr>
            <w:hyperlink r:id="rId183">
              <w:r>
                <w:rPr>
                  <w:rFonts w:ascii="Arial" w:cs="Arial" w:eastAsia="Arial" w:hAnsi="Arial"/>
                  <w:sz w:val="18"/>
                  <w:szCs w:val="18"/>
                  <w:color w:val="0000FF"/>
                  <w:w w:val="93"/>
                </w:rPr>
                <w:t>Letter, dated February 13, 2013, from the United States Federal Drug Administration to Integra LifeSciences Corporation (Incorporated</w:t>
              </w:r>
            </w:hyperlink>
          </w:p>
        </w:tc>
      </w:tr>
      <w:tr>
        <w:trPr>
          <w:trHeight w:val="153"/>
        </w:trPr>
        <w:tc>
          <w:tcPr>
            <w:tcW w:w="136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183">
              <w:r>
                <w:rPr>
                  <w:rFonts w:ascii="Arial" w:cs="Arial" w:eastAsia="Arial" w:hAnsi="Arial"/>
                  <w:sz w:val="17"/>
                  <w:szCs w:val="17"/>
                  <w:color w:val="0000FF"/>
                </w:rPr>
                <w:t>by reference to Exhibit 99.1 to the Company’s Current Report on Form 8-K filed on February 19, 2013)</w:t>
              </w:r>
            </w:hyperlink>
          </w:p>
        </w:tc>
        <w:tc>
          <w:tcPr>
            <w:tcW w:w="160" w:type="dxa"/>
            <w:vAlign w:val="bottom"/>
            <w:gridSpan w:val="8"/>
          </w:tcPr>
          <w:p>
            <w:pPr>
              <w:spacing w:after="0"/>
              <w:rPr>
                <w:sz w:val="13"/>
                <w:szCs w:val="13"/>
                <w:color w:val="auto"/>
              </w:rPr>
            </w:pPr>
          </w:p>
        </w:tc>
      </w:tr>
      <w:tr>
        <w:trPr>
          <w:trHeight w:val="948"/>
        </w:trPr>
        <w:tc>
          <w:tcPr>
            <w:tcW w:w="1360" w:type="dxa"/>
            <w:vAlign w:val="bottom"/>
          </w:tcPr>
          <w:p>
            <w:pPr>
              <w:spacing w:after="0"/>
              <w:rPr>
                <w:sz w:val="24"/>
                <w:szCs w:val="24"/>
                <w:color w:val="auto"/>
              </w:rPr>
            </w:pPr>
          </w:p>
        </w:tc>
        <w:tc>
          <w:tcPr>
            <w:tcW w:w="7240" w:type="dxa"/>
            <w:vAlign w:val="bottom"/>
            <w:tcBorders>
              <w:top w:val="single" w:sz="8" w:color="0000FF"/>
            </w:tcBorders>
            <w:gridSpan w:val="9"/>
          </w:tcPr>
          <w:p>
            <w:pPr>
              <w:ind w:left="418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1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99.5</w:t>
            </w:r>
          </w:p>
        </w:tc>
        <w:tc>
          <w:tcPr>
            <w:tcW w:w="9920" w:type="dxa"/>
            <w:vAlign w:val="bottom"/>
            <w:gridSpan w:val="11"/>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Letter, dated September 24, 2013, from the United States Federal Drug Administration to Integra LifeSciences Corporation (Incorporated</w:t>
              </w:r>
            </w:hyperlink>
          </w:p>
        </w:tc>
      </w:tr>
      <w:tr>
        <w:trPr>
          <w:trHeight w:val="153"/>
        </w:trPr>
        <w:tc>
          <w:tcPr>
            <w:tcW w:w="134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186">
              <w:r>
                <w:rPr>
                  <w:rFonts w:ascii="Arial" w:cs="Arial" w:eastAsia="Arial" w:hAnsi="Arial"/>
                  <w:sz w:val="17"/>
                  <w:szCs w:val="17"/>
                  <w:color w:val="0000FF"/>
                  <w:w w:val="95"/>
                </w:rPr>
                <w:t>by reference to Exhibit 99.1 to the Company’s Current Report on Form 8-K filed on September 27, 2013)</w:t>
              </w:r>
            </w:hyperlink>
          </w:p>
        </w:tc>
        <w:tc>
          <w:tcPr>
            <w:tcW w:w="23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99.6</w:t>
            </w:r>
          </w:p>
        </w:tc>
        <w:tc>
          <w:tcPr>
            <w:tcW w:w="9920" w:type="dxa"/>
            <w:vAlign w:val="bottom"/>
            <w:gridSpan w:val="11"/>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Food and Drug Administration Form FDA-483, dated November 26, 2013, relating to the inspection of the Añasco Facility (Incorporated</w:t>
              </w:r>
            </w:hyperlink>
          </w:p>
        </w:tc>
      </w:tr>
      <w:tr>
        <w:trPr>
          <w:trHeight w:val="153"/>
        </w:trPr>
        <w:tc>
          <w:tcPr>
            <w:tcW w:w="134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187">
              <w:r>
                <w:rPr>
                  <w:rFonts w:ascii="Arial" w:cs="Arial" w:eastAsia="Arial" w:hAnsi="Arial"/>
                  <w:sz w:val="17"/>
                  <w:szCs w:val="17"/>
                  <w:color w:val="0000FF"/>
                  <w:w w:val="95"/>
                </w:rPr>
                <w:t>by reference to Exhibit 99.1 to the Company’s Current Report on Form 8-K filed on December 3, 2013)</w:t>
              </w:r>
            </w:hyperlink>
          </w:p>
        </w:tc>
        <w:tc>
          <w:tcPr>
            <w:tcW w:w="24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99.7</w:t>
            </w:r>
          </w:p>
        </w:tc>
        <w:tc>
          <w:tcPr>
            <w:tcW w:w="9920" w:type="dxa"/>
            <w:vAlign w:val="bottom"/>
            <w:gridSpan w:val="11"/>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Letter, dated January 14, 2015, from the United States Food and Drug Administration to Integra LifeSciences Corporation (Incorporated</w:t>
              </w:r>
            </w:hyperlink>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tcBorders>
            <w:gridSpan w:val="10"/>
          </w:tcPr>
          <w:p>
            <w:pPr>
              <w:spacing w:after="0" w:line="153" w:lineRule="exact"/>
              <w:rPr>
                <w:rFonts w:ascii="Arial" w:cs="Arial" w:eastAsia="Arial" w:hAnsi="Arial"/>
                <w:sz w:val="17"/>
                <w:szCs w:val="17"/>
                <w:color w:val="0000FF"/>
              </w:rPr>
            </w:pPr>
            <w:hyperlink r:id="rId188">
              <w:r>
                <w:rPr>
                  <w:rFonts w:ascii="Arial" w:cs="Arial" w:eastAsia="Arial" w:hAnsi="Arial"/>
                  <w:sz w:val="17"/>
                  <w:szCs w:val="17"/>
                  <w:color w:val="0000FF"/>
                </w:rPr>
                <w:t>by reference to Exhibit 99.1 to the Company’s Current Report on Form 8-K filed on January 20, 2015)</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7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99.8</w:t>
            </w:r>
          </w:p>
        </w:tc>
        <w:tc>
          <w:tcPr>
            <w:tcW w:w="9920" w:type="dxa"/>
            <w:vAlign w:val="bottom"/>
            <w:gridSpan w:val="11"/>
          </w:tcPr>
          <w:p>
            <w:pPr>
              <w:spacing w:after="0"/>
              <w:rPr>
                <w:rFonts w:ascii="Arial" w:cs="Arial" w:eastAsia="Arial" w:hAnsi="Arial"/>
                <w:sz w:val="18"/>
                <w:szCs w:val="18"/>
                <w:color w:val="0000FF"/>
                <w:w w:val="92"/>
              </w:rPr>
            </w:pPr>
            <w:hyperlink r:id="rId189">
              <w:r>
                <w:rPr>
                  <w:rFonts w:ascii="Arial" w:cs="Arial" w:eastAsia="Arial" w:hAnsi="Arial"/>
                  <w:sz w:val="18"/>
                  <w:szCs w:val="18"/>
                  <w:color w:val="0000FF"/>
                  <w:w w:val="92"/>
                </w:rPr>
                <w:t>Letter, dated May 29, 2015, from the United States Food and Drug Administration to TEI Biosciences Inc. (Incorporated by reference to</w:t>
              </w:r>
            </w:hyperlink>
          </w:p>
        </w:tc>
      </w:tr>
      <w:tr>
        <w:trPr>
          <w:trHeight w:val="153"/>
        </w:trPr>
        <w:tc>
          <w:tcPr>
            <w:tcW w:w="1340" w:type="dxa"/>
            <w:vAlign w:val="bottom"/>
          </w:tcPr>
          <w:p>
            <w:pPr>
              <w:spacing w:after="0"/>
              <w:rPr>
                <w:sz w:val="13"/>
                <w:szCs w:val="13"/>
                <w:color w:val="auto"/>
              </w:rPr>
            </w:pPr>
          </w:p>
        </w:tc>
        <w:tc>
          <w:tcPr>
            <w:tcW w:w="71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4"/>
              </w:rPr>
            </w:pPr>
            <w:hyperlink r:id="rId189">
              <w:r>
                <w:rPr>
                  <w:rFonts w:ascii="Arial" w:cs="Arial" w:eastAsia="Arial" w:hAnsi="Arial"/>
                  <w:sz w:val="17"/>
                  <w:szCs w:val="17"/>
                  <w:color w:val="0000FF"/>
                  <w:w w:val="94"/>
                </w:rPr>
                <w:t>Exhibit 99.1 to the Company’s Quarterly Report on Form 10-Q for the quarter ended June 30, 2015)</w:t>
              </w:r>
            </w:hyperlink>
          </w:p>
        </w:tc>
        <w:tc>
          <w:tcPr>
            <w:tcW w:w="27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99.9</w:t>
            </w:r>
          </w:p>
        </w:tc>
        <w:tc>
          <w:tcPr>
            <w:tcW w:w="9920" w:type="dxa"/>
            <w:vAlign w:val="bottom"/>
            <w:gridSpan w:val="11"/>
          </w:tcPr>
          <w:p>
            <w:pPr>
              <w:spacing w:after="0"/>
              <w:rPr>
                <w:rFonts w:ascii="Arial" w:cs="Arial" w:eastAsia="Arial" w:hAnsi="Arial"/>
                <w:sz w:val="18"/>
                <w:szCs w:val="18"/>
                <w:color w:val="0000FF"/>
              </w:rPr>
            </w:pPr>
            <w:hyperlink r:id="rId190">
              <w:r>
                <w:rPr>
                  <w:rFonts w:ascii="Arial" w:cs="Arial" w:eastAsia="Arial" w:hAnsi="Arial"/>
                  <w:sz w:val="18"/>
                  <w:szCs w:val="18"/>
                  <w:color w:val="0000FF"/>
                </w:rPr>
                <w:t>Letter, dated June 30, 2015, from the United States Food and Drug Administration to Integra LifeSciences (Ireland) Limited</w:t>
              </w:r>
            </w:hyperlink>
          </w:p>
        </w:tc>
      </w:tr>
      <w:tr>
        <w:trPr>
          <w:trHeight w:val="153"/>
        </w:trPr>
        <w:tc>
          <w:tcPr>
            <w:tcW w:w="13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5"/>
          </w:tcPr>
          <w:p>
            <w:pPr>
              <w:ind w:left="40"/>
              <w:spacing w:after="0" w:line="153" w:lineRule="exact"/>
              <w:rPr>
                <w:rFonts w:ascii="Arial" w:cs="Arial" w:eastAsia="Arial" w:hAnsi="Arial"/>
                <w:sz w:val="17"/>
                <w:szCs w:val="17"/>
                <w:color w:val="0000FF"/>
                <w:w w:val="94"/>
              </w:rPr>
            </w:pPr>
            <w:hyperlink r:id="rId190">
              <w:r>
                <w:rPr>
                  <w:rFonts w:ascii="Arial" w:cs="Arial" w:eastAsia="Arial" w:hAnsi="Arial"/>
                  <w:sz w:val="17"/>
                  <w:szCs w:val="17"/>
                  <w:color w:val="0000FF"/>
                  <w:w w:val="94"/>
                </w:rPr>
                <w:t>(Incorporated by reference to Exhibit 99.2 to the Company’s Quarterly Report on Form 10-Q for the quarter ended June 30, 2015)</w:t>
              </w:r>
            </w:hyperlink>
          </w:p>
        </w:tc>
        <w:tc>
          <w:tcPr>
            <w:tcW w:w="60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32"/>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2"/>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2"/>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Definition Linkbase Document</w:t>
            </w:r>
          </w:p>
        </w:tc>
      </w:tr>
      <w:tr>
        <w:trPr>
          <w:trHeight w:val="332"/>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2"/>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left="40" w:right="5880" w:hanging="3"/>
        <w:spacing w:after="0" w:line="415" w:lineRule="auto"/>
        <w:tabs>
          <w:tab w:leader="none" w:pos="2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40" w:hanging="203"/>
        <w:spacing w:after="0" w:line="212"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2021 filed on February 24, 2022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5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01" w:right="37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9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90"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8"/>
          <w:szCs w:val="18"/>
          <w:color w:val="auto"/>
        </w:rPr>
        <w:t>By:</w:t>
        <w:tab/>
        <w:t>/s/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35756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2">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Jan De Witte</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Executive Officer)</w:t>
      </w:r>
    </w:p>
    <w:p>
      <w:pPr>
        <w:spacing w:after="0" w:line="271"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35756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93">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Carrie L. Anderson</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Financial Officer)</w:t>
      </w:r>
    </w:p>
    <w:p>
      <w:pPr>
        <w:spacing w:after="0" w:line="271"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8"/>
          <w:szCs w:val="18"/>
          <w:color w:val="auto"/>
        </w:rPr>
        <w:t>By:</w:t>
        <w:tab/>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35756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94">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Jeffrey A. Mosebrook</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Senior Vice President, Finance</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59" w:name="page60"/>
    <w:bookmarkEnd w:id="59"/>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6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60" w:type="dxa"/>
            <w:vAlign w:val="bottom"/>
            <w:gridSpan w:val="2"/>
          </w:tcPr>
          <w:p>
            <w:pPr>
              <w:jc w:val="center"/>
              <w:ind w:right="2140"/>
              <w:spacing w:after="0"/>
              <w:rPr>
                <w:sz w:val="20"/>
                <w:szCs w:val="20"/>
                <w:color w:val="auto"/>
              </w:rPr>
            </w:pPr>
            <w:r>
              <w:rPr>
                <w:rFonts w:ascii="Arial" w:cs="Arial" w:eastAsia="Arial" w:hAnsi="Arial"/>
                <w:sz w:val="16"/>
                <w:szCs w:val="16"/>
                <w:b w:val="1"/>
                <w:bCs w:val="1"/>
                <w:color w:val="auto"/>
                <w:w w:val="97"/>
              </w:rPr>
              <w:t>Title</w:t>
            </w:r>
          </w:p>
        </w:tc>
        <w:tc>
          <w:tcPr>
            <w:tcW w:w="1700" w:type="dxa"/>
            <w:vAlign w:val="bottom"/>
            <w:gridSpan w:val="3"/>
          </w:tcPr>
          <w:p>
            <w:pPr>
              <w:ind w:left="1200"/>
              <w:spacing w:after="0"/>
              <w:rPr>
                <w:sz w:val="20"/>
                <w:szCs w:val="20"/>
                <w:color w:val="auto"/>
              </w:rPr>
            </w:pPr>
            <w:r>
              <w:rPr>
                <w:rFonts w:ascii="Arial" w:cs="Arial" w:eastAsia="Arial" w:hAnsi="Arial"/>
                <w:sz w:val="16"/>
                <w:szCs w:val="16"/>
                <w:b w:val="1"/>
                <w:bCs w:val="1"/>
                <w:color w:val="auto"/>
              </w:rPr>
              <w:t>Date</w:t>
            </w: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7"/>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Jan De Witte</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0"/>
              </w:rPr>
              <w:t>President and Chief Executive Officer,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9"/>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9"/>
              </w:rPr>
              <w:t>Jan De Witte</w:t>
            </w:r>
          </w:p>
        </w:tc>
        <w:tc>
          <w:tcPr>
            <w:tcW w:w="4980" w:type="dxa"/>
            <w:vAlign w:val="bottom"/>
            <w:gridSpan w:val="3"/>
          </w:tcPr>
          <w:p>
            <w:pPr>
              <w:jc w:val="center"/>
              <w:ind w:left="291"/>
              <w:spacing w:after="0" w:line="206" w:lineRule="exact"/>
              <w:rPr>
                <w:sz w:val="20"/>
                <w:szCs w:val="20"/>
                <w:color w:val="auto"/>
              </w:rPr>
            </w:pPr>
            <w:r>
              <w:rPr>
                <w:rFonts w:ascii="Arial" w:cs="Arial" w:eastAsia="Arial" w:hAnsi="Arial"/>
                <w:sz w:val="18"/>
                <w:szCs w:val="18"/>
                <w:color w:val="auto"/>
                <w:w w:val="92"/>
              </w:rPr>
              <w:t>and Director (Principal Executive Officer)</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8"/>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Carrie L. Anderson</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0"/>
              </w:rPr>
              <w:t>Executive Vice President and Chief Financial Officer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99"/>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Carrie L. Anderson</w:t>
            </w:r>
          </w:p>
        </w:tc>
        <w:tc>
          <w:tcPr>
            <w:tcW w:w="4980" w:type="dxa"/>
            <w:vAlign w:val="bottom"/>
            <w:gridSpan w:val="3"/>
          </w:tcPr>
          <w:p>
            <w:pPr>
              <w:ind w:left="1700"/>
              <w:spacing w:after="0"/>
              <w:rPr>
                <w:sz w:val="20"/>
                <w:szCs w:val="20"/>
                <w:color w:val="auto"/>
              </w:rPr>
            </w:pPr>
            <w:r>
              <w:rPr>
                <w:rFonts w:ascii="Arial" w:cs="Arial" w:eastAsia="Arial" w:hAnsi="Arial"/>
                <w:sz w:val="18"/>
                <w:szCs w:val="18"/>
                <w:color w:val="auto"/>
              </w:rPr>
              <w:t>(Principal Financial Officer)</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18"/>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Jeffrey A. Mosebrook</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88"/>
              </w:rPr>
              <w:t>Senior Vice President, Finance</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9"/>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Jeffrey A. Mosebrook</w:t>
            </w:r>
          </w:p>
        </w:tc>
        <w:tc>
          <w:tcPr>
            <w:tcW w:w="4980" w:type="dxa"/>
            <w:vAlign w:val="bottom"/>
            <w:gridSpan w:val="3"/>
          </w:tcPr>
          <w:p>
            <w:pPr>
              <w:jc w:val="center"/>
              <w:ind w:left="311"/>
              <w:spacing w:after="0" w:line="206" w:lineRule="exact"/>
              <w:rPr>
                <w:sz w:val="20"/>
                <w:szCs w:val="20"/>
                <w:color w:val="auto"/>
              </w:rPr>
            </w:pPr>
            <w:r>
              <w:rPr>
                <w:rFonts w:ascii="Arial" w:cs="Arial" w:eastAsia="Arial" w:hAnsi="Arial"/>
                <w:sz w:val="18"/>
                <w:szCs w:val="18"/>
                <w:color w:val="auto"/>
                <w:w w:val="93"/>
              </w:rPr>
              <w:t>(Principal Accounting Officer)</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Stuart M. Essig, Ph.D.</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89"/>
              </w:rPr>
              <w:t>Chairman of the Board</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9"/>
              </w:rPr>
              <w:t>Stuart M. Essig,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Rhonda Germany Ballintyn</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Rhonda Germany Ballintyn</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Keith Bradley,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Shaundra Clay</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7"/>
              </w:rPr>
              <w:t>Shaundra Clay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Barbara B. Hill</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3"/>
              </w:rPr>
              <w:t>Barbara B. Hill</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Donald E. Morel, Jr., Ph.D.</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0"/>
              </w:rPr>
              <w:t>Donald E. Morel, Jr.,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Raymond G. Murphy</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Raymond G. Murphy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Christian S. Schade</w:t>
            </w:r>
          </w:p>
        </w:tc>
        <w:tc>
          <w:tcPr>
            <w:tcW w:w="4980" w:type="dxa"/>
            <w:vAlign w:val="bottom"/>
            <w:gridSpan w:val="3"/>
          </w:tcPr>
          <w:p>
            <w:pPr>
              <w:jc w:val="center"/>
              <w:ind w:left="311"/>
              <w:spacing w:after="0"/>
              <w:rPr>
                <w:sz w:val="20"/>
                <w:szCs w:val="20"/>
                <w:color w:val="auto"/>
              </w:rPr>
            </w:pPr>
            <w:r>
              <w:rPr>
                <w:rFonts w:ascii="Arial" w:cs="Arial" w:eastAsia="Arial" w:hAnsi="Arial"/>
                <w:sz w:val="18"/>
                <w:szCs w:val="18"/>
                <w:color w:val="auto"/>
                <w:w w:val="91"/>
              </w:rPr>
              <w:t>Director</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w w:val="86"/>
              </w:rPr>
              <w:t>February 24, 2022</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7"/>
              </w:rPr>
              <w:t>Christian S. Schade</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60" w:name="page61"/>
    <w:bookmarkEnd w:id="60"/>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Integra LifeSciences Holdings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have audited the accompanying consolidated balance sheets of Integra LifeSciences Holdings Corporation and its subsidiaries (the “Company”) as of December 31, 2021 and 2020, and the related consolidated statements of operations, of comprehensive income, of changes in stockholders’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convertible instruments in 2021 and leases in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1" w:name="page62"/>
    <w:bookmarkEnd w:id="61"/>
    <w:p>
      <w:pPr>
        <w:ind w:left="300" w:hanging="205"/>
        <w:spacing w:after="0"/>
        <w:tabs>
          <w:tab w:leader="none" w:pos="3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7" w:lineRule="exact"/>
        <w:rPr>
          <w:rFonts w:ascii="Arial" w:cs="Arial" w:eastAsia="Arial" w:hAnsi="Arial"/>
          <w:sz w:val="15"/>
          <w:szCs w:val="15"/>
          <w:color w:val="auto"/>
        </w:rPr>
      </w:pPr>
    </w:p>
    <w:p>
      <w:pPr>
        <w:jc w:val="both"/>
        <w:ind w:firstLine="6"/>
        <w:spacing w:after="0" w:line="222" w:lineRule="auto"/>
        <w:tabs>
          <w:tab w:leader="none" w:pos="2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ACell, Inc. Acquisition - Valuation of Developed Technology Intangible Assets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As described in Notes 2, 4 and 7 to the consolidated financial statements, in January 2021, the Company acquired ACell Inc. for an acquisition purchase price of $306.9 million plus contingent consideration of up to $100 million, which resulted in $245M of developed technology intangible assets being recorded. The estimated fair value of the developed technology acquired was determined by management using the multi-period excess earnings method of the income approach. Management’s significant assumptions used in the estimate of fair value included the estimated net cash flows, net revenues, cost of sales, selling and marketing costs, discount rates and each asset’s life cycle.</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developed technology intangible assets from the acquisition of ACell Inc. is a critical audit matter are the (i) the significant judgment by management in developing the fair value of the acquired developed technology intangible assets, (ii) a high degree of auditor judgment, subjectivity, and effort in performing procedures and evaluating management’s assumptions related to net revenues, cost of sales, selling and marketing costs, discount rates and each asset’s life cycle; and (iii) the audit effort involved the use of professionals with specialized skill and knowledge.</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intangible assets and controls over the development of significant assumptions related to net revenues, cost of sales, selling and marketing costs, discount rates and each asset’s life cycle. These procedures also included, among others (i) reading the purchase agreement and (ii) testing management’s process for developing the fair value of the developed technology intangible assets. Testing management’s process included evaluating the appropriateness of the multi-period excess earnings method, testing the completeness, accuracy, and relevance of underlying data used in the method, and evaluating the reasonableness of significant assumptions used by management related to net revenues, cost of sales, selling and marketing costs, discount rates and each asset’s life cycle. Evaluating the reasonableness of management’s assumptions related to net revenues, cost of sales, selling and marketing costs and each asset’s life cycle involved considering (i) current and past performance of the products associated with the developed technology acquired, as well as the performance of the reporting unit that assumed the products associated with the developed technology acquired; (ii) the consistency with external market and industry data; and (iii) and whether the assumptions are consistent with evidence obtained in other areas of the audit. Professionals with specialized skill and knowledge were used to assist in the evaluation of the Company’s multi-period excess earnings method and the discount rates and each asset’s life cycle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4"/>
        </w:trPr>
        <w:tc>
          <w:tcPr>
            <w:tcW w:w="6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20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1,542,448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1,371,868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1,517,557</w:t>
            </w:r>
          </w:p>
        </w:tc>
      </w:tr>
      <w:tr>
        <w:trPr>
          <w:trHeight w:val="266"/>
        </w:trPr>
        <w:tc>
          <w:tcPr>
            <w:tcW w:w="6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2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597,808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520,834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564,681</w:t>
            </w:r>
          </w:p>
        </w:tc>
      </w:tr>
      <w:tr>
        <w:trPr>
          <w:trHeight w:val="215"/>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77,381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79,573</w:t>
            </w:r>
          </w:p>
        </w:tc>
      </w:tr>
      <w:tr>
        <w:trPr>
          <w:trHeight w:val="210"/>
        </w:trPr>
        <w:tc>
          <w:tcPr>
            <w:tcW w:w="6280" w:type="dxa"/>
            <w:vAlign w:val="bottom"/>
          </w:tcPr>
          <w:p>
            <w:pPr>
              <w:ind w:left="140"/>
              <w:spacing w:after="0"/>
              <w:rPr>
                <w:sz w:val="20"/>
                <w:szCs w:val="20"/>
                <w:color w:val="auto"/>
              </w:rPr>
            </w:pPr>
            <w:r>
              <w:rPr>
                <w:rFonts w:ascii="Arial" w:cs="Arial" w:eastAsia="Arial" w:hAnsi="Arial"/>
                <w:sz w:val="16"/>
                <w:szCs w:val="16"/>
                <w:color w:val="auto"/>
              </w:rPr>
              <w:t>In-process research and development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64,916</w:t>
            </w:r>
          </w:p>
        </w:tc>
      </w:tr>
      <w:tr>
        <w:trPr>
          <w:trHeight w:val="215"/>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594,526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687,599</w:t>
            </w:r>
          </w:p>
        </w:tc>
      </w:tr>
      <w:tr>
        <w:trPr>
          <w:trHeight w:val="21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Intangible asset amortization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27,757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27,028</w:t>
            </w:r>
          </w:p>
        </w:tc>
      </w:tr>
      <w:tr>
        <w:trPr>
          <w:trHeight w:val="208"/>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Total costs and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1,345,218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1,220,498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1,423,797</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197,230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151,370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93,760</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(53,957)</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sale of business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4,434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9,522</w:t>
            </w:r>
          </w:p>
        </w:tc>
      </w:tr>
      <w:tr>
        <w:trPr>
          <w:trHeight w:val="20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60,104</w:t>
            </w: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w:t>
            </w:r>
          </w:p>
        </w:tc>
      </w:tr>
      <w:tr>
        <w:trPr>
          <w:trHeight w:val="22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133,892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280" w:type="dxa"/>
            <w:vAlign w:val="bottom"/>
          </w:tcPr>
          <w:p>
            <w:pPr>
              <w:ind w:left="30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215"/>
        </w:trPr>
        <w:tc>
          <w:tcPr>
            <w:tcW w:w="6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r>
      <w:tr>
        <w:trPr>
          <w:trHeight w:val="266"/>
        </w:trPr>
        <w:tc>
          <w:tcPr>
            <w:tcW w:w="6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0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85"/>
        </w:trPr>
        <w:tc>
          <w:tcPr>
            <w:tcW w:w="6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0"/>
        </w:trPr>
        <w:tc>
          <w:tcPr>
            <w:tcW w:w="628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84,698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84,650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85,637</w:t>
            </w:r>
          </w:p>
        </w:tc>
      </w:tr>
      <w:tr>
        <w:trPr>
          <w:trHeight w:val="215"/>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85,228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0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133,892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50,201</w:t>
            </w:r>
          </w:p>
        </w:tc>
      </w:tr>
      <w:tr>
        <w:trPr>
          <w:trHeight w:val="235"/>
        </w:trPr>
        <w:tc>
          <w:tcPr>
            <w:tcW w:w="6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2"/>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income,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foreign currency translation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48"/>
        </w:trPr>
        <w:tc>
          <w:tcPr>
            <w:tcW w:w="6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0"/>
        </w:trPr>
        <w:tc>
          <w:tcPr>
            <w:tcW w:w="6960" w:type="dxa"/>
            <w:vAlign w:val="bottom"/>
          </w:tcPr>
          <w:p>
            <w:pPr>
              <w:ind w:left="220"/>
              <w:spacing w:after="0"/>
              <w:rPr>
                <w:sz w:val="20"/>
                <w:szCs w:val="20"/>
                <w:color w:val="auto"/>
              </w:rPr>
            </w:pPr>
            <w:r>
              <w:rPr>
                <w:rFonts w:ascii="Arial" w:cs="Arial" w:eastAsia="Arial" w:hAnsi="Arial"/>
                <w:sz w:val="16"/>
                <w:szCs w:val="16"/>
                <w:color w:val="auto"/>
              </w:rPr>
              <w:t>Unrealized gain (loss) on derivatives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Unrealized derivative gain (loss) arising during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(96,837)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(13,671)</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Reclassification adjustments for gain (loss) included in net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14,865</w:t>
            </w:r>
          </w:p>
        </w:tc>
      </w:tr>
      <w:tr>
        <w:trPr>
          <w:trHeight w:val="206"/>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(loss) on derivatives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(72,395)</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0"/>
        </w:trPr>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Defined benefit pension plan - net gain (loss) arising during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(8,973)</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2"/>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comprehensive gain (loss),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(37,683)</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Income tax (expense) benefit related to items in other comprehensive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w:t>
            </w: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comprehensive gain (loss),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(30,959)</w:t>
            </w:r>
          </w:p>
        </w:tc>
      </w:tr>
      <w:tr>
        <w:trPr>
          <w:trHeight w:val="248"/>
        </w:trPr>
        <w:tc>
          <w:tcPr>
            <w:tcW w:w="69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3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net of tax</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197,979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136,235</w:t>
            </w: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8"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470,166</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Trade accounts receivable, net of allowances of $4,735 and $6,439</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231,831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225,532</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310,117</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91,051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69,282</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 held for sale</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162,105</w:t>
            </w:r>
          </w:p>
        </w:tc>
        <w:tc>
          <w:tcPr>
            <w:tcW w:w="0" w:type="dxa"/>
            <w:vAlign w:val="bottom"/>
          </w:tcPr>
          <w:p>
            <w:pPr>
              <w:spacing w:after="0"/>
              <w:rPr>
                <w:sz w:val="1"/>
                <w:szCs w:val="1"/>
                <w:color w:val="auto"/>
              </w:rPr>
            </w:pPr>
          </w:p>
        </w:tc>
      </w:tr>
      <w:tr>
        <w:trPr>
          <w:trHeight w:val="203"/>
        </w:trPr>
        <w:tc>
          <w:tcPr>
            <w:tcW w:w="810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1,153,716</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1,237,202</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287,529</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84,543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83,635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1,145,573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1,013,458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932,367</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73,690</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3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3,782,383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Current portion of borrowings under senior credit facility</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borrowings under securitization facility</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Current portion of lease liability - operating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trade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76,117</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120,458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94,194</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Liabilities held for sale</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203"/>
        </w:trPr>
        <w:tc>
          <w:tcPr>
            <w:tcW w:w="810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340,021</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401,013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824,257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933,387</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convertible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474,834</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Lease liability - operating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88,118</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16,190</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186,727</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2,097,579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2,100,269</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100" w:type="dxa"/>
            <w:vAlign w:val="bottom"/>
          </w:tcPr>
          <w:p>
            <w:pPr>
              <w:ind w:left="340"/>
              <w:spacing w:after="0" w:line="163" w:lineRule="exact"/>
              <w:rPr>
                <w:sz w:val="20"/>
                <w:szCs w:val="20"/>
                <w:color w:val="auto"/>
              </w:rPr>
            </w:pPr>
            <w:r>
              <w:rPr>
                <w:rFonts w:ascii="Arial" w:cs="Arial" w:eastAsia="Arial" w:hAnsi="Arial"/>
                <w:sz w:val="16"/>
                <w:szCs w:val="16"/>
                <w:color w:val="auto"/>
                <w:w w:val="90"/>
              </w:rPr>
              <w:t>Common stock; $0.01 par value; 240,000 authorized shares; 89,600 and 89,251 issued at December 31, 2021 and 2020,</w:t>
            </w: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07"/>
        </w:trPr>
        <w:tc>
          <w:tcPr>
            <w:tcW w:w="810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1,264,943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1,290,909</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Treasury stock, at cost; 4,899 and 4,914 shares at December 31, 2021 and 2020, respectively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(234,448)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(235,141)</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(74,059)</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698,568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532,265</w:t>
            </w:r>
          </w:p>
        </w:tc>
        <w:tc>
          <w:tcPr>
            <w:tcW w:w="0" w:type="dxa"/>
            <w:vAlign w:val="bottom"/>
          </w:tcPr>
          <w:p>
            <w:pPr>
              <w:spacing w:after="0"/>
              <w:rPr>
                <w:sz w:val="1"/>
                <w:szCs w:val="1"/>
                <w:color w:val="auto"/>
              </w:rPr>
            </w:pPr>
          </w:p>
        </w:tc>
      </w:tr>
      <w:tr>
        <w:trPr>
          <w:trHeight w:val="206"/>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1,684,804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1,514,867</w:t>
            </w:r>
          </w:p>
        </w:tc>
        <w:tc>
          <w:tcPr>
            <w:tcW w:w="0" w:type="dxa"/>
            <w:vAlign w:val="bottom"/>
          </w:tcPr>
          <w:p>
            <w:pPr>
              <w:spacing w:after="0"/>
              <w:rPr>
                <w:sz w:val="1"/>
                <w:szCs w:val="1"/>
                <w:color w:val="auto"/>
              </w:rPr>
            </w:pPr>
          </w:p>
        </w:tc>
      </w:tr>
      <w:tr>
        <w:trPr>
          <w:trHeight w:val="208"/>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3,782,383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3,615,136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7"/>
        </w:trPr>
        <w:tc>
          <w:tcPr>
            <w:tcW w:w="6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2019</w:t>
            </w:r>
          </w:p>
        </w:tc>
      </w:tr>
      <w:tr>
        <w:trPr>
          <w:trHeight w:val="17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3"/>
        </w:trPr>
        <w:tc>
          <w:tcPr>
            <w:tcW w:w="6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169,075</w:t>
            </w:r>
          </w:p>
        </w:tc>
        <w:tc>
          <w:tcPr>
            <w:tcW w:w="10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133,892</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50,201</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119,836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116,031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109,462</w:t>
            </w:r>
          </w:p>
        </w:tc>
      </w:tr>
      <w:tr>
        <w:trPr>
          <w:trHeight w:val="18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in-process research and development expense</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64,916</w:t>
            </w: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Non-cash impairment charges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5,764</w:t>
            </w:r>
          </w:p>
        </w:tc>
      </w:tr>
      <w:tr>
        <w:trPr>
          <w:trHeight w:val="18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(benefit) provision</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(19,046)</w:t>
            </w: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21,255</w:t>
            </w:r>
          </w:p>
        </w:tc>
      </w:tr>
      <w:tr>
        <w:trPr>
          <w:trHeight w:val="18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 and expenses associated with debt refinancing</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Non-cash lease expense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5,060</w:t>
            </w:r>
          </w:p>
        </w:tc>
      </w:tr>
      <w:tr>
        <w:trPr>
          <w:trHeight w:val="18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Accretion of bond issuance discount</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Loss on disposal of property and equipment and construction in-progress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1,821</w:t>
            </w:r>
          </w:p>
        </w:tc>
      </w:tr>
      <w:tr>
        <w:trPr>
          <w:trHeight w:val="18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from the sale of business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20" w:type="dxa"/>
            <w:vAlign w:val="bottom"/>
          </w:tcPr>
          <w:p>
            <w:pPr>
              <w:ind w:left="140"/>
              <w:spacing w:after="0"/>
              <w:rPr>
                <w:sz w:val="20"/>
                <w:szCs w:val="20"/>
                <w:color w:val="auto"/>
              </w:rPr>
            </w:pPr>
            <w:r>
              <w:rPr>
                <w:rFonts w:ascii="Arial" w:cs="Arial" w:eastAsia="Arial" w:hAnsi="Arial"/>
                <w:sz w:val="14"/>
                <w:szCs w:val="14"/>
                <w:color w:val="auto"/>
              </w:rPr>
              <w:t>Change in fair value of contingent consideration and others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1,119</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672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52,105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(9,428)</w:t>
            </w:r>
          </w:p>
        </w:tc>
      </w:tr>
      <w:tr>
        <w:trPr>
          <w:trHeight w:val="18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(43,308)</w:t>
            </w:r>
          </w:p>
        </w:tc>
      </w:tr>
      <w:tr>
        <w:trPr>
          <w:trHeight w:val="183"/>
        </w:trPr>
        <w:tc>
          <w:tcPr>
            <w:tcW w:w="672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13,071</w:t>
            </w:r>
          </w:p>
        </w:tc>
      </w:tr>
      <w:tr>
        <w:trPr>
          <w:trHeight w:val="18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w:t>
            </w:r>
          </w:p>
        </w:tc>
      </w:tr>
      <w:tr>
        <w:trPr>
          <w:trHeight w:val="183"/>
        </w:trPr>
        <w:tc>
          <w:tcPr>
            <w:tcW w:w="6720" w:type="dxa"/>
            <w:vAlign w:val="bottom"/>
          </w:tcPr>
          <w:p>
            <w:pPr>
              <w:ind w:left="360"/>
              <w:spacing w:after="0"/>
              <w:rPr>
                <w:sz w:val="20"/>
                <w:szCs w:val="20"/>
                <w:color w:val="auto"/>
              </w:rPr>
            </w:pPr>
            <w:r>
              <w:rPr>
                <w:rFonts w:ascii="Arial" w:cs="Arial" w:eastAsia="Arial" w:hAnsi="Arial"/>
                <w:sz w:val="14"/>
                <w:szCs w:val="14"/>
                <w:color w:val="auto"/>
              </w:rPr>
              <w:t>Accounts payable, accrued expenses and other current liabilities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32,874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(57,512)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14,666</w:t>
            </w:r>
          </w:p>
        </w:tc>
      </w:tr>
      <w:tr>
        <w:trPr>
          <w:trHeight w:val="18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Contract liabilities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r>
      <w:tr>
        <w:trPr>
          <w:trHeight w:val="183"/>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non-current liabilities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(2,059)</w:t>
            </w:r>
          </w:p>
        </w:tc>
      </w:tr>
      <w:tr>
        <w:trPr>
          <w:trHeight w:val="18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312,427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231,433</w:t>
            </w:r>
          </w:p>
        </w:tc>
      </w:tr>
      <w:tr>
        <w:trPr>
          <w:trHeight w:val="165"/>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(69,537)</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sale of Extremity Orthopedics Business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190,468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in-process research and development and intangibles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(64,995)</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note receivable</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752</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business acquisitions, net of cash acquired</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(303,910)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(30,509)</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(payments) on swaps designated as net investment hedges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7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(161,443)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(162,668)</w:t>
            </w:r>
          </w:p>
        </w:tc>
      </w:tr>
      <w:tr>
        <w:trPr>
          <w:trHeight w:val="16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borrowings of long-term indebtedness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236,900</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on debt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(125,500)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(246,100)</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Purchase of option hedge on convertible notes</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(104,248)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convertible notes issuance</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sale of stock purchase warrants</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44,563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20" w:type="dxa"/>
            <w:vAlign w:val="bottom"/>
          </w:tcPr>
          <w:p>
            <w:pPr>
              <w:ind w:left="40"/>
              <w:spacing w:after="0"/>
              <w:rPr>
                <w:sz w:val="20"/>
                <w:szCs w:val="20"/>
                <w:color w:val="auto"/>
              </w:rPr>
            </w:pPr>
            <w:r>
              <w:rPr>
                <w:rFonts w:ascii="Arial" w:cs="Arial" w:eastAsia="Arial" w:hAnsi="Arial"/>
                <w:sz w:val="14"/>
                <w:szCs w:val="14"/>
                <w:color w:val="auto"/>
              </w:rPr>
              <w:t>Purchase of treasury stock</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exercised stock options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6,948</w:t>
            </w:r>
          </w:p>
        </w:tc>
      </w:tr>
      <w:tr>
        <w:trPr>
          <w:trHeight w:val="183"/>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taxes paid in net equity settlement</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w:t>
            </w:r>
          </w:p>
        </w:tc>
      </w:tr>
      <w:tr>
        <w:trPr>
          <w:trHeight w:val="182"/>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(98,226)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121,625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r>
      <w:tr>
        <w:trPr>
          <w:trHeight w:val="17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8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60,073</w:t>
            </w:r>
          </w:p>
        </w:tc>
      </w:tr>
      <w:tr>
        <w:trPr>
          <w:trHeight w:val="18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470,166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198,911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138,838</w:t>
            </w:r>
          </w:p>
        </w:tc>
      </w:tr>
      <w:tr>
        <w:trPr>
          <w:trHeight w:val="20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513,448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470,166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198,911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6" w:name="page67"/>
    <w:bookmarkEnd w:id="66"/>
    <w:p>
      <w:pPr>
        <w:jc w:val="center"/>
        <w:spacing w:after="0" w:line="259" w:lineRule="auto"/>
        <w:rPr>
          <w:sz w:val="20"/>
          <w:szCs w:val="20"/>
          <w:color w:val="auto"/>
        </w:rPr>
      </w:pPr>
      <w:r>
        <w:rPr>
          <w:rFonts w:ascii="Arial" w:cs="Arial" w:eastAsia="Arial" w:hAnsi="Arial"/>
          <w:sz w:val="18"/>
          <w:szCs w:val="18"/>
          <w:b w:val="1"/>
          <w:bCs w:val="1"/>
          <w:color w:val="auto"/>
        </w:rPr>
        <w:t xml:space="preserve">INTEGRA LIFESCIENCES HOLDINGS CORPORATION CONSOLIDATED STATEMENTS OF CHANGES IN STOCKHOLDERS' EQUITY </w:t>
      </w:r>
      <w:r>
        <w:rPr>
          <w:rFonts w:ascii="Arial" w:cs="Arial" w:eastAsia="Arial" w:hAnsi="Arial"/>
          <w:sz w:val="18"/>
          <w:szCs w:val="18"/>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860" w:type="dxa"/>
            <w:vAlign w:val="bottom"/>
            <w:gridSpan w:val="5"/>
            <w:vMerge w:val="restart"/>
          </w:tcPr>
          <w:p>
            <w:pPr>
              <w:ind w:left="480"/>
              <w:spacing w:after="0"/>
              <w:rPr>
                <w:sz w:val="20"/>
                <w:szCs w:val="20"/>
                <w:color w:val="auto"/>
              </w:rPr>
            </w:pPr>
            <w:r>
              <w:rPr>
                <w:rFonts w:ascii="Arial" w:cs="Arial" w:eastAsia="Arial" w:hAnsi="Arial"/>
                <w:sz w:val="12"/>
                <w:szCs w:val="12"/>
                <w:b w:val="1"/>
                <w:bCs w:val="1"/>
                <w:color w:val="auto"/>
              </w:rPr>
              <w:t>Common Stock</w:t>
            </w:r>
          </w:p>
        </w:tc>
        <w:tc>
          <w:tcPr>
            <w:tcW w:w="1880" w:type="dxa"/>
            <w:vAlign w:val="bottom"/>
            <w:gridSpan w:val="5"/>
            <w:vMerge w:val="restart"/>
          </w:tcPr>
          <w:p>
            <w:pPr>
              <w:ind w:left="480"/>
              <w:spacing w:after="0"/>
              <w:rPr>
                <w:sz w:val="20"/>
                <w:szCs w:val="20"/>
                <w:color w:val="auto"/>
              </w:rPr>
            </w:pPr>
            <w:r>
              <w:rPr>
                <w:rFonts w:ascii="Arial" w:cs="Arial" w:eastAsia="Arial" w:hAnsi="Arial"/>
                <w:sz w:val="12"/>
                <w:szCs w:val="12"/>
                <w:b w:val="1"/>
                <w:bCs w:val="1"/>
                <w:color w:val="auto"/>
              </w:rPr>
              <w:t>Treasury Stock</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6"/>
              </w:rPr>
              <w:t>Additional Paid-</w:t>
            </w:r>
          </w:p>
        </w:tc>
        <w:tc>
          <w:tcPr>
            <w:tcW w:w="106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Comprehensive</w:t>
            </w:r>
          </w:p>
        </w:tc>
        <w:tc>
          <w:tcPr>
            <w:tcW w:w="160" w:type="dxa"/>
            <w:vAlign w:val="bottom"/>
          </w:tcPr>
          <w:p>
            <w:pPr>
              <w:spacing w:after="0"/>
              <w:rPr>
                <w:sz w:val="2"/>
                <w:szCs w:val="2"/>
                <w:color w:val="auto"/>
              </w:rPr>
            </w:pPr>
          </w:p>
        </w:tc>
        <w:tc>
          <w:tcPr>
            <w:tcW w:w="880" w:type="dxa"/>
            <w:vAlign w:val="bottom"/>
            <w:gridSpan w:val="2"/>
            <w:vMerge w:val="restart"/>
          </w:tcPr>
          <w:p>
            <w:pPr>
              <w:ind w:left="80"/>
              <w:spacing w:after="0" w:line="120"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3300" w:type="dxa"/>
            <w:vAlign w:val="bottom"/>
          </w:tcPr>
          <w:p>
            <w:pPr>
              <w:spacing w:after="0"/>
              <w:rPr>
                <w:sz w:val="6"/>
                <w:szCs w:val="6"/>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6"/>
                <w:szCs w:val="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3"/>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In Capital</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0"/>
              </w:rPr>
              <w:t>(2,881)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1,192,601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1,375,796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tcBorders>
              <w:top w:val="single" w:sz="8" w:color="CCEEFF"/>
            </w:tcBorders>
            <w:vMerge w:val="continue"/>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tcBorders>
              <w:top w:val="single" w:sz="8" w:color="auto"/>
            </w:tcBorders>
          </w:tcPr>
          <w:p>
            <w:pPr>
              <w:ind w:left="5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50,201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50,201</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133"/>
        </w:trPr>
        <w:tc>
          <w:tcPr>
            <w:tcW w:w="3300" w:type="dxa"/>
            <w:vAlign w:val="bottom"/>
          </w:tcPr>
          <w:p>
            <w:pPr>
              <w:ind w:left="20"/>
              <w:spacing w:after="0" w:line="133"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21,264</w:t>
            </w:r>
          </w:p>
        </w:tc>
        <w:tc>
          <w:tcPr>
            <w:tcW w:w="0" w:type="dxa"/>
            <w:vAlign w:val="bottom"/>
          </w:tcPr>
          <w:p>
            <w:pPr>
              <w:spacing w:after="0"/>
              <w:rPr>
                <w:sz w:val="1"/>
                <w:szCs w:val="1"/>
                <w:color w:val="auto"/>
              </w:rPr>
            </w:pPr>
          </w:p>
        </w:tc>
      </w:tr>
      <w:tr>
        <w:trPr>
          <w:trHeight w:val="20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0"/>
              </w:rPr>
              <w:t>(2,865)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398,574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tcBorders>
              <w:top w:val="single" w:sz="8" w:color="CCEEFF"/>
            </w:tcBorders>
            <w:vMerge w:val="continue"/>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tcBorders>
              <w:top w:val="single" w:sz="8" w:color="auto"/>
            </w:tcBorders>
          </w:tcPr>
          <w:p>
            <w:pPr>
              <w:ind w:left="5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133,892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133,892</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33"/>
        </w:trPr>
        <w:tc>
          <w:tcPr>
            <w:tcW w:w="3300" w:type="dxa"/>
            <w:vAlign w:val="bottom"/>
          </w:tcPr>
          <w:p>
            <w:pPr>
              <w:ind w:left="20"/>
              <w:spacing w:after="0" w:line="133"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Share repurchase and equity component of the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42,539</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 issuance, net</w:t>
            </w: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Accelerated shares repurchased</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w w:val="90"/>
              </w:rPr>
              <w:t>(2,060)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(115,724)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2016-13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89,251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w w:val="90"/>
              </w:rPr>
              <w:t>(4,914)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1,290,908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(74,059)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532,266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169,075</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28,904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28,904</w:t>
            </w: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ind w:left="20"/>
              <w:spacing w:after="0" w:line="133"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35,983</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Adoption of Update No. 2020-06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(66,047)</w:t>
            </w:r>
          </w:p>
        </w:tc>
        <w:tc>
          <w:tcPr>
            <w:tcW w:w="0" w:type="dxa"/>
            <w:vAlign w:val="bottom"/>
          </w:tcPr>
          <w:p>
            <w:pPr>
              <w:spacing w:after="0"/>
              <w:rPr>
                <w:sz w:val="1"/>
                <w:szCs w:val="1"/>
                <w:color w:val="auto"/>
              </w:rPr>
            </w:pPr>
          </w:p>
        </w:tc>
      </w:tr>
      <w:tr>
        <w:trPr>
          <w:trHeight w:val="20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0"/>
              </w:rPr>
              <w:t>(4,899)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1,684,804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8" w:right="359" w:bottom="1440" w:gutter="0" w:footer="0" w:header="0"/>
        </w:sectPr>
      </w:pPr>
    </w:p>
    <w:bookmarkStart w:id="67" w:name="page68"/>
    <w:bookmarkEnd w:id="67"/>
    <w:p>
      <w:pPr>
        <w:ind w:left="33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1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Integra LifeSciences Holdings Corporation (the “Company”) was incorporated in Delaware in 1989. The Company is a worldwide leader in medical technology. The Company was founded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 The Company sells its products directly through various sales forces and through a variety of other distribution channels.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 xml:space="preserve">The consolidated financial statements include the accounts of the Company and its wholly-owned subsidiaries. Intercompany accounts and transactions have been eliminated in consolidation. See Note 4,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for details of new subsidiaries included in the consolidation.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As the Company continues to navigate the novel coronavirus ("COVID-19") pandemic and recent variants of the virus as well as the adverse impacts to global economic conditions, supply chain and the operations, there may be impact to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evaluates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the Company evaluates measurement of all expected credit losses for trade receivables held at the reporting date based on historical experience, current conditions, and reasonable and supportable forecasts.</w:t>
      </w:r>
    </w:p>
    <w:p>
      <w:pPr>
        <w:spacing w:after="0" w:line="4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was not material. The adoption of this ASU did not have a significant impact on the Company's consolidated financial statements and related disclosures. 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recent variants of the virus, and other customer-specific factors. Although the Company has historically not experienced significant credit losses, it is possible that there could be an adverse impact due to customer and governmental responses to the COVID-19 pandemic.</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was recoveries of $1.1 million for the year ended December 31, 2021, and charges of $3.6 million, and $2.1 million for the years ended December 31, 2020 and 2019,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19"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December 31,</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2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53,336</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76,480</w:t>
            </w: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317,386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310,117</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At December 31, 2020, $52.8 million of inventories, net was presented separately as "Assets held for sale" in conjunction with the sale of the Extremity Orthopedics business.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2021 or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7"/>
          <w:szCs w:val="17"/>
          <w:i w:val="1"/>
          <w:iCs w:val="1"/>
          <w:color w:val="auto"/>
        </w:rPr>
        <w:t>Internal-Use Software.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Useful Lives</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17,345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 years</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years</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Machinery and production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166,973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 years</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Surgical instrument kits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years</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Information systems and hardware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143,770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years</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years</w:t>
            </w:r>
          </w:p>
        </w:tc>
      </w:tr>
      <w:tr>
        <w:trPr>
          <w:trHeight w:val="22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570,378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(282,849)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287,529</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At December 31, 2020, $37.9 million of property, plant and equipment, net was presented separately as "Assets held for sale" in conjunction with the sale of the Extremity Orthopedics business.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Depreciation expense associated with property, plant and equipment was $39.4 million, $42.1 million, and $42.6 million for the years ended December 31, 2021, 2020 and 2019, respectively.</w:t>
      </w:r>
    </w:p>
    <w:p>
      <w:pPr>
        <w:spacing w:after="0" w:line="7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During the fourth quarter of 2020, the Company wrote-off certain construction in progress of $6.7 million related to a manufacturing project that the Company decided to discontinue. The Company determined that the carrying amounts of these assets were not recoverable.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2021 and 2020, respectively, the Company capitalized $1.2 million and $2.3 million of interest expense into property, plant and equipment.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Results of operations of acquired companies are included in the Company’s results of operations as of the respective acquisition dates. The Company accounts for the acquisition of a business in accordance with ASC 805, Business Combinations (ASC 805). Amounts paid to acquire a business are allocated to the assets acquired and liabilities assumed based on their fair values at the date of acquisition. Any excess of the purchase price over the fair value of the net assets acquired in recorded as goodwill. Transaction costs and costs to restructure the acquired company are expensed as incurred.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 determines the fair value of acquired intangible assets based on detailed valuations that use certain information and assumptions provided by management. The Company allocates any excess purchase price over the fair value of the net tangible and intangible assets acquired to goodwill. Determining the fair value of these intangible assets,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Acquired IPR&amp;D is recognized at fair value and initially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 The Company also uses the income approach, as described above, to determine the estimated fair value of certain other identifiable intangible assets including customer relationships, trade names and business licenses. Customer relationships represent established relationships with customers, which provide a ready channel for the sale of additional products and services. Trade names represent acquired company and product names.</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Due to the uncertainty associated with research and development projects, there is risk that actual results will differ materially from the original cash flow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projections and that the research and development project will result in a successful commercial product. The risks associated with achieving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include, but are not limited to, delay or failure to obtain regulatory approvals to conduct clinical trials, delay or failure to obtain required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market clearances, delays or issues with patent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issuance, or validity and litigation.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in the third quarter every year in accordance with ASC Topic 350 and whenever events or changes in circumstances indicate the carrying value of goodwill may not be recoverable. Refer to Note 7, </w:t>
      </w:r>
      <w:r>
        <w:rPr>
          <w:rFonts w:ascii="Arial" w:cs="Arial" w:eastAsia="Arial" w:hAnsi="Arial"/>
          <w:sz w:val="17"/>
          <w:szCs w:val="17"/>
          <w:i w:val="1"/>
          <w:iCs w:val="1"/>
          <w:color w:val="auto"/>
        </w:rPr>
        <w:t>Goodwill and Other Intangibles</w:t>
      </w:r>
      <w:r>
        <w:rPr>
          <w:rFonts w:ascii="Arial" w:cs="Arial" w:eastAsia="Arial" w:hAnsi="Arial"/>
          <w:sz w:val="17"/>
          <w:szCs w:val="17"/>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 xml:space="preserve">The Company has two reportable segments with three underlying reporting units. Refer to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 on reportable segments.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Other intangible assets include patents, trademarks, purchased technology, and supplier and customer relationships. Identifiable intangible assets are initially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recorded at fair market value at the time of acquisition generally using an income or cost approach. The Company capitalizes costs incurred to renew or</w:t>
      </w:r>
    </w:p>
    <w:p>
      <w:pPr>
        <w:spacing w:after="0" w:line="231" w:lineRule="auto"/>
        <w:rPr>
          <w:sz w:val="20"/>
          <w:szCs w:val="20"/>
          <w:color w:val="auto"/>
        </w:rPr>
      </w:pPr>
      <w:r>
        <w:rPr>
          <w:rFonts w:ascii="Arial" w:cs="Arial" w:eastAsia="Arial" w:hAnsi="Arial"/>
          <w:sz w:val="18"/>
          <w:szCs w:val="18"/>
          <w:color w:val="auto"/>
        </w:rPr>
        <w:t>extend the term of recognized intangible assets and amortizes those costs</w:t>
      </w:r>
    </w:p>
    <w:p>
      <w:pPr>
        <w:spacing w:after="0"/>
        <w:rPr>
          <w:sz w:val="20"/>
          <w:szCs w:val="20"/>
          <w:color w:val="auto"/>
        </w:rPr>
      </w:pPr>
      <w:r>
        <w:rPr>
          <w:rFonts w:ascii="Arial" w:cs="Arial" w:eastAsia="Arial" w:hAnsi="Arial"/>
          <w:sz w:val="18"/>
          <w:szCs w:val="18"/>
          <w:color w:val="auto"/>
        </w:rPr>
        <w:t>over their expected useful lives.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8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Long-lived assets held and used by the Company, including property, plant and equipment, intangible assets, and leases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$1.2 million, $0.8 million and $0.3 million to the Integra Foundation during the years ended December 31, 2021, 2020 and 2019, respectively. These contributions were recorded in selling, general, and administrative expense.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From time to time, the Company may enter into derivatives that are not designated as hedging instruments in order to protect itself from currency volatility due to intercompany balances.</w:t>
      </w:r>
    </w:p>
    <w:p>
      <w:pPr>
        <w:spacing w:after="0" w:line="2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All derivative instruments are recognized at the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entered into foreign currency forward and foreign currency swap contracts that are not designated as a hedging instruments for accounting purposes. These contracts are recorded at fair value, with the changes in fair value recognized into other income, net on the consolidated financial statements. 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more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net gains of less than $0.1 million, and net losses of $1.6 million and $0.3 million are reported in other income, net in the statements of operations, for the year ended December 31, 2021, 2020 and 2019,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continues to indefinitely reinvest substantially all of its foreign earnings. The current provisional analysis indicates that the Company has sufficient U.S. liquidity, including borrowing capacity, to fund foreseeable U.S. cash needs without requiring the repatriation of foreign cash. One time or unusual items that may impact the ability or intent to keep the foreign earnings and cash indefinitely reinvested include significant U.S. acquisitions, loans from a foreign subsidiary and changes in tax laws.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Refer to Note 3,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for more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5"/>
          <w:szCs w:val="15"/>
          <w:i w:val="1"/>
          <w:iCs w:val="1"/>
          <w:color w:val="auto"/>
        </w:rPr>
        <w:t xml:space="preserve">Compensation-Nonretirement Benefits </w:t>
      </w:r>
      <w:r>
        <w:rPr>
          <w:rFonts w:ascii="Arial" w:cs="Arial" w:eastAsia="Arial" w:hAnsi="Arial"/>
          <w:sz w:val="15"/>
          <w:szCs w:val="15"/>
          <w:color w:val="auto"/>
        </w:rPr>
        <w:t>and ASC Topic 420</w:t>
      </w:r>
      <w:r>
        <w:rPr>
          <w:rFonts w:ascii="Arial" w:cs="Arial" w:eastAsia="Arial" w:hAnsi="Arial"/>
          <w:sz w:val="15"/>
          <w:szCs w:val="15"/>
          <w:i w:val="1"/>
          <w:iCs w:val="1"/>
          <w:color w:val="auto"/>
        </w:rPr>
        <w:t xml:space="preserve"> One-time Employee Termination Benefits</w:t>
      </w:r>
      <w:r>
        <w:rPr>
          <w:rFonts w:ascii="Arial" w:cs="Arial" w:eastAsia="Arial" w:hAnsi="Arial"/>
          <w:sz w:val="15"/>
          <w:szCs w:val="15"/>
          <w:color w:val="auto"/>
        </w:rPr>
        <w:t>.</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incurred restructuring costs of $3.4 million and $4.9 million in cost of goods sold, $0.5 million and $1.2 million in selling, general and administrative and $0.3 million and $0.3 million in research and development related to employee terminations associated with a future plant closure in the consolidated statement of operations for the years ended December 31, 2021 and 2020, respectively. Restructuring costs of $10.2 million were included in accrued expenses and other current liabilities and $6.4 million were included in other liabilities in the consolidated balance sheet for the year ended December 31, 2021 and 2020,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Relevant authoritative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 Refer to Note 9,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None of the Company's customers accounted for 10% or more of the consolidated net sales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This guidance modifies the disclosure requirements for employers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defined benefit pension or other postretirement plans. The ASU is effective for fiscal years beginning after December 15, 2020, including interim periods within those fiscal years. Early adoption was permitted. The Company adopted this guidance during the year ended December 31, 2020. The adoption of this guidance did not have a significant impact on the Company's consolidated financial statements and related disclosures.</w:t>
      </w:r>
    </w:p>
    <w:p>
      <w:pPr>
        <w:spacing w:after="0" w:line="7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w:t>
      </w:r>
      <w:r>
        <w:rPr>
          <w:rFonts w:ascii="Arial" w:cs="Arial" w:eastAsia="Arial" w:hAnsi="Arial"/>
          <w:sz w:val="15"/>
          <w:szCs w:val="15"/>
          <w:color w:val="auto"/>
        </w:rPr>
        <w:t>, relating to a customer's accounting for implementation, set-up, and other upfront costs incurred in a cloud computing arrangement that is hosted by a vendor (e.g., a service contract). Under this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4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w:t>
      </w:r>
      <w:r>
        <w:rPr>
          <w:rFonts w:ascii="Arial" w:cs="Arial" w:eastAsia="Arial" w:hAnsi="Arial"/>
          <w:sz w:val="15"/>
          <w:szCs w:val="15"/>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w:t>
      </w:r>
      <w:r>
        <w:rPr>
          <w:rFonts w:ascii="Arial" w:cs="Arial" w:eastAsia="Arial" w:hAnsi="Arial"/>
          <w:sz w:val="15"/>
          <w:szCs w:val="15"/>
          <w:i w:val="1"/>
          <w:iCs w:val="1"/>
          <w:color w:val="auto"/>
        </w:rPr>
        <w:t>Reference Rate Reform- Scope</w:t>
      </w:r>
      <w:r>
        <w:rPr>
          <w:rFonts w:ascii="Arial" w:cs="Arial" w:eastAsia="Arial" w:hAnsi="Arial"/>
          <w:sz w:val="15"/>
          <w:szCs w:val="15"/>
          <w:color w:val="auto"/>
        </w:rPr>
        <w:t xml:space="preserve"> which clarified certain optional expedients and exceptions to entities that are affected because of the reference rate reform. The amendments in this ASU affect the guidance in ASU 2020-04 and are effective in the same timeframe as ASU 2020-04. The Company currently has contracts that are indexed to LIBOR and are continuing to monitor this activity and evaluate the associated risk. The Company is continuing to evaluate the scope of impacted contracts and the potential impact. The Company is also monitoring the developments regarding alternative rates and may amend certain contracts to accommodate those rates if the contract does not already specify a replacement rate. While the notional value of agreements potentially indexed to LIBOR is material, the Company does not expect a material impact consolidated financial statements and related disclosures associated with this transition.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 and Derivatives and Hedging-Contracts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in Entity's Own Equity (Subtopic 815-40):Accounting for Convertible Instruments and Contracts in an Entity's Own Equity</w:t>
      </w:r>
      <w:r>
        <w:rPr>
          <w:rFonts w:ascii="Arial" w:cs="Arial" w:eastAsia="Arial" w:hAnsi="Arial"/>
          <w:sz w:val="17"/>
          <w:szCs w:val="17"/>
          <w:color w:val="auto"/>
        </w:rPr>
        <w:t>. The guidance simplifies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detailed in Note 5, </w:t>
      </w:r>
      <w:r>
        <w:rPr>
          <w:rFonts w:ascii="Arial" w:cs="Arial" w:eastAsia="Arial" w:hAnsi="Arial"/>
          <w:sz w:val="18"/>
          <w:szCs w:val="18"/>
          <w:i w:val="1"/>
          <w:iCs w:val="1"/>
          <w:color w:val="auto"/>
        </w:rPr>
        <w:t>Debt</w:t>
      </w:r>
      <w:r>
        <w:rPr>
          <w:rFonts w:ascii="Arial" w:cs="Arial" w:eastAsia="Arial" w:hAnsi="Arial"/>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4"/>
                <w:szCs w:val="14"/>
                <w:color w:val="auto"/>
              </w:rPr>
            </w:pPr>
          </w:p>
        </w:tc>
        <w:tc>
          <w:tcPr>
            <w:tcW w:w="46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jc w:val="right"/>
              <w:ind w:right="63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Deferred tax impact of cumulative-effect adjustment</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discount reclassification</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convertible securities</w:t>
            </w: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Equity issuance costs reclassification</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Long-term convertible securities</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4"/>
        </w:trPr>
        <w:tc>
          <w:tcPr>
            <w:tcW w:w="4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Debt discount amortization and equity costs</w:t>
            </w:r>
          </w:p>
        </w:tc>
        <w:tc>
          <w:tcPr>
            <w:tcW w:w="47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net of tax</w:t>
            </w:r>
          </w:p>
        </w:tc>
        <w:tc>
          <w:tcPr>
            <w:tcW w:w="474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impact of cumulative-effect adjustment</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Upon adoption of ASU 2020-06, the Company’s 2025 Notes were reflected entirely as a liability since the embedded conversion feature will no longer be separately presented within stockholders’ equity. Additionally, from January 1, 2021, the Company is no longer incurring non-cash interest expense for the amortization of debt discount, therefore the interest expense for the 2025 Notes, which is included in the interest expense on the consolidated statements of operations and comprehensive loss, is lower as compared to the fiscal year of 2020.</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regulations of the U.S. Securities and Exchange Commission (the "SEC") .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May 2021, the FASB issued ASU 2021-04, </w:t>
      </w:r>
      <w:r>
        <w:rPr>
          <w:rFonts w:ascii="Arial" w:cs="Arial" w:eastAsia="Arial" w:hAnsi="Arial"/>
          <w:sz w:val="15"/>
          <w:szCs w:val="15"/>
          <w:i w:val="1"/>
          <w:iCs w:val="1"/>
          <w:color w:val="auto"/>
        </w:rPr>
        <w:t>Earnings Per Share (Topic 260), Debt—Modifications and Extinguishments (Subtopic 470-50),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5"/>
          <w:szCs w:val="15"/>
          <w:color w:val="auto"/>
        </w:rPr>
        <w:t>which provides guidance to clarify and reduce diversity in an issuer’s</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currently has no impact to the Company as the effect will largely depend on the terms of written call options or financings issued or modified in the future.</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paid for interest during the years ended December 31, 2021, 2020 and 2019 was $43.2 million (net of $1.2 million that was capitalized into construction in progress), $47.3 million (net of $2.3 million that was capitalized into construction in progress) and $48.9 million (net of $3.1 million that was capitalized into construction in progress), respectively.</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Cash paid for income taxes, net of refunds, for the years ended December 31, 2021, 2020 and 2019 was $49.5 million, $29.8 million and $16.2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ACTIVITIES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Property and equipment purchases included in liabilities at December 31, 2021, 2020 and 2019 were $4.7 million, $1.6 million and $11.0 million, respectively.</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2021, the Company achieved its final developmental milestone which triggered a $5.0 million obligation to be paid to former shareholders of Rebound Therapeutics Corporation ("Rebound"). The Company recorded $5.0 million as an intangible asset in the consolidated balance sheet upon achieving the milestone. The remaining obligation was included in accrued liabilities at December 31, 2021 in the consolidated balance sheets. The milestone is expected to be fully paid during the first quarter of 2022.</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of 2020, the Company achieved another developmental milestone which triggered a $20.0 million obligation to be paid to the former shareholders of Rebound. The Company recorded $20.0 million as an intangible asset in the consolidated balance sheet upon achieving the milestone. The milestone was paid during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In addition, the Company recorded $5.0 million as in-process research and development expense in the consolidated statements of operations. The obligation was included in accrued liabilities at December 31, 2019 in the consolidated balance sheets. The milestone was paid during the first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Company's performance obligations consist mainly of transferring control of goods and services identified in the contracts, purchase orders, or invoices.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Company's return policy, as set forth in its product catalogs and sales invoices, requires review and authorization in advance prior to the return of product.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Upon the authorization, a credit will be issued for the goods returned within a set amount of days from the shipment, which is generally ninety days.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year ended December 31, 2021:</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9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Dollars in thousands</w:t>
            </w: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80" w:type="dxa"/>
            <w:vAlign w:val="bottom"/>
            <w:tcBorders>
              <w:left w:val="single" w:sz="8" w:color="CCEEFF"/>
              <w:bottom w:val="single" w:sz="8" w:color="auto"/>
            </w:tcBorders>
            <w:shd w:val="clear" w:color="auto" w:fill="CCEEFF"/>
          </w:tcPr>
          <w:p>
            <w:pPr>
              <w:ind w:left="20"/>
              <w:spacing w:after="0" w:line="171" w:lineRule="exact"/>
              <w:rPr>
                <w:sz w:val="20"/>
                <w:szCs w:val="20"/>
                <w:color w:val="auto"/>
              </w:rPr>
            </w:pPr>
            <w:r>
              <w:rPr>
                <w:rFonts w:ascii="Arial" w:cs="Arial" w:eastAsia="Arial" w:hAnsi="Arial"/>
                <w:sz w:val="18"/>
                <w:szCs w:val="18"/>
                <w:color w:val="auto"/>
                <w:w w:val="88"/>
              </w:rPr>
              <w:t>Contract Asset</w:t>
            </w:r>
          </w:p>
        </w:tc>
        <w:tc>
          <w:tcPr>
            <w:tcW w:w="7900" w:type="dxa"/>
            <w:vAlign w:val="bottom"/>
            <w:tcBorders>
              <w:bottom w:val="single" w:sz="8" w:color="CCEEFF"/>
            </w:tcBorders>
            <w:gridSpan w:val="2"/>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asset, January 1, 2021</w:t>
            </w: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174"/>
        </w:trPr>
        <w:tc>
          <w:tcPr>
            <w:tcW w:w="8980" w:type="dxa"/>
            <w:vAlign w:val="bottom"/>
            <w:tcBorders>
              <w:left w:val="single" w:sz="8" w:color="CCEEFF"/>
            </w:tcBorders>
            <w:gridSpan w:val="3"/>
            <w:shd w:val="clear" w:color="auto" w:fill="CCEEFF"/>
          </w:tcPr>
          <w:p>
            <w:pPr>
              <w:ind w:left="620"/>
              <w:spacing w:after="0" w:line="174" w:lineRule="exact"/>
              <w:rPr>
                <w:sz w:val="20"/>
                <w:szCs w:val="20"/>
                <w:color w:val="auto"/>
              </w:rPr>
            </w:pPr>
            <w:r>
              <w:rPr>
                <w:rFonts w:ascii="Arial" w:cs="Arial" w:eastAsia="Arial" w:hAnsi="Arial"/>
                <w:sz w:val="18"/>
                <w:szCs w:val="18"/>
                <w:color w:val="auto"/>
              </w:rPr>
              <w:t>Transferred to trade receivable of contract asset included</w:t>
            </w:r>
          </w:p>
        </w:tc>
        <w:tc>
          <w:tcPr>
            <w:tcW w:w="5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5"/>
        </w:trPr>
        <w:tc>
          <w:tcPr>
            <w:tcW w:w="8980" w:type="dxa"/>
            <w:vAlign w:val="bottom"/>
            <w:tcBorders>
              <w:left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in beginning of the year contract asset</w:t>
            </w:r>
          </w:p>
        </w:tc>
        <w:tc>
          <w:tcPr>
            <w:tcW w:w="52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80" w:type="dxa"/>
            <w:vAlign w:val="bottom"/>
            <w:tcBorders>
              <w:bottom w:val="single" w:sz="8" w:color="CCEEFF"/>
            </w:tcBorders>
            <w:gridSpan w:val="3"/>
          </w:tcPr>
          <w:p>
            <w:pPr>
              <w:ind w:left="62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w:t>
            </w:r>
          </w:p>
        </w:tc>
        <w:tc>
          <w:tcPr>
            <w:tcW w:w="0" w:type="dxa"/>
            <w:vAlign w:val="bottom"/>
          </w:tcPr>
          <w:p>
            <w:pPr>
              <w:spacing w:after="0"/>
              <w:rPr>
                <w:sz w:val="1"/>
                <w:szCs w:val="1"/>
                <w:color w:val="auto"/>
              </w:rPr>
            </w:pPr>
          </w:p>
        </w:tc>
      </w:tr>
      <w:tr>
        <w:trPr>
          <w:trHeight w:val="245"/>
        </w:trPr>
        <w:tc>
          <w:tcPr>
            <w:tcW w:w="89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Contract asset, December 31, 2021</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98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color w:val="auto"/>
              </w:rPr>
              <w:t>Contract Liability</w:t>
            </w: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8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liability, January 1, 2021</w:t>
            </w: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26"/>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25"/>
        </w:trPr>
        <w:tc>
          <w:tcPr>
            <w:tcW w:w="8980" w:type="dxa"/>
            <w:vAlign w:val="bottom"/>
            <w:gridSpan w:val="3"/>
          </w:tcPr>
          <w:p>
            <w:pPr>
              <w:ind w:left="62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26"/>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Foreign currency translation</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0"/>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liability, December 31, 2021</w:t>
            </w: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At December 31, 2021, the short-term portion of the contract liability of $5.3 million and the long-term portion of $6.7 million is included in current liabilities and other liabilities, respectively, in the consolidated balance sheet.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2021, the Company is expected to recognize revenue of approximately $5.3 million in 2022, $2.9 million in 2023, $1.8 million in 2024, $0.9 million in 2025, $0.6 million in 2026, and $0.4 million thereafter.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table presents revenues disaggregated by the major sources of revenues for years-ended December 31, 2021, 2020 and 2019 (dollar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w:t>
            </w:r>
          </w:p>
        </w:tc>
        <w:tc>
          <w:tcPr>
            <w:tcW w:w="16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9"/>
              </w:rPr>
              <w:t>Year Ended December</w:t>
            </w:r>
          </w:p>
        </w:tc>
      </w:tr>
      <w:tr>
        <w:trPr>
          <w:trHeight w:val="185"/>
        </w:trPr>
        <w:tc>
          <w:tcPr>
            <w:tcW w:w="6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31, 2021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31, 2020</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31, 2019</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Neurosurgery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802,959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716,339</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767,793</w:t>
            </w:r>
          </w:p>
        </w:tc>
      </w:tr>
      <w:tr>
        <w:trPr>
          <w:trHeight w:val="22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Instruments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222,273</w:t>
            </w:r>
          </w:p>
        </w:tc>
        <w:tc>
          <w:tcPr>
            <w:tcW w:w="3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178,492</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228,413</w:t>
            </w:r>
          </w:p>
        </w:tc>
      </w:tr>
      <w:tr>
        <w:trPr>
          <w:trHeight w:val="22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Codman Specialty Surgical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1,025,232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996,206</w:t>
            </w:r>
          </w:p>
        </w:tc>
      </w:tr>
      <w:tr>
        <w:trPr>
          <w:trHeight w:val="212"/>
        </w:trPr>
        <w:tc>
          <w:tcPr>
            <w:tcW w:w="6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6"/>
        </w:trPr>
        <w:tc>
          <w:tcPr>
            <w:tcW w:w="65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Wound Reconstruction and Care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392,463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293,038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322,739</w:t>
            </w:r>
          </w:p>
        </w:tc>
      </w:tr>
      <w:tr>
        <w:trPr>
          <w:trHeight w:val="226"/>
        </w:trPr>
        <w:tc>
          <w:tcPr>
            <w:tcW w:w="6540" w:type="dxa"/>
            <w:vAlign w:val="bottom"/>
          </w:tcPr>
          <w:p>
            <w:pPr>
              <w:ind w:left="20"/>
              <w:spacing w:after="0" w:line="225" w:lineRule="exact"/>
              <w:rPr>
                <w:sz w:val="20"/>
                <w:szCs w:val="20"/>
                <w:color w:val="auto"/>
              </w:rPr>
            </w:pPr>
            <w:r>
              <w:rPr>
                <w:rFonts w:ascii="Arial" w:cs="Arial" w:eastAsia="Arial" w:hAnsi="Arial"/>
                <w:sz w:val="18"/>
                <w:szCs w:val="18"/>
                <w:color w:val="auto"/>
              </w:rPr>
              <w:t>Extremity Orthopedics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78,316</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90,082</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124,753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105,683</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108,530</w:t>
            </w:r>
          </w:p>
        </w:tc>
      </w:tr>
      <w:tr>
        <w:trPr>
          <w:trHeight w:val="218"/>
        </w:trPr>
        <w:tc>
          <w:tcPr>
            <w:tcW w:w="6540" w:type="dxa"/>
            <w:vAlign w:val="bottom"/>
            <w:tcBorders>
              <w:bottom w:val="single" w:sz="8" w:color="CCEEFF"/>
            </w:tcBorders>
          </w:tcPr>
          <w:p>
            <w:pPr>
              <w:ind w:left="220"/>
              <w:spacing w:after="0" w:line="205" w:lineRule="exact"/>
              <w:rPr>
                <w:sz w:val="20"/>
                <w:szCs w:val="20"/>
                <w:color w:val="auto"/>
              </w:rPr>
            </w:pPr>
            <w:r>
              <w:rPr>
                <w:rFonts w:ascii="Arial" w:cs="Arial" w:eastAsia="Arial" w:hAnsi="Arial"/>
                <w:sz w:val="18"/>
                <w:szCs w:val="18"/>
                <w:color w:val="auto"/>
              </w:rPr>
              <w:t>Total Tissue Technologies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517,216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477,037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521,351</w:t>
            </w:r>
          </w:p>
        </w:tc>
      </w:tr>
      <w:tr>
        <w:trPr>
          <w:trHeight w:val="245"/>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1,542,448</w:t>
            </w:r>
          </w:p>
        </w:tc>
        <w:tc>
          <w:tcPr>
            <w:tcW w:w="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c>
          <w:tcPr>
            <w:tcW w:w="3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1,517,557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60" w:right="560" w:hanging="154"/>
        <w:spacing w:after="0" w:line="255" w:lineRule="auto"/>
        <w:tabs>
          <w:tab w:leader="none" w:pos="161"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On January 4, 2021, the Company completed its sale of its Extremity Orthopedics business. In conjunction with the sale of this business, the Company rebranded the Orthopedics and Tissue Technologies segment as Tissue Technologies in the first quarter of 2021. See Note 4. Acquisitions and Divestitures, for details.</w:t>
      </w:r>
    </w:p>
    <w:p>
      <w:pPr>
        <w:spacing w:after="0" w:line="18" w:lineRule="exact"/>
        <w:rPr>
          <w:rFonts w:ascii="Arial" w:cs="Arial" w:eastAsia="Arial" w:hAnsi="Arial"/>
          <w:sz w:val="19"/>
          <w:szCs w:val="19"/>
          <w:color w:val="auto"/>
          <w:vertAlign w:val="superscript"/>
        </w:rPr>
      </w:pPr>
    </w:p>
    <w:p>
      <w:pPr>
        <w:ind w:left="160" w:hanging="154"/>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See Note 4. Acquisitions and Divestitures, for details around the ACell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Prior period amounts were reclassified between categories within the Codman Specialty Surgical segment to conform to the current period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DIVESTITURES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Extremity Orthopedics Business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4, 2021, the Company completed the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December 31, 2020 (dollar amounts in thousands):</w:t>
      </w:r>
    </w:p>
    <w:p>
      <w:pPr>
        <w:spacing w:after="0" w:line="257" w:lineRule="exact"/>
        <w:rPr>
          <w:sz w:val="20"/>
          <w:szCs w:val="20"/>
          <w:color w:val="auto"/>
        </w:rPr>
      </w:pPr>
    </w:p>
    <w:tbl>
      <w:tblPr>
        <w:tblLayout w:type="fixed"/>
        <w:tblInd w:w="2200" w:type="dxa"/>
        <w:tblCellMar>
          <w:top w:w="0" w:type="dxa"/>
          <w:left w:w="0" w:type="dxa"/>
          <w:bottom w:w="0" w:type="dxa"/>
          <w:right w:w="0" w:type="dxa"/>
        </w:tblCellMar>
      </w:tblP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Right of use asset - operating leases and Other assets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13,332</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47,546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52,845</w:t>
            </w:r>
          </w:p>
        </w:tc>
      </w:tr>
      <w:tr>
        <w:trPr>
          <w:trHeight w:val="220"/>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Total assets held for sale</w:t>
            </w:r>
          </w:p>
        </w:tc>
        <w:tc>
          <w:tcPr>
            <w:tcW w:w="8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162,104</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2"/>
        </w:trPr>
        <w:tc>
          <w:tcPr>
            <w:tcW w:w="4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liability - operating leases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 operating leases</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w:t>
            </w: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held for sale</w:t>
            </w: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of the Extremity Orthopedics business to the Company's Tissue Technologies reporting unit. In connection with the sale, the Company recognized a gain of $41.8 million that is presented in Gain from the sale of business in the consolidated statement of operations for the year ended December 31, 2021. The Company finalized the net working capital and paid an additional $1.3 million to Smith &amp; Nephew as of December 31, 2021.</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also entered into a transition services agreement with Smith &amp; Nephew which requires the Company to provide certain services on behalf of Smith &amp; Nephew for the duration of the period subsequent to the sale of the business as defined in the agreement. The Company recognized a payable due to Smith &amp; Nephew of $9.1 million as of December 31, 2021, included in the consolidated balance sheet within accrued expenses and other current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ACell, Inc. Acquisition</w:t>
      </w:r>
    </w:p>
    <w:p>
      <w:pPr>
        <w:spacing w:after="0" w:line="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January 20, 2021, the Company acquired ACell, Inc. (the "ACell Acquisition") for an acquisition purchase price of $306.9 million plus contingent considerations of up to $100 million, that may be payable upon achieving certain revenue-based performance milestones in 2022, 2023 and 2025. The final working capital adjustments of $1.3 million was finalized and paid as of June 30, 2021.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Final Valuation</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Weighted Average Life</w:t>
            </w:r>
          </w:p>
        </w:tc>
      </w:tr>
      <w:tr>
        <w:trPr>
          <w:trHeight w:val="19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1"/>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38,992</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c>
          <w:tcPr>
            <w:tcW w:w="1760" w:type="dxa"/>
            <w:vAlign w:val="bottom"/>
          </w:tcPr>
          <w:p>
            <w:pPr>
              <w:ind w:left="1000"/>
              <w:spacing w:after="0"/>
              <w:rPr>
                <w:sz w:val="20"/>
                <w:szCs w:val="20"/>
                <w:color w:val="auto"/>
              </w:rPr>
            </w:pPr>
            <w:r>
              <w:rPr>
                <w:rFonts w:ascii="Arial" w:cs="Arial" w:eastAsia="Arial" w:hAnsi="Arial"/>
                <w:sz w:val="16"/>
                <w:szCs w:val="16"/>
                <w:color w:val="auto"/>
                <w:w w:val="87"/>
              </w:rPr>
              <w:t>13-14 years</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408,780</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2"/>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Current portion of lease liability - operating leases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Other long-term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61,724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3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101,842</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7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306,938</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allocated goodwill related to the ACell acquisition to the Tissue Technologies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acquisition, the Company is required to make payments to the former shareholders of ACell up to $100 million based on the achievement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December 31, 2021 was $21.8 million. This amount is included in other liabilities at December 31, 2021 in the consolidated balance sheets of the Company.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determined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is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2"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 forma revenues for the year ended December 31, 2021 and 2020 were $1,547.0 million and $1,466.8 million, respectively. Pro forma net income and earnings per share are not presented for this acquisition as they are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external ventricular drainage (EVD) catheter with Endexo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 permanent additive designed to reduce the potential for catheter obstruction due to thrombus 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4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Final Valuation</w:t>
            </w:r>
          </w:p>
        </w:tc>
        <w:tc>
          <w:tcPr>
            <w:tcW w:w="8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Weighted Average Life</w:t>
            </w: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60" w:type="dxa"/>
            <w:vAlign w:val="bottom"/>
            <w:shd w:val="clear" w:color="auto" w:fill="CCEEFF"/>
          </w:tcPr>
          <w:p>
            <w:pPr>
              <w:jc w:val="right"/>
              <w:ind w:right="225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2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2820" w:type="dxa"/>
            <w:vAlign w:val="bottom"/>
          </w:tcPr>
          <w:p>
            <w:pPr>
              <w:spacing w:after="0"/>
              <w:rPr>
                <w:sz w:val="19"/>
                <w:szCs w:val="19"/>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2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1,697</w:t>
            </w:r>
          </w:p>
        </w:tc>
        <w:tc>
          <w:tcPr>
            <w:tcW w:w="2820" w:type="dxa"/>
            <w:vAlign w:val="bottom"/>
          </w:tcPr>
          <w:p>
            <w:pPr>
              <w:spacing w:after="0"/>
              <w:rPr>
                <w:sz w:val="19"/>
                <w:szCs w:val="19"/>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r>
      <w:tr>
        <w:trPr>
          <w:trHeight w:val="225"/>
        </w:trPr>
        <w:tc>
          <w:tcPr>
            <w:tcW w:w="5100" w:type="dxa"/>
            <w:vAlign w:val="bottom"/>
          </w:tcPr>
          <w:p>
            <w:pPr>
              <w:ind w:left="140"/>
              <w:spacing w:after="0"/>
              <w:rPr>
                <w:sz w:val="20"/>
                <w:szCs w:val="20"/>
                <w:color w:val="auto"/>
              </w:rPr>
            </w:pPr>
            <w:r>
              <w:rPr>
                <w:rFonts w:ascii="Arial" w:cs="Arial" w:eastAsia="Arial" w:hAnsi="Arial"/>
                <w:sz w:val="18"/>
                <w:szCs w:val="18"/>
                <w:color w:val="auto"/>
              </w:rPr>
              <w:t>CerebroFlo developed technology</w:t>
            </w:r>
          </w:p>
        </w:tc>
        <w:tc>
          <w:tcPr>
            <w:tcW w:w="2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20,100</w:t>
            </w:r>
          </w:p>
        </w:tc>
        <w:tc>
          <w:tcPr>
            <w:tcW w:w="2820" w:type="dxa"/>
            <w:vAlign w:val="bottom"/>
          </w:tcPr>
          <w:p>
            <w:pPr>
              <w:ind w:left="20"/>
              <w:spacing w:after="0"/>
              <w:rPr>
                <w:sz w:val="20"/>
                <w:szCs w:val="20"/>
                <w:color w:val="auto"/>
              </w:rPr>
            </w:pPr>
            <w:r>
              <w:rPr>
                <w:rFonts w:ascii="Arial" w:cs="Arial" w:eastAsia="Arial" w:hAnsi="Arial"/>
                <w:sz w:val="18"/>
                <w:szCs w:val="18"/>
                <w:color w:val="auto"/>
              </w:rPr>
              <w:t>15 years</w:t>
            </w:r>
          </w:p>
        </w:tc>
      </w:tr>
      <w:tr>
        <w:trPr>
          <w:trHeight w:val="226"/>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Enabling technology license</w:t>
            </w:r>
          </w:p>
        </w:tc>
        <w:tc>
          <w:tcPr>
            <w:tcW w:w="2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years</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27,153</w:t>
            </w:r>
          </w:p>
        </w:tc>
        <w:tc>
          <w:tcPr>
            <w:tcW w:w="2820" w:type="dxa"/>
            <w:vAlign w:val="bottom"/>
            <w:tcBorders>
              <w:bottom w:val="single" w:sz="8" w:color="CCEEFF"/>
            </w:tcBorders>
          </w:tcPr>
          <w:p>
            <w:pPr>
              <w:spacing w:after="0"/>
              <w:rPr>
                <w:sz w:val="19"/>
                <w:szCs w:val="19"/>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2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52,228</w:t>
            </w:r>
          </w:p>
        </w:tc>
        <w:tc>
          <w:tcPr>
            <w:tcW w:w="2820" w:type="dxa"/>
            <w:vAlign w:val="bottom"/>
            <w:shd w:val="clear" w:color="auto" w:fill="CCEEFF"/>
          </w:tcPr>
          <w:p>
            <w:pPr>
              <w:spacing w:after="0"/>
              <w:rPr>
                <w:sz w:val="19"/>
                <w:szCs w:val="19"/>
                <w:color w:val="auto"/>
              </w:rPr>
            </w:pPr>
          </w:p>
        </w:tc>
      </w:tr>
      <w:tr>
        <w:trPr>
          <w:trHeight w:val="159"/>
        </w:trPr>
        <w:tc>
          <w:tcPr>
            <w:tcW w:w="5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82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13,100</w:t>
            </w:r>
          </w:p>
        </w:tc>
        <w:tc>
          <w:tcPr>
            <w:tcW w:w="2820" w:type="dxa"/>
            <w:vAlign w:val="bottom"/>
          </w:tcPr>
          <w:p>
            <w:pPr>
              <w:spacing w:after="0"/>
              <w:rPr>
                <w:sz w:val="19"/>
                <w:szCs w:val="19"/>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2820" w:type="dxa"/>
            <w:vAlign w:val="bottom"/>
            <w:shd w:val="clear" w:color="auto" w:fill="CCEEFF"/>
          </w:tcPr>
          <w:p>
            <w:pPr>
              <w:spacing w:after="0"/>
              <w:rPr>
                <w:sz w:val="19"/>
                <w:szCs w:val="19"/>
                <w:color w:val="auto"/>
              </w:rPr>
            </w:pPr>
          </w:p>
        </w:tc>
      </w:tr>
      <w:tr>
        <w:trPr>
          <w:trHeight w:val="22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Net assets acquired</w:t>
            </w:r>
          </w:p>
        </w:tc>
        <w:tc>
          <w:tcPr>
            <w:tcW w:w="2460" w:type="dxa"/>
            <w:vAlign w:val="bottom"/>
            <w:tcBorders>
              <w:bottom w:val="single" w:sz="8" w:color="auto"/>
            </w:tcBorders>
          </w:tcPr>
          <w:p>
            <w:pPr>
              <w:jc w:val="right"/>
              <w:ind w:right="225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28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determined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is revalued to estimated fair value and changes in fair value will be reflected as income or expense in our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 Adverse changes in assumptions utilized in the contingent consideration fair value estimates could result in an increase in the contingent consideration obligation and a corresponding charge to operating results.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part of the acquisition, the Company is required to pay the former shareholders of Arkis up to $25.5 million based on the timing of certain development milestones of $10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the fair value as of December 31, 2021 was $15.1 million. The Company recorded $3.7 million in accrued expenses and other current liabilities and $11.4 million in other liabilities at December 31, 2021 in the consolidated balance sheets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2"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September 9, 2019, the Company acquired Rebound Therapeutics Corporation (“Rebound”), developers of a single-use medical device known as the Aurora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Surgiscope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IPR&amp;D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IPR&amp;D expense in the consolidated statements of operations. The obligation was included in accrued expenses and other current liabilities at December 31, 2019 in the consolidated balance sheets. The milestone was paid during the first quarter of 2020.</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of 2020, the Company achieved another developmental milestone which triggered a $20.0 million obligation to be paid to the former shareholders of Rebound. The Company recorded $20.0 million as an intangible asset in the consolidated balance sheet upon achieving the milestone. The milestone was paid during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2021, the Company achieved its final developmental milestone which triggered a $5.0 million obligation to be paid to the former shareholders of Rebound. The Company recorded $5.0 million as an intangible asset in the consolidated balance sheet upon achieving the milestone. The remaining obligation was included in accrued expenses and other current liabilities at December 31, 2021 in the consolidated balance sheets. The milestone is expected to be fully paid during the first quarter of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79"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In connection with the sale of the Company's Extremity Orthopedic business, on January 4, 2021 the Company paid $41.5 million to CFO pursuant to the terms of certain agreements between the Company and CFO relating to the sale of shares of ISC effectively terminating our licensing agreement with ISC.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through June 30, 2021, in light of the unprecedented impact and uncertainty of the COVID-19 pandemic on the global economy. The July 2020 amendment did not increase the Company’s total indebtedness.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connection with the July 2020 amendment, the Company’s maximum consolidated total leverage ratio in the financial covenants (as defined in the Senior Credit Facility) was modified to the following:</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Consolidated Total Leverage</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59"/>
        </w:trPr>
        <w:tc>
          <w:tcPr>
            <w:tcW w:w="8300" w:type="dxa"/>
            <w:vAlign w:val="bottom"/>
            <w:gridSpan w:val="2"/>
          </w:tcPr>
          <w:p>
            <w:pPr>
              <w:spacing w:after="0"/>
              <w:rPr>
                <w:sz w:val="20"/>
                <w:szCs w:val="20"/>
                <w:color w:val="auto"/>
              </w:rPr>
            </w:pPr>
            <w:r>
              <w:rPr>
                <w:rFonts w:ascii="Arial" w:cs="Arial" w:eastAsia="Arial" w:hAnsi="Arial"/>
                <w:sz w:val="18"/>
                <w:szCs w:val="18"/>
                <w:color w:val="auto"/>
              </w:rPr>
              <w:t>Execution of July 2020 Amendment through June 30, 2021</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5.50 to 1.00</w:t>
            </w:r>
          </w:p>
        </w:tc>
        <w:tc>
          <w:tcPr>
            <w:tcW w:w="0" w:type="dxa"/>
            <w:vAlign w:val="bottom"/>
          </w:tcPr>
          <w:p>
            <w:pPr>
              <w:spacing w:after="0"/>
              <w:rPr>
                <w:sz w:val="1"/>
                <w:szCs w:val="1"/>
                <w:color w:val="auto"/>
              </w:rPr>
            </w:pPr>
          </w:p>
        </w:tc>
      </w:tr>
      <w:tr>
        <w:trPr>
          <w:trHeight w:val="22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 through June 30, 2022</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 to 1.00</w:t>
            </w:r>
          </w:p>
        </w:tc>
        <w:tc>
          <w:tcPr>
            <w:tcW w:w="0" w:type="dxa"/>
            <w:vAlign w:val="bottom"/>
          </w:tcPr>
          <w:p>
            <w:pPr>
              <w:spacing w:after="0"/>
              <w:rPr>
                <w:sz w:val="1"/>
                <w:szCs w:val="1"/>
                <w:color w:val="auto"/>
              </w:rPr>
            </w:pPr>
          </w:p>
        </w:tc>
      </w:tr>
      <w:tr>
        <w:trPr>
          <w:trHeight w:val="225"/>
        </w:trPr>
        <w:tc>
          <w:tcPr>
            <w:tcW w:w="8300" w:type="dxa"/>
            <w:vAlign w:val="bottom"/>
            <w:gridSpan w:val="2"/>
          </w:tcPr>
          <w:p>
            <w:pPr>
              <w:spacing w:after="0"/>
              <w:rPr>
                <w:sz w:val="20"/>
                <w:szCs w:val="20"/>
                <w:color w:val="auto"/>
              </w:rPr>
            </w:pPr>
            <w:r>
              <w:rPr>
                <w:rFonts w:ascii="Arial" w:cs="Arial" w:eastAsia="Arial" w:hAnsi="Arial"/>
                <w:sz w:val="18"/>
                <w:szCs w:val="18"/>
                <w:color w:val="auto"/>
              </w:rPr>
              <w:t>September 30, 2022 through June 30, 2023</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4.50 to 1.00</w:t>
            </w:r>
          </w:p>
        </w:tc>
        <w:tc>
          <w:tcPr>
            <w:tcW w:w="0" w:type="dxa"/>
            <w:vAlign w:val="bottom"/>
          </w:tcPr>
          <w:p>
            <w:pPr>
              <w:spacing w:after="0"/>
              <w:rPr>
                <w:sz w:val="1"/>
                <w:szCs w:val="1"/>
                <w:color w:val="auto"/>
              </w:rPr>
            </w:pPr>
          </w:p>
        </w:tc>
      </w:tr>
      <w:tr>
        <w:trPr>
          <w:trHeight w:val="22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 to 1.00</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2" w:lineRule="exact"/>
        <w:rPr>
          <w:sz w:val="20"/>
          <w:szCs w:val="20"/>
          <w:color w:val="auto"/>
        </w:rPr>
      </w:pPr>
    </w:p>
    <w:p>
      <w:pPr>
        <w:ind w:left="640" w:hanging="315"/>
        <w:spacing w:after="0" w:line="265" w:lineRule="auto"/>
        <w:tabs>
          <w:tab w:leader="none" w:pos="6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 consolidated EBITDA (as defined by the July 2020 amendment), for the period of four consecutive fiscal quarters ending on such date).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2021,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December 31, 2021 and 2020, there was $31.3 million and $97.5 million, respectively, outstanding under the revolving portion of the Senior Credit Facility at weighted average interest rates of 1.4% and 1.5%, respectively. At December 31, 2021 and 2020, there was $843.8 million and $877.5 million, respectively, outstanding, under the Term Loan component of the Senior Credit Facility at weighted average interest rate of 1.4% and 1.5%, respectively. At December 31, 2021 and 2020, there was $45.0 million and $33.8 million, respectively, of the Term Loan component of the Senior Credit Facility was classified as current on the consolidated balance sheets.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December 31, 2021 were $31.0 million and $838.4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December 31, 2021 and 2020 totaled $1.6 million. There were no amounts drawn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900" w:type="dxa"/>
            <w:vAlign w:val="bottom"/>
            <w:gridSpan w:val="3"/>
          </w:tcPr>
          <w:p>
            <w:pPr>
              <w:jc w:val="right"/>
              <w:ind w:right="3831"/>
              <w:spacing w:after="0"/>
              <w:rPr>
                <w:sz w:val="20"/>
                <w:szCs w:val="20"/>
                <w:color w:val="auto"/>
              </w:rPr>
            </w:pPr>
            <w:r>
              <w:rPr>
                <w:rFonts w:ascii="Arial" w:cs="Arial" w:eastAsia="Arial" w:hAnsi="Arial"/>
                <w:sz w:val="14"/>
                <w:szCs w:val="14"/>
                <w:b w:val="1"/>
                <w:bCs w:val="1"/>
                <w:color w:val="auto"/>
              </w:rPr>
              <w:t>Year-ended December 31, 2021</w:t>
            </w:r>
          </w:p>
        </w:tc>
        <w:tc>
          <w:tcPr>
            <w:tcW w:w="1900" w:type="dxa"/>
            <w:vAlign w:val="bottom"/>
          </w:tcPr>
          <w:p>
            <w:pPr>
              <w:jc w:val="right"/>
              <w:ind w:right="354"/>
              <w:spacing w:after="0"/>
              <w:rPr>
                <w:sz w:val="20"/>
                <w:szCs w:val="20"/>
                <w:color w:val="auto"/>
              </w:rPr>
            </w:pPr>
            <w:r>
              <w:rPr>
                <w:rFonts w:ascii="Arial" w:cs="Arial" w:eastAsia="Arial" w:hAnsi="Arial"/>
                <w:sz w:val="14"/>
                <w:szCs w:val="14"/>
                <w:b w:val="1"/>
                <w:bCs w:val="1"/>
                <w:color w:val="auto"/>
              </w:rPr>
              <w:t>Principal Repayment</w:t>
            </w:r>
          </w:p>
        </w:tc>
      </w:tr>
      <w:tr>
        <w:trPr>
          <w:trHeight w:val="209"/>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Dollars in thousands</w:t>
            </w:r>
          </w:p>
        </w:tc>
        <w:tc>
          <w:tcPr>
            <w:tcW w:w="6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9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25"/>
        </w:trPr>
        <w:tc>
          <w:tcPr>
            <w:tcW w:w="2440" w:type="dxa"/>
            <w:vAlign w:val="bottom"/>
          </w:tcPr>
          <w:p>
            <w:pPr>
              <w:ind w:left="20"/>
              <w:spacing w:after="0"/>
              <w:rPr>
                <w:sz w:val="20"/>
                <w:szCs w:val="20"/>
                <w:color w:val="auto"/>
              </w:rPr>
            </w:pPr>
            <w:r>
              <w:rPr>
                <w:rFonts w:ascii="Arial" w:cs="Arial" w:eastAsia="Arial" w:hAnsi="Arial"/>
                <w:sz w:val="18"/>
                <w:szCs w:val="18"/>
                <w:color w:val="auto"/>
              </w:rPr>
              <w:t>2023</w:t>
            </w:r>
          </w:p>
        </w:tc>
        <w:tc>
          <w:tcPr>
            <w:tcW w:w="690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61,875</w:t>
            </w:r>
          </w:p>
        </w:tc>
      </w:tr>
      <w:tr>
        <w:trPr>
          <w:trHeight w:val="22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9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r>
      <w:tr>
        <w:trPr>
          <w:trHeight w:val="225"/>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6620" w:type="dxa"/>
            <w:vAlign w:val="bottom"/>
            <w:tcBorders>
              <w:bottom w:val="single" w:sz="8" w:color="CCEEFF"/>
            </w:tcBorders>
            <w:gridSpan w:val="2"/>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669,375</w:t>
            </w:r>
          </w:p>
        </w:tc>
      </w:tr>
      <w:tr>
        <w:trPr>
          <w:trHeight w:val="239"/>
        </w:trPr>
        <w:tc>
          <w:tcPr>
            <w:tcW w:w="2440" w:type="dxa"/>
            <w:vAlign w:val="bottom"/>
            <w:shd w:val="clear" w:color="auto" w:fill="CCEEFF"/>
          </w:tcPr>
          <w:p>
            <w:pPr>
              <w:spacing w:after="0"/>
              <w:rPr>
                <w:sz w:val="20"/>
                <w:szCs w:val="20"/>
                <w:color w:val="auto"/>
              </w:rPr>
            </w:pPr>
          </w:p>
        </w:tc>
        <w:tc>
          <w:tcPr>
            <w:tcW w:w="69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843,750</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Future interest payments on the term loan component of the Senior Credit Facility based on current interest rates are expected to approximate $11.0 million in 2022, $10.3 million in 2023, $9.4 million in 2024, and $0.9 million in 2025. Interest is calculated on the term loan portion of the Senior Credit Facility based on LIBOR plus the spread paid by the Company. As the revolving credit facility and Securitization Facility can be repaid at any time, no interest has been included in the calculation.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value of the 2025 Notes during a period as defined in the indenture; (3) at any time on or after February 20, 2023; or (4) if specified corporate transactions occur. As of December 31, 2021, none of these conditions existed with respect to the 2025 Notes and as a result the 2025 Notes are classified as long term.</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details. At December 31, 2021, the carrying amount of the liability was $575.0 million. The fair value of the 2025 Notes at December 31, 2021 was $640.5 million. Factors that the Company considered when estimating the fair value of the 2025 Notes included recent quoted market prices or dealer quote. The level of the 2025 Notes is considered as Level 1.</w:t>
      </w:r>
    </w:p>
    <w:p>
      <w:pPr>
        <w:spacing w:after="0" w:line="73"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a result of the adoption of ASU 2020-06, the Company recognized only cash interest related to the contractual interest coupon of $2.9 million on the 2025 Notes for the year ended December 31, 2021. Prior to the adoption, during the year ended December 31, 2020, the Company recognized cash interest of $2.6 million and amortization of the discount on the liability component of $15.4 million for a total interest charge of $18.0 million on the 2025 Notes.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December 31, 2021, the Company was in compliance with the covenants and none of the termination events had occurred.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both December 31, 2021 and 2020, the Company had $112.5 million, of outstanding borrowings under its Securitization Facility at a weighted average interest rate of 1.1% and 1.3%, respectively. The fair value of the outstanding borrowing of the Securitization Facility at December 31, 2021 was $111.8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2021 and 2020 (dollar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w w:val="96"/>
              </w:rPr>
              <w:t>December 31, 2021</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w w:val="86"/>
              </w:rPr>
              <w:t>December 31, 2020</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 2021</w:t>
            </w:r>
          </w:p>
        </w:tc>
        <w:tc>
          <w:tcPr>
            <w:tcW w:w="1000" w:type="dxa"/>
            <w:vAlign w:val="bottom"/>
            <w:gridSpan w:val="2"/>
          </w:tcPr>
          <w:p>
            <w:pPr>
              <w:jc w:val="right"/>
              <w:ind w:right="18"/>
              <w:spacing w:after="0"/>
              <w:rPr>
                <w:sz w:val="20"/>
                <w:szCs w:val="20"/>
                <w:color w:val="auto"/>
              </w:rPr>
            </w:pPr>
            <w:r>
              <w:rPr>
                <w:rFonts w:ascii="Arial" w:cs="Arial" w:eastAsia="Arial" w:hAnsi="Arial"/>
                <w:sz w:val="11"/>
                <w:szCs w:val="11"/>
                <w:b w:val="1"/>
                <w:bCs w:val="1"/>
                <w:color w:val="auto"/>
                <w:w w:val="90"/>
              </w:rPr>
              <w:t>December 31, 2020</w:t>
            </w: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1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Hedged Item</w:t>
            </w:r>
          </w:p>
        </w:tc>
        <w:tc>
          <w:tcPr>
            <w:tcW w:w="11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w w:val="87"/>
              </w:rPr>
              <w:t>Notional Amount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4"/>
              </w:rPr>
              <w:t>Designation Date</w:t>
            </w: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7"/>
              </w:rPr>
              <w:t>Effective Date</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1"/>
              </w:rPr>
              <w:t>Termination Date</w:t>
            </w:r>
          </w:p>
        </w:tc>
        <w:tc>
          <w:tcPr>
            <w:tcW w:w="800" w:type="dxa"/>
            <w:vAlign w:val="bottom"/>
          </w:tcPr>
          <w:p>
            <w:pPr>
              <w:jc w:val="right"/>
              <w:ind w:right="19"/>
              <w:spacing w:after="0" w:line="100" w:lineRule="exact"/>
              <w:rPr>
                <w:sz w:val="20"/>
                <w:szCs w:val="20"/>
                <w:color w:val="auto"/>
              </w:rPr>
            </w:pPr>
            <w:r>
              <w:rPr>
                <w:rFonts w:ascii="Arial" w:cs="Arial" w:eastAsia="Arial" w:hAnsi="Arial"/>
                <w:sz w:val="11"/>
                <w:szCs w:val="11"/>
                <w:b w:val="1"/>
                <w:bCs w:val="1"/>
                <w:color w:val="auto"/>
                <w:w w:val="97"/>
              </w:rPr>
              <w:t>Fixed Interest</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gridSpan w:val="3"/>
            <w:vMerge w:val="restart"/>
          </w:tcPr>
          <w:p>
            <w:pPr>
              <w:jc w:val="right"/>
              <w:ind w:right="1"/>
              <w:spacing w:after="0"/>
              <w:rPr>
                <w:sz w:val="20"/>
                <w:szCs w:val="20"/>
                <w:color w:val="auto"/>
              </w:rPr>
            </w:pPr>
            <w:r>
              <w:rPr>
                <w:rFonts w:ascii="Arial" w:cs="Arial" w:eastAsia="Arial" w:hAnsi="Arial"/>
                <w:sz w:val="11"/>
                <w:szCs w:val="11"/>
                <w:b w:val="1"/>
                <w:bCs w:val="1"/>
                <w:color w:val="auto"/>
              </w:rPr>
              <w:t>Estimated Fair Value</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180" w:type="dxa"/>
            <w:vAlign w:val="bottom"/>
            <w:gridSpan w:val="3"/>
            <w:vMerge w:val="restart"/>
          </w:tcPr>
          <w:p>
            <w:pPr>
              <w:jc w:val="right"/>
              <w:ind w:right="602"/>
              <w:spacing w:after="0"/>
              <w:rPr>
                <w:sz w:val="20"/>
                <w:szCs w:val="20"/>
                <w:color w:val="auto"/>
              </w:rPr>
            </w:pPr>
            <w:r>
              <w:rPr>
                <w:rFonts w:ascii="Arial" w:cs="Arial" w:eastAsia="Arial" w:hAnsi="Arial"/>
                <w:sz w:val="11"/>
                <w:szCs w:val="11"/>
                <w:b w:val="1"/>
                <w:bCs w:val="1"/>
                <w:color w:val="auto"/>
              </w:rPr>
              <w:t>Rate</w:t>
            </w:r>
          </w:p>
        </w:tc>
        <w:tc>
          <w:tcPr>
            <w:tcW w:w="13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3"/>
          </w:tcPr>
          <w:p>
            <w:pPr>
              <w:jc w:val="right"/>
              <w:ind w:right="121"/>
              <w:spacing w:after="0"/>
              <w:rPr>
                <w:sz w:val="20"/>
                <w:szCs w:val="20"/>
                <w:color w:val="auto"/>
              </w:rPr>
            </w:pPr>
            <w:r>
              <w:rPr>
                <w:rFonts w:ascii="Arial" w:cs="Arial" w:eastAsia="Arial" w:hAnsi="Arial"/>
                <w:sz w:val="11"/>
                <w:szCs w:val="11"/>
                <w:b w:val="1"/>
                <w:bCs w:val="1"/>
                <w:color w:val="auto"/>
              </w:rPr>
              <w:t>Asset (Liability)</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5"/>
              </w:rPr>
              <w:t>March 27, 2017</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December 31, 2017</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June 30, 2021</w:t>
            </w:r>
          </w:p>
        </w:tc>
        <w:tc>
          <w:tcPr>
            <w:tcW w:w="1180" w:type="dxa"/>
            <w:vAlign w:val="bottom"/>
            <w:gridSpan w:val="3"/>
            <w:shd w:val="clear" w:color="auto" w:fill="CCEEFF"/>
          </w:tcPr>
          <w:p>
            <w:pPr>
              <w:jc w:val="right"/>
              <w:ind w:right="142"/>
              <w:spacing w:after="0"/>
              <w:rPr>
                <w:sz w:val="20"/>
                <w:szCs w:val="20"/>
                <w:color w:val="auto"/>
              </w:rPr>
            </w:pPr>
            <w:r>
              <w:rPr>
                <w:rFonts w:ascii="Arial" w:cs="Arial" w:eastAsia="Arial" w:hAnsi="Arial"/>
                <w:sz w:val="12"/>
                <w:szCs w:val="12"/>
                <w:color w:val="auto"/>
              </w:rPr>
              <w:t>1.971 %  $</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300,000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January 1, 2018</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2022</w:t>
            </w:r>
          </w:p>
        </w:tc>
        <w:tc>
          <w:tcPr>
            <w:tcW w:w="800" w:type="dxa"/>
            <w:vAlign w:val="bottom"/>
          </w:tcPr>
          <w:p>
            <w:pPr>
              <w:jc w:val="right"/>
              <w:spacing w:after="0"/>
              <w:rPr>
                <w:sz w:val="20"/>
                <w:szCs w:val="20"/>
                <w:color w:val="auto"/>
              </w:rPr>
            </w:pPr>
            <w:r>
              <w:rPr>
                <w:rFonts w:ascii="Arial" w:cs="Arial" w:eastAsia="Arial" w:hAnsi="Arial"/>
                <w:sz w:val="12"/>
                <w:szCs w:val="12"/>
                <w:color w:val="auto"/>
              </w:rPr>
              <w:t>2.201 %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(5,268)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(12,557)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1, 2019</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June 30, 2024</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(5,520)</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(11,502)</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January 1, 2018</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2024</w:t>
            </w:r>
          </w:p>
        </w:tc>
        <w:tc>
          <w:tcPr>
            <w:tcW w:w="800" w:type="dxa"/>
            <w:vAlign w:val="bottom"/>
          </w:tcPr>
          <w:p>
            <w:pPr>
              <w:jc w:val="right"/>
              <w:spacing w:after="0"/>
              <w:rPr>
                <w:sz w:val="20"/>
                <w:szCs w:val="20"/>
                <w:color w:val="auto"/>
              </w:rPr>
            </w:pPr>
            <w:r>
              <w:rPr>
                <w:rFonts w:ascii="Arial" w:cs="Arial" w:eastAsia="Arial" w:hAnsi="Arial"/>
                <w:sz w:val="12"/>
                <w:szCs w:val="12"/>
                <w:color w:val="auto"/>
              </w:rPr>
              <w:t>2.313 %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(16,243)</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(9,836)</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tcPr>
          <w:p>
            <w:pPr>
              <w:jc w:val="right"/>
              <w:spacing w:after="0"/>
              <w:rPr>
                <w:sz w:val="20"/>
                <w:szCs w:val="20"/>
                <w:color w:val="auto"/>
              </w:rPr>
            </w:pPr>
            <w:r>
              <w:rPr>
                <w:rFonts w:ascii="Arial" w:cs="Arial" w:eastAsia="Arial" w:hAnsi="Arial"/>
                <w:sz w:val="12"/>
                <w:szCs w:val="12"/>
                <w:color w:val="auto"/>
              </w:rPr>
              <w:t>3.199 %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(5,464)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(9,826)</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3.209 %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(9,783)</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18, 2018</w:t>
            </w: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December 30, 2022</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tcPr>
          <w:p>
            <w:pPr>
              <w:jc w:val="right"/>
              <w:spacing w:after="0"/>
              <w:rPr>
                <w:sz w:val="20"/>
                <w:szCs w:val="20"/>
                <w:color w:val="auto"/>
              </w:rPr>
            </w:pPr>
            <w:r>
              <w:rPr>
                <w:rFonts w:ascii="Arial" w:cs="Arial" w:eastAsia="Arial" w:hAnsi="Arial"/>
                <w:sz w:val="12"/>
                <w:szCs w:val="12"/>
                <w:color w:val="auto"/>
              </w:rPr>
              <w:t>2.885 %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(6,886)</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(10,407)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18, 2018</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December 30, 2022</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2.867 %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(6,764)</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(10,431)</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575,000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575,000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15, 2020</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5"/>
              </w:rPr>
              <w:t>July 31, 2025</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tcPr>
          <w:p>
            <w:pPr>
              <w:jc w:val="right"/>
              <w:spacing w:after="0"/>
              <w:rPr>
                <w:sz w:val="20"/>
                <w:szCs w:val="20"/>
                <w:color w:val="auto"/>
              </w:rPr>
            </w:pPr>
            <w:r>
              <w:rPr>
                <w:rFonts w:ascii="Arial" w:cs="Arial" w:eastAsia="Arial" w:hAnsi="Arial"/>
                <w:sz w:val="12"/>
                <w:szCs w:val="12"/>
                <w:color w:val="auto"/>
              </w:rPr>
              <w:t>1.415 %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3,552</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(1,907)</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15, 2020</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1, 2025</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59"/>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1,775,000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1,875,000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(43,957)</w:t>
            </w:r>
          </w:p>
        </w:tc>
        <w:tc>
          <w:tcPr>
            <w:tcW w:w="1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(93,769)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subsequently settled its foreign currency forward contracts associated with the intercompany receivables denominated in JPY during the first quarter of 2021. The Company recognized a $0.2 million loss from the change in fair value of the contracts, which was included in other income, net in the consolidated statement of operations as of December 31, 2021 and 2020, respectively. The fair value of the foreign currency forward contracts denominated in CAD was $0.2 million as of December 31, 2021. The fair value of the foreign currency forward contracts was $0.2 million as of December 31, 2020.</w:t>
      </w:r>
    </w:p>
    <w:p>
      <w:pPr>
        <w:spacing w:after="0" w:line="7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During the second quarter of 2021, the Company entered into a foreign currency swap, with a notional of $7.3 million to mitigate the risk from fluctuations in foreign currency exchange rates associated with certain intercompany loan denominated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change in fair value of the foreign currency swap was $0.6 million as of December 31, 2021.</w:t>
      </w:r>
    </w:p>
    <w:p>
      <w:pPr>
        <w:spacing w:after="0" w:line="8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 2017, the Company entered into cross currency swap agreements to convert a notional amount of $300.0 million equivalent to 291.2 million of Swiss Francs ("CHF") denominated intercompany loans into U.S. dollars. The CHF- denominated intercompany loans were the result of the purchase of intellectual property by a subsidiary in Switzerland as part of an acquisition.</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2021 and 2020 (dollar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4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4"/>
              </w:rPr>
              <w:t>December 31, 2021 December 31, 2020   December 31, 2021</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32"/>
        </w:trPr>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vMerge w:val="restart"/>
          </w:tcPr>
          <w:p>
            <w:pPr>
              <w:spacing w:after="0"/>
              <w:rPr>
                <w:sz w:val="11"/>
                <w:szCs w:val="11"/>
                <w:color w:val="auto"/>
              </w:rPr>
            </w:pPr>
          </w:p>
        </w:tc>
        <w:tc>
          <w:tcPr>
            <w:tcW w:w="11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2"/>
              </w:rPr>
              <w:t>Termination</w:t>
            </w:r>
          </w:p>
        </w:tc>
        <w:tc>
          <w:tcPr>
            <w:tcW w:w="100" w:type="dxa"/>
            <w:vAlign w:val="bottom"/>
          </w:tcPr>
          <w:p>
            <w:pPr>
              <w:spacing w:after="0"/>
              <w:rPr>
                <w:sz w:val="11"/>
                <w:szCs w:val="11"/>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Fixed Rate</w:t>
            </w:r>
          </w:p>
        </w:tc>
        <w:tc>
          <w:tcPr>
            <w:tcW w:w="120" w:type="dxa"/>
            <w:vAlign w:val="bottom"/>
            <w:vMerge w:val="restart"/>
          </w:tcPr>
          <w:p>
            <w:pPr>
              <w:spacing w:after="0"/>
              <w:rPr>
                <w:sz w:val="11"/>
                <w:szCs w:val="11"/>
                <w:color w:val="auto"/>
              </w:rPr>
            </w:pPr>
          </w:p>
        </w:tc>
        <w:tc>
          <w:tcPr>
            <w:tcW w:w="2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Aggregate Notional Amount</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3"/>
            <w:vMerge w:val="restart"/>
          </w:tcPr>
          <w:p>
            <w:pPr>
              <w:jc w:val="right"/>
              <w:ind w:right="431"/>
              <w:spacing w:after="0"/>
              <w:rPr>
                <w:sz w:val="20"/>
                <w:szCs w:val="20"/>
                <w:color w:val="auto"/>
              </w:rPr>
            </w:pPr>
            <w:r>
              <w:rPr>
                <w:rFonts w:ascii="Arial" w:cs="Arial" w:eastAsia="Arial" w:hAnsi="Arial"/>
                <w:sz w:val="14"/>
                <w:szCs w:val="14"/>
                <w:b w:val="1"/>
                <w:bCs w:val="1"/>
                <w:color w:val="auto"/>
              </w:rPr>
              <w:t>Fair Value Asset (Liability)</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5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October 2, 2017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17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131"/>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7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50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October 2, 2017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17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145,598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145,598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4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131"/>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494"/>
              <w:spacing w:after="0"/>
              <w:rPr>
                <w:sz w:val="20"/>
                <w:szCs w:val="20"/>
                <w:color w:val="auto"/>
              </w:rPr>
            </w:pPr>
            <w:r>
              <w:rPr>
                <w:rFonts w:ascii="Arial" w:cs="Arial" w:eastAsia="Arial" w:hAnsi="Arial"/>
                <w:sz w:val="18"/>
                <w:szCs w:val="18"/>
                <w:color w:val="auto"/>
              </w:rPr>
              <w:t>150,000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7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50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 22,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17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397,137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420,137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131"/>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2025</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3.98%</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494"/>
              <w:spacing w:after="0"/>
              <w:rPr>
                <w:sz w:val="20"/>
                <w:szCs w:val="20"/>
                <w:color w:val="auto"/>
              </w:rPr>
            </w:pPr>
            <w:r>
              <w:rPr>
                <w:rFonts w:ascii="Arial" w:cs="Arial" w:eastAsia="Arial" w:hAnsi="Arial"/>
                <w:sz w:val="18"/>
                <w:szCs w:val="18"/>
                <w:color w:val="auto"/>
              </w:rPr>
              <w:t>445,821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471,640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7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500" w:type="dxa"/>
            <w:vAlign w:val="bottom"/>
            <w:tcBorders>
              <w:bottom w:val="single" w:sz="8" w:color="CCEEFF"/>
            </w:tcBorders>
            <w:gridSpan w:val="2"/>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(23,441)</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On October 4, 2021 in accordance with the termination date, the Company settled a cross-currency swap designated as a cash flow hedge of an intercompany loan with an aggregate notional amount of $50.0 million. The gain recorded by the Company upon the settlement of the swap was not material for the period.</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 2020 in accordance with the termination date, the Company settled a cross-currency swap designated as a cash flow hedge of an intercompany loan with an aggregate notional amount of $33.3 million. As a result of the settlement, the Company recorded a loss of $0.3 million in other income, net in the consolidated statement of operations.</w:t>
      </w:r>
    </w:p>
    <w:p>
      <w:pPr>
        <w:spacing w:after="0" w:line="8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cross-currency swaps are carried on the consolidated balance sheet at fair value, and changes in the fair values are recorded as unrealized gains or losses in AOCL. For the years ended December 31, 2021 and 2020, the Company recorded a gain of $23.8 million and loss of $21.7 million, respectively, in other income, net related to change in fair value related to the foreign currency rate translation to offset the gains or losses recognized on the intercompany loans.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years ended December 31, 2021 and 2020, the Company recorded a gain of $24.3 million and a loss of $17.1 million, respectively, in AOCL related to change in fair value of the cross-currency swaps.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years ended December 31, 2021 and 2020, the Company recorded gains of $9.1 million and $5.8 million, respectively, in other income, net included in the consolidated statements of operations related to the interest rate differential of the cross-currency swaps.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estimated loss that is expected to be reclassified to other income, net from AOCL as of December 31, 2021 within the next twelve months is $3.4 million. As of December 31, 2021, the Company does not expect any gains or losses will be reclassified into earnings as a result of the discontinuance of these cash flow hedges because the original forecasted transaction will not occur.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7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Company held the following cross-currency rate swaps designated as net investment hedges as of December 31, 2021 and 2020 (dollar 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Fixed Rate</w:t>
            </w:r>
          </w:p>
        </w:tc>
        <w:tc>
          <w:tcPr>
            <w:tcW w:w="158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89"/>
              </w:rPr>
              <w:t>Aggregate Notional</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60" w:type="dxa"/>
            <w:vAlign w:val="bottom"/>
            <w:gridSpan w:val="2"/>
          </w:tcPr>
          <w:p>
            <w:pPr>
              <w:jc w:val="right"/>
              <w:ind w:right="1214"/>
              <w:spacing w:after="0" w:line="13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3060" w:type="dxa"/>
            <w:vAlign w:val="bottom"/>
            <w:gridSpan w:val="2"/>
          </w:tcPr>
          <w:p>
            <w:pPr>
              <w:jc w:val="right"/>
              <w:ind w:right="1054"/>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1"/>
                <w:szCs w:val="21"/>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October 3, 2018</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September 30, 2021</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44,859</w:t>
            </w:r>
          </w:p>
        </w:tc>
        <w:tc>
          <w:tcPr>
            <w:tcW w:w="18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vMerge w:val="restart"/>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1800" w:type="dxa"/>
            <w:vAlign w:val="bottom"/>
            <w:gridSpan w:val="2"/>
            <w:vMerge w:val="continue"/>
            <w:shd w:val="clear" w:color="auto" w:fill="CCEEFF"/>
          </w:tcPr>
          <w:p>
            <w:pPr>
              <w:spacing w:after="0"/>
              <w:rPr>
                <w:sz w:val="9"/>
                <w:szCs w:val="9"/>
                <w:color w:val="auto"/>
              </w:rPr>
            </w:pPr>
          </w:p>
        </w:tc>
        <w:tc>
          <w:tcPr>
            <w:tcW w:w="1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1"/>
                <w:szCs w:val="21"/>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October 3, 2018</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September 30, 2023</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2,503</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1800" w:type="dxa"/>
            <w:vAlign w:val="bottom"/>
            <w:gridSpan w:val="2"/>
            <w:vMerge w:val="continue"/>
            <w:shd w:val="clear" w:color="auto" w:fill="CCEEFF"/>
          </w:tcPr>
          <w:p>
            <w:pPr>
              <w:spacing w:after="0"/>
              <w:rPr>
                <w:sz w:val="9"/>
                <w:szCs w:val="9"/>
                <w:color w:val="auto"/>
              </w:rPr>
            </w:pPr>
          </w:p>
        </w:tc>
        <w:tc>
          <w:tcPr>
            <w:tcW w:w="1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1"/>
                <w:szCs w:val="21"/>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October 3, 2018</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September 30, 2025</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2,147</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1800" w:type="dxa"/>
            <w:vAlign w:val="bottom"/>
            <w:gridSpan w:val="2"/>
            <w:vMerge w:val="continue"/>
            <w:shd w:val="clear" w:color="auto" w:fill="CCEEFF"/>
          </w:tcPr>
          <w:p>
            <w:pPr>
              <w:spacing w:after="0"/>
              <w:rPr>
                <w:sz w:val="9"/>
                <w:szCs w:val="9"/>
                <w:color w:val="auto"/>
              </w:rPr>
            </w:pPr>
          </w:p>
        </w:tc>
        <w:tc>
          <w:tcPr>
            <w:tcW w:w="1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1"/>
                <w:szCs w:val="21"/>
                <w:color w:val="auto"/>
              </w:rPr>
            </w:pPr>
          </w:p>
        </w:tc>
        <w:tc>
          <w:tcPr>
            <w:tcW w:w="18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16, 2020</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December 16, 2027</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CHF</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(792)</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USD</w:t>
            </w:r>
          </w:p>
        </w:tc>
        <w:tc>
          <w:tcPr>
            <w:tcW w:w="100" w:type="dxa"/>
            <w:vAlign w:val="bottom"/>
            <w:shd w:val="clear" w:color="auto" w:fill="CCEEFF"/>
          </w:tcPr>
          <w:p>
            <w:pPr>
              <w:spacing w:after="0"/>
              <w:rPr>
                <w:sz w:val="9"/>
                <w:szCs w:val="9"/>
                <w:color w:val="auto"/>
              </w:rPr>
            </w:pPr>
          </w:p>
        </w:tc>
        <w:tc>
          <w:tcPr>
            <w:tcW w:w="1800" w:type="dxa"/>
            <w:vAlign w:val="bottom"/>
            <w:gridSpan w:val="2"/>
            <w:vMerge w:val="continue"/>
            <w:shd w:val="clear" w:color="auto" w:fill="CCEEFF"/>
          </w:tcPr>
          <w:p>
            <w:pPr>
              <w:spacing w:after="0"/>
              <w:rPr>
                <w:sz w:val="9"/>
                <w:szCs w:val="9"/>
                <w:color w:val="auto"/>
              </w:rPr>
            </w:pPr>
          </w:p>
        </w:tc>
        <w:tc>
          <w:tcPr>
            <w:tcW w:w="1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20" w:type="dxa"/>
            <w:vAlign w:val="bottom"/>
            <w:tcBorders>
              <w:bottom w:val="single" w:sz="8" w:color="CCEEFF"/>
            </w:tcBorders>
            <w:gridSpan w:val="2"/>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3,858 $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30, 2021, in accordance with the termination date, the Company settled cross-currency swaps designated as net investment hedge with an aggregate notional amount of $52 million equivalent to 44.9 million Euros. As a result of the settlement, the Company recorded a gain of $0.1 million in AOCL.</w:t>
      </w:r>
    </w:p>
    <w:p>
      <w:pPr>
        <w:spacing w:after="0" w:line="8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During the year ended December 31, 2020, the Company settled cross-currency swaps designated as net investment hedge with an aggregate notional amount of $167.5 million and 128.3 million Pound Sterling respectively as a result of an intra-entity transfer of certain intellectual property rights to a subsidiary. The original settlement date was September 30, 2025. As a result of the settlement, the Company recorded a loss of $7.8 million in AOCL.</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AOCL. For the year ended December 31, 2021 and 2020, the Company recorded a gain of $16.5 million and a loss of $14.9 million, respectively, in AOCL related to the change in fair value of the cross-currency swaps.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years ended December 31, 2021 and 2020, the Company recorded a gain of $6.5 million and $7.6 million, respectively, in interest income included in the consolidated statements of operations related to the interest rate differential of the cross-currency swaps.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ind w:right="140"/>
        <w:spacing w:after="0" w:line="369" w:lineRule="auto"/>
        <w:rPr>
          <w:sz w:val="20"/>
          <w:szCs w:val="20"/>
          <w:color w:val="auto"/>
        </w:rPr>
      </w:pPr>
      <w:r>
        <w:rPr>
          <w:rFonts w:ascii="Arial" w:cs="Arial" w:eastAsia="Arial" w:hAnsi="Arial"/>
          <w:sz w:val="18"/>
          <w:szCs w:val="18"/>
          <w:color w:val="auto"/>
        </w:rPr>
        <w:t xml:space="preserve">The estimated gain that is expected to be reclassified to interest income from AOCL as of December 31, 2021 within the next twelve months is $5.1 million.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table summarizes the fair value for derivatives designated as hedging instruments in the consolidated balance sheets as of December 31,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Fair Value as of December 31,</w:t>
            </w:r>
          </w:p>
        </w:tc>
      </w:tr>
      <w:tr>
        <w:trPr>
          <w:trHeight w:val="184"/>
        </w:trPr>
        <w:tc>
          <w:tcPr>
            <w:tcW w:w="8240" w:type="dxa"/>
            <w:vAlign w:val="bottom"/>
            <w:gridSpan w:val="6"/>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68"/>
        </w:trPr>
        <w:tc>
          <w:tcPr>
            <w:tcW w:w="20" w:type="dxa"/>
            <w:vAlign w:val="bottom"/>
          </w:tcPr>
          <w:p>
            <w:pPr>
              <w:spacing w:after="0"/>
              <w:rPr>
                <w:sz w:val="14"/>
                <w:szCs w:val="14"/>
                <w:color w:val="auto"/>
              </w:rPr>
            </w:pPr>
          </w:p>
        </w:tc>
        <w:tc>
          <w:tcPr>
            <w:tcW w:w="8220" w:type="dxa"/>
            <w:vAlign w:val="bottom"/>
            <w:gridSpan w:val="5"/>
          </w:tcPr>
          <w:p>
            <w:pPr>
              <w:spacing w:after="0" w:line="168" w:lineRule="exact"/>
              <w:rPr>
                <w:sz w:val="20"/>
                <w:szCs w:val="20"/>
                <w:color w:val="auto"/>
              </w:rPr>
            </w:pPr>
            <w:r>
              <w:rPr>
                <w:rFonts w:ascii="Arial" w:cs="Arial" w:eastAsia="Arial" w:hAnsi="Arial"/>
                <w:sz w:val="15"/>
                <w:szCs w:val="15"/>
                <w:b w:val="1"/>
                <w:bCs w:val="1"/>
                <w:color w:val="auto"/>
              </w:rPr>
              <w:t xml:space="preserve">Location on Balance Sheet </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8220" w:type="dxa"/>
            <w:vAlign w:val="bottom"/>
            <w:gridSpan w:val="5"/>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w w:val="88"/>
              </w:rPr>
              <w:t>Cash Flow Hedges</w:t>
            </w:r>
          </w:p>
        </w:tc>
        <w:tc>
          <w:tcPr>
            <w:tcW w:w="6700" w:type="dxa"/>
            <w:vAlign w:val="bottom"/>
            <w:tcBorders>
              <w:bottom w:val="single" w:sz="8" w:color="CCEEFF"/>
            </w:tcBorders>
            <w:gridSpan w:val="3"/>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gridSpan w:val="4"/>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7,623</w:t>
            </w:r>
          </w:p>
        </w:tc>
      </w:tr>
      <w:tr>
        <w:trPr>
          <w:trHeight w:val="173"/>
        </w:trPr>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920" w:type="dxa"/>
            <w:vAlign w:val="bottom"/>
            <w:gridSpan w:val="4"/>
            <w:shd w:val="clear" w:color="auto" w:fill="CCEEFF"/>
          </w:tcPr>
          <w:p>
            <w:pPr>
              <w:spacing w:after="0" w:line="173" w:lineRule="exact"/>
              <w:rPr>
                <w:sz w:val="20"/>
                <w:szCs w:val="20"/>
                <w:color w:val="auto"/>
              </w:rPr>
            </w:pPr>
            <w:r>
              <w:rPr>
                <w:rFonts w:ascii="Arial" w:cs="Arial" w:eastAsia="Arial" w:hAnsi="Arial"/>
                <w:sz w:val="16"/>
                <w:szCs w:val="16"/>
                <w:color w:val="auto"/>
              </w:rPr>
              <w:t>Net Investment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40"/>
        </w:trPr>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gridSpan w:val="4"/>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5,297</w:t>
            </w:r>
          </w:p>
        </w:tc>
      </w:tr>
      <w:tr>
        <w:trPr>
          <w:trHeight w:val="226"/>
        </w:trPr>
        <w:tc>
          <w:tcPr>
            <w:tcW w:w="20" w:type="dxa"/>
            <w:vAlign w:val="bottom"/>
            <w:shd w:val="clear" w:color="auto" w:fill="CCEEFF"/>
          </w:tcPr>
          <w:p>
            <w:pPr>
              <w:spacing w:after="0"/>
              <w:rPr>
                <w:sz w:val="19"/>
                <w:szCs w:val="19"/>
                <w:color w:val="auto"/>
              </w:rPr>
            </w:pPr>
          </w:p>
        </w:tc>
        <w:tc>
          <w:tcPr>
            <w:tcW w:w="82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w w:val="88"/>
              </w:rPr>
              <w:t>Cash Flow Hedges</w:t>
            </w:r>
          </w:p>
        </w:tc>
        <w:tc>
          <w:tcPr>
            <w:tcW w:w="67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6"/>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920" w:type="dxa"/>
            <w:vAlign w:val="bottom"/>
            <w:gridSpan w:val="4"/>
            <w:shd w:val="clear" w:color="auto" w:fill="CCEEFF"/>
          </w:tcPr>
          <w:p>
            <w:pPr>
              <w:ind w:left="120"/>
              <w:spacing w:after="0" w:line="235"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20" w:type="dxa"/>
            <w:vAlign w:val="bottom"/>
            <w:gridSpan w:val="4"/>
          </w:tcPr>
          <w:p>
            <w:pPr>
              <w:spacing w:after="0" w:line="173" w:lineRule="exact"/>
              <w:rPr>
                <w:sz w:val="20"/>
                <w:szCs w:val="20"/>
                <w:color w:val="auto"/>
              </w:rPr>
            </w:pPr>
            <w:r>
              <w:rPr>
                <w:rFonts w:ascii="Arial" w:cs="Arial" w:eastAsia="Arial" w:hAnsi="Arial"/>
                <w:sz w:val="16"/>
                <w:szCs w:val="16"/>
                <w:color w:val="auto"/>
              </w:rPr>
              <w:t>Net Investment Hedges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9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240" w:type="dxa"/>
            <w:vAlign w:val="bottom"/>
            <w:gridSpan w:val="6"/>
          </w:tcPr>
          <w:p>
            <w:pPr>
              <w:ind w:left="2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40" w:type="dxa"/>
            <w:vAlign w:val="bottom"/>
            <w:gridSpan w:val="6"/>
          </w:tcPr>
          <w:p>
            <w:pPr>
              <w:ind w:left="2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8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w w:val="88"/>
              </w:rPr>
              <w:t>Cash Flow Hedges</w:t>
            </w:r>
          </w:p>
        </w:tc>
        <w:tc>
          <w:tcPr>
            <w:tcW w:w="67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6"/>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920" w:type="dxa"/>
            <w:vAlign w:val="bottom"/>
            <w:gridSpan w:val="4"/>
            <w:shd w:val="clear" w:color="auto" w:fill="CCEEFF"/>
          </w:tcPr>
          <w:p>
            <w:pPr>
              <w:ind w:left="120"/>
              <w:spacing w:after="0" w:line="235"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w:t>
            </w: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gridSpan w:val="4"/>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4,335</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right w:val="single" w:sz="8" w:color="CCEEFF"/>
            </w:tcBorders>
            <w:gridSpan w:val="3"/>
            <w:shd w:val="clear" w:color="auto" w:fill="CCEEFF"/>
          </w:tcPr>
          <w:p>
            <w:pPr>
              <w:spacing w:after="0" w:line="187" w:lineRule="exact"/>
              <w:rPr>
                <w:sz w:val="20"/>
                <w:szCs w:val="20"/>
                <w:color w:val="auto"/>
              </w:rPr>
            </w:pPr>
            <w:r>
              <w:rPr>
                <w:rFonts w:ascii="Arial" w:cs="Arial" w:eastAsia="Arial" w:hAnsi="Arial"/>
                <w:sz w:val="18"/>
                <w:szCs w:val="18"/>
                <w:color w:val="auto"/>
                <w:w w:val="88"/>
              </w:rPr>
              <w:t>Net Investment Hedges</w:t>
            </w:r>
          </w:p>
        </w:tc>
        <w:tc>
          <w:tcPr>
            <w:tcW w:w="6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gridSpan w:val="4"/>
          </w:tcPr>
          <w:p>
            <w:pPr>
              <w:ind w:left="8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26"/>
        </w:trPr>
        <w:tc>
          <w:tcPr>
            <w:tcW w:w="20" w:type="dxa"/>
            <w:vAlign w:val="bottom"/>
            <w:shd w:val="clear" w:color="auto" w:fill="CCEEFF"/>
          </w:tcPr>
          <w:p>
            <w:pPr>
              <w:spacing w:after="0"/>
              <w:rPr>
                <w:sz w:val="19"/>
                <w:szCs w:val="19"/>
                <w:color w:val="auto"/>
              </w:rPr>
            </w:pPr>
          </w:p>
        </w:tc>
        <w:tc>
          <w:tcPr>
            <w:tcW w:w="8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color w:val="auto"/>
                <w:w w:val="88"/>
              </w:rPr>
              <w:t>Cash Flow Hedges</w:t>
            </w:r>
          </w:p>
        </w:tc>
        <w:tc>
          <w:tcPr>
            <w:tcW w:w="67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6"/>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920" w:type="dxa"/>
            <w:vAlign w:val="bottom"/>
            <w:gridSpan w:val="4"/>
            <w:shd w:val="clear" w:color="auto" w:fill="CCEEFF"/>
          </w:tcPr>
          <w:p>
            <w:pPr>
              <w:ind w:left="120"/>
              <w:spacing w:after="0" w:line="235"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71,736</w:t>
            </w: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gridSpan w:val="4"/>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26,728</w:t>
            </w:r>
          </w:p>
        </w:tc>
      </w:tr>
      <w:tr>
        <w:trPr>
          <w:trHeight w:val="173"/>
        </w:trPr>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920" w:type="dxa"/>
            <w:vAlign w:val="bottom"/>
            <w:gridSpan w:val="4"/>
            <w:shd w:val="clear" w:color="auto" w:fill="CCEEFF"/>
          </w:tcPr>
          <w:p>
            <w:pPr>
              <w:spacing w:after="0" w:line="173" w:lineRule="exact"/>
              <w:rPr>
                <w:sz w:val="20"/>
                <w:szCs w:val="20"/>
                <w:color w:val="auto"/>
              </w:rPr>
            </w:pPr>
            <w:r>
              <w:rPr>
                <w:rFonts w:ascii="Arial" w:cs="Arial" w:eastAsia="Arial" w:hAnsi="Arial"/>
                <w:sz w:val="16"/>
                <w:szCs w:val="16"/>
                <w:color w:val="auto"/>
              </w:rPr>
              <w:t>Net Investment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40"/>
        </w:trPr>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Cross-currency swap</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w:t>
            </w:r>
          </w:p>
        </w:tc>
      </w:tr>
      <w:tr>
        <w:trPr>
          <w:trHeight w:val="244"/>
        </w:trPr>
        <w:tc>
          <w:tcPr>
            <w:tcW w:w="82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60" w:hanging="154"/>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spacing w:after="0" w:line="49" w:lineRule="exact"/>
        <w:rPr>
          <w:rFonts w:ascii="Arial" w:cs="Arial" w:eastAsia="Arial" w:hAnsi="Arial"/>
          <w:sz w:val="18"/>
          <w:szCs w:val="18"/>
          <w:color w:val="auto"/>
          <w:vertAlign w:val="superscript"/>
        </w:rPr>
      </w:pPr>
    </w:p>
    <w:p>
      <w:pPr>
        <w:ind w:left="160" w:hanging="154"/>
        <w:spacing w:after="0" w:line="220"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At December 31, 2021 and 2020, the total notional amounts related to the Company’s interest rate swaps were $1.8 billion and $1.9 billion,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consolidated statement of operations during the years ended December 31, 2021 and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Balance in AOCL</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Location in</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Gain (Loss)</w:t>
            </w:r>
          </w:p>
        </w:tc>
        <w:tc>
          <w:tcPr>
            <w:tcW w:w="180" w:type="dxa"/>
            <w:vAlign w:val="bottom"/>
          </w:tcPr>
          <w:p>
            <w:pPr>
              <w:spacing w:after="0"/>
              <w:rPr>
                <w:sz w:val="11"/>
                <w:szCs w:val="11"/>
                <w:color w:val="auto"/>
              </w:rPr>
            </w:pPr>
          </w:p>
        </w:tc>
        <w:tc>
          <w:tcPr>
            <w:tcW w:w="18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Reclassified from</w:t>
            </w:r>
          </w:p>
        </w:tc>
        <w:tc>
          <w:tcPr>
            <w:tcW w:w="160" w:type="dxa"/>
            <w:vAlign w:val="bottom"/>
          </w:tcPr>
          <w:p>
            <w:pPr>
              <w:spacing w:after="0"/>
              <w:rPr>
                <w:sz w:val="11"/>
                <w:szCs w:val="11"/>
                <w:color w:val="auto"/>
              </w:rPr>
            </w:pPr>
          </w:p>
        </w:tc>
        <w:tc>
          <w:tcPr>
            <w:tcW w:w="13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Balance in AOCL</w:t>
            </w:r>
          </w:p>
        </w:tc>
        <w:tc>
          <w:tcPr>
            <w:tcW w:w="1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4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Recognized in</w:t>
            </w:r>
          </w:p>
        </w:tc>
        <w:tc>
          <w:tcPr>
            <w:tcW w:w="180" w:type="dxa"/>
            <w:vAlign w:val="bottom"/>
          </w:tcPr>
          <w:p>
            <w:pPr>
              <w:spacing w:after="0"/>
              <w:rPr>
                <w:sz w:val="11"/>
                <w:szCs w:val="11"/>
                <w:color w:val="auto"/>
              </w:rPr>
            </w:pPr>
          </w:p>
        </w:tc>
        <w:tc>
          <w:tcPr>
            <w:tcW w:w="18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AOCL into</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8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6"/>
                <w:szCs w:val="16"/>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End of Year</w:t>
            </w: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67"/>
        </w:trPr>
        <w:tc>
          <w:tcPr>
            <w:tcW w:w="26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2500" w:type="dxa"/>
            <w:vAlign w:val="bottom"/>
            <w:gridSpan w:val="3"/>
          </w:tcPr>
          <w:p>
            <w:pPr>
              <w:spacing w:after="0" w:line="173"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87"/>
              </w:rPr>
              <w:t>27,402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left="477"/>
              <w:spacing w:after="0"/>
              <w:rPr>
                <w:sz w:val="20"/>
                <w:szCs w:val="20"/>
                <w:color w:val="auto"/>
              </w:rPr>
            </w:pPr>
            <w:r>
              <w:rPr>
                <w:rFonts w:ascii="Arial" w:cs="Arial" w:eastAsia="Arial" w:hAnsi="Arial"/>
                <w:sz w:val="18"/>
                <w:szCs w:val="18"/>
                <w:color w:val="auto"/>
                <w:w w:val="87"/>
              </w:rPr>
              <w:t>24,275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32,890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93"/>
        </w:trPr>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w w:val="88"/>
              </w:rPr>
              <w:t>Net Investment Hedges</w:t>
            </w: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87"/>
              </w:rPr>
              <w:t>16,515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87"/>
              </w:rPr>
              <w:t>68,192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(55,965)</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6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 w:type="dxa"/>
            <w:vAlign w:val="bottom"/>
            <w:shd w:val="clear" w:color="auto" w:fill="CCEEFF"/>
          </w:tcPr>
          <w:p>
            <w:pPr>
              <w:spacing w:after="0"/>
              <w:rPr>
                <w:sz w:val="15"/>
                <w:szCs w:val="15"/>
                <w:color w:val="auto"/>
              </w:rPr>
            </w:pPr>
          </w:p>
        </w:tc>
        <w:tc>
          <w:tcPr>
            <w:tcW w:w="2500" w:type="dxa"/>
            <w:vAlign w:val="bottom"/>
            <w:gridSpan w:val="3"/>
            <w:shd w:val="clear" w:color="auto" w:fill="CCEEFF"/>
          </w:tcPr>
          <w:p>
            <w:pPr>
              <w:spacing w:after="0" w:line="174" w:lineRule="exact"/>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40" w:type="dxa"/>
            <w:vAlign w:val="bottom"/>
            <w:shd w:val="clear" w:color="auto" w:fill="CCEEFF"/>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40" w:type="dxa"/>
            <w:vAlign w:val="bottom"/>
          </w:tcPr>
          <w:p>
            <w:pPr>
              <w:spacing w:after="0"/>
              <w:rPr>
                <w:sz w:val="19"/>
                <w:szCs w:val="19"/>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(45,145)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457"/>
              <w:spacing w:after="0"/>
              <w:rPr>
                <w:sz w:val="20"/>
                <w:szCs w:val="20"/>
                <w:color w:val="auto"/>
              </w:rPr>
            </w:pPr>
            <w:r>
              <w:rPr>
                <w:rFonts w:ascii="Arial" w:cs="Arial" w:eastAsia="Arial" w:hAnsi="Arial"/>
                <w:sz w:val="18"/>
                <w:szCs w:val="18"/>
                <w:color w:val="auto"/>
                <w:w w:val="92"/>
              </w:rPr>
              <w:t>(64,778)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(16,154)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(93,769)</w:t>
            </w:r>
          </w:p>
        </w:tc>
        <w:tc>
          <w:tcPr>
            <w:tcW w:w="12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2"/>
              </w:rPr>
              <w:t>(17,147)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5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6"/>
                <w:szCs w:val="16"/>
                <w:color w:val="auto"/>
                <w:w w:val="88"/>
              </w:rPr>
              <w:t>Net Investment Hedges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4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89"/>
              </w:rPr>
              <w:t>(14,911)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457"/>
              <w:spacing w:after="0"/>
              <w:rPr>
                <w:sz w:val="20"/>
                <w:szCs w:val="20"/>
                <w:color w:val="auto"/>
              </w:rPr>
            </w:pPr>
            <w:r>
              <w:rPr>
                <w:rFonts w:ascii="Arial" w:cs="Arial" w:eastAsia="Arial" w:hAnsi="Arial"/>
                <w:sz w:val="18"/>
                <w:szCs w:val="18"/>
                <w:color w:val="auto"/>
                <w:w w:val="92"/>
              </w:rPr>
              <w:t>(96,836)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goodwill for impairment by either performing a qualitative evaluation or a quantitative test.</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the qualitative assessment for its three reporting units and perform a quantitative test. The assumptions used in evaluating goodwill for impairment are subject to change and are tracked against historical results by management.</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quantitative test estimates the fair value of the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86" w:lineRule="exact"/>
        <w:rPr>
          <w:sz w:val="20"/>
          <w:szCs w:val="20"/>
          <w:color w:val="auto"/>
        </w:rPr>
      </w:pPr>
    </w:p>
    <w:p>
      <w:pPr>
        <w:ind w:left="640" w:hanging="315"/>
        <w:spacing w:after="0" w:line="26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47"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64" w:lineRule="exact"/>
        <w:rPr>
          <w:rFonts w:ascii="Arial" w:cs="Arial" w:eastAsia="Arial" w:hAnsi="Arial"/>
          <w:sz w:val="17"/>
          <w:szCs w:val="17"/>
          <w:color w:val="auto"/>
        </w:rPr>
      </w:pPr>
    </w:p>
    <w:p>
      <w:pPr>
        <w:jc w:val="both"/>
        <w:ind w:left="640" w:hanging="315"/>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During the third quarter of 2021, the Company elected to perform a qualitative analysis for its three reporting units.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2021 and 2020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Codman Specialty</w:t>
            </w: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Tissue</w:t>
            </w:r>
          </w:p>
        </w:tc>
        <w:tc>
          <w:tcPr>
            <w:tcW w:w="260" w:type="dxa"/>
            <w:vAlign w:val="bottom"/>
          </w:tcPr>
          <w:p>
            <w:pPr>
              <w:spacing w:after="0"/>
              <w:rPr>
                <w:sz w:val="14"/>
                <w:szCs w:val="14"/>
                <w:color w:val="auto"/>
              </w:rPr>
            </w:pP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7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Surgical</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Technologies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January 1, 2020</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954,280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Transfer to assets held for sale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(47,546)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(47,546)</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w:t>
            </w:r>
          </w:p>
        </w:tc>
        <w:tc>
          <w:tcPr>
            <w:tcW w:w="0" w:type="dxa"/>
            <w:vAlign w:val="bottom"/>
          </w:tcPr>
          <w:p>
            <w:pPr>
              <w:spacing w:after="0"/>
              <w:rPr>
                <w:sz w:val="1"/>
                <w:szCs w:val="1"/>
                <w:color w:val="auto"/>
              </w:rPr>
            </w:pPr>
          </w:p>
        </w:tc>
      </w:tr>
      <w:tr>
        <w:trPr>
          <w:trHeight w:val="218"/>
        </w:trPr>
        <w:tc>
          <w:tcPr>
            <w:tcW w:w="7380" w:type="dxa"/>
            <w:vAlign w:val="bottom"/>
          </w:tcPr>
          <w:p>
            <w:pPr>
              <w:ind w:left="20"/>
              <w:spacing w:after="0"/>
              <w:rPr>
                <w:sz w:val="20"/>
                <w:szCs w:val="20"/>
                <w:color w:val="auto"/>
              </w:rPr>
            </w:pPr>
            <w:r>
              <w:rPr>
                <w:rFonts w:ascii="Arial" w:cs="Arial" w:eastAsia="Arial" w:hAnsi="Arial"/>
                <w:sz w:val="18"/>
                <w:szCs w:val="18"/>
                <w:color w:val="auto"/>
              </w:rPr>
              <w:t>Goodwill at December 31, 2020</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671,975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260,392</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932,367</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ACell Acquisition</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94,147</w:t>
            </w:r>
          </w:p>
        </w:tc>
        <w:tc>
          <w:tcPr>
            <w:tcW w:w="0" w:type="dxa"/>
            <w:vAlign w:val="bottom"/>
          </w:tcPr>
          <w:p>
            <w:pPr>
              <w:spacing w:after="0"/>
              <w:rPr>
                <w:sz w:val="1"/>
                <w:szCs w:val="1"/>
                <w:color w:val="auto"/>
              </w:rPr>
            </w:pPr>
          </w:p>
        </w:tc>
      </w:tr>
      <w:tr>
        <w:trPr>
          <w:trHeight w:val="22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0" w:type="dxa"/>
            <w:vAlign w:val="bottom"/>
          </w:tcPr>
          <w:p>
            <w:pPr>
              <w:spacing w:after="0"/>
              <w:rPr>
                <w:sz w:val="1"/>
                <w:szCs w:val="1"/>
                <w:color w:val="auto"/>
              </w:rPr>
            </w:pPr>
          </w:p>
        </w:tc>
      </w:tr>
      <w:tr>
        <w:trPr>
          <w:trHeight w:val="245"/>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December 31, 2021</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663,428</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350,030</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1,013,458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On January 4, 2021, the Company completed its sale of its Extremity Orthopedics business. In conjunction with the sale of this business, the Company rebranded the Orthopedics and Tissue Technologies segment as Tissue Technologies in the first quarter of 2021. See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details.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920" w:type="dxa"/>
            <w:vAlign w:val="bottom"/>
            <w:gridSpan w:val="3"/>
          </w:tcPr>
          <w:p>
            <w:pPr>
              <w:jc w:val="center"/>
              <w:ind w:right="420"/>
              <w:spacing w:after="0" w:line="132"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92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 years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825,941</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12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211,344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68,589</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Trademarks/brand names</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66,899</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Codman trade name</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Indefinite</w:t>
            </w:r>
          </w:p>
        </w:tc>
        <w:tc>
          <w:tcPr>
            <w:tcW w:w="1000" w:type="dxa"/>
            <w:vAlign w:val="bottom"/>
          </w:tcPr>
          <w:p>
            <w:pPr>
              <w:jc w:val="right"/>
              <w:spacing w:after="0"/>
              <w:rPr>
                <w:sz w:val="20"/>
                <w:szCs w:val="20"/>
                <w:color w:val="auto"/>
              </w:rPr>
            </w:pPr>
            <w:r>
              <w:rPr>
                <w:rFonts w:ascii="Arial" w:cs="Arial" w:eastAsia="Arial" w:hAnsi="Arial"/>
                <w:sz w:val="18"/>
                <w:szCs w:val="18"/>
                <w:color w:val="auto"/>
              </w:rPr>
              <w:t>167,758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167,758</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relationships</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1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11 years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1,646,892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520" w:type="dxa"/>
            <w:vAlign w:val="bottom"/>
            <w:gridSpan w:val="2"/>
          </w:tcPr>
          <w:p>
            <w:pPr>
              <w:ind w:left="740"/>
              <w:spacing w:after="0" w:line="132" w:lineRule="exact"/>
              <w:rPr>
                <w:sz w:val="20"/>
                <w:szCs w:val="20"/>
                <w:color w:val="auto"/>
              </w:rPr>
            </w:pPr>
            <w:r>
              <w:rPr>
                <w:rFonts w:ascii="Arial" w:cs="Arial" w:eastAsia="Arial" w:hAnsi="Arial"/>
                <w:sz w:val="14"/>
                <w:szCs w:val="14"/>
                <w:b w:val="1"/>
                <w:bCs w:val="1"/>
                <w:color w:val="auto"/>
              </w:rPr>
              <w:t>Weighted</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80" w:type="dxa"/>
            <w:vAlign w:val="bottom"/>
            <w:vMerge w:val="restart"/>
          </w:tcPr>
          <w:p>
            <w:pPr>
              <w:ind w:left="660"/>
              <w:spacing w:after="0"/>
              <w:rPr>
                <w:sz w:val="20"/>
                <w:szCs w:val="20"/>
                <w:color w:val="auto"/>
              </w:rPr>
            </w:pPr>
            <w:r>
              <w:rPr>
                <w:rFonts w:ascii="Arial" w:cs="Arial" w:eastAsia="Arial" w:hAnsi="Arial"/>
                <w:sz w:val="14"/>
                <w:szCs w:val="14"/>
                <w:color w:val="auto"/>
              </w:rPr>
              <w:t>Dollars in thousands</w:t>
            </w:r>
          </w:p>
        </w:tc>
        <w:tc>
          <w:tcPr>
            <w:tcW w:w="1520" w:type="dxa"/>
            <w:vAlign w:val="bottom"/>
            <w:gridSpan w:val="2"/>
          </w:tcPr>
          <w:p>
            <w:pPr>
              <w:ind w:left="480"/>
              <w:spacing w:after="0" w:line="133"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spacing w:after="0"/>
              <w:rPr>
                <w:sz w:val="11"/>
                <w:szCs w:val="11"/>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Completed technology</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years</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896,478</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25"/>
        </w:trPr>
        <w:tc>
          <w:tcPr>
            <w:tcW w:w="2880" w:type="dxa"/>
            <w:vAlign w:val="bottom"/>
          </w:tcPr>
          <w:p>
            <w:pPr>
              <w:ind w:left="660"/>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 years</w:t>
            </w:r>
          </w:p>
        </w:tc>
        <w:tc>
          <w:tcPr>
            <w:tcW w:w="10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213,270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(132,838)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Trademarks/brand names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 years</w:t>
            </w:r>
          </w:p>
        </w:tc>
        <w:tc>
          <w:tcPr>
            <w:tcW w:w="10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5"/>
        </w:trPr>
        <w:tc>
          <w:tcPr>
            <w:tcW w:w="2880" w:type="dxa"/>
            <w:vAlign w:val="bottom"/>
          </w:tcPr>
          <w:p>
            <w:pPr>
              <w:ind w:left="660"/>
              <w:spacing w:after="0"/>
              <w:rPr>
                <w:sz w:val="20"/>
                <w:szCs w:val="20"/>
                <w:color w:val="auto"/>
              </w:rPr>
            </w:pPr>
            <w:r>
              <w:rPr>
                <w:rFonts w:ascii="Arial" w:cs="Arial" w:eastAsia="Arial" w:hAnsi="Arial"/>
                <w:sz w:val="18"/>
                <w:szCs w:val="18"/>
                <w:color w:val="auto"/>
              </w:rPr>
              <w:t>Codman trade name</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Indefinite</w:t>
            </w:r>
          </w:p>
        </w:tc>
        <w:tc>
          <w:tcPr>
            <w:tcW w:w="10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170,226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Supplier relationships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 years</w:t>
            </w:r>
          </w:p>
        </w:tc>
        <w:tc>
          <w:tcPr>
            <w:tcW w:w="10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6"/>
        </w:trPr>
        <w:tc>
          <w:tcPr>
            <w:tcW w:w="2880" w:type="dxa"/>
            <w:vAlign w:val="bottom"/>
            <w:tcBorders>
              <w:bottom w:val="single" w:sz="8" w:color="CCEEFF"/>
            </w:tcBorders>
          </w:tcPr>
          <w:p>
            <w:pPr>
              <w:ind w:left="660"/>
              <w:spacing w:after="0" w:line="225"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tc>
        <w:tc>
          <w:tcPr>
            <w:tcW w:w="15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 years</w:t>
            </w:r>
          </w:p>
        </w:tc>
        <w:tc>
          <w:tcPr>
            <w:tcW w:w="10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8"/>
        </w:trPr>
        <w:tc>
          <w:tcPr>
            <w:tcW w:w="28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1,421,087</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(431,651)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160" w:hanging="154"/>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Prior period amounts were reclassified as it relates to All Other within this table to conform to the current period presentation</w:t>
      </w:r>
    </w:p>
    <w:p>
      <w:pPr>
        <w:spacing w:after="0" w:line="86"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At December 31, 2020, $13.3 million of Intangible assets, net were presented separately as "Assets held for sale" in conjunction with the sale of the Extremity Orthopedics business.</w:t>
      </w:r>
    </w:p>
    <w:p>
      <w:pPr>
        <w:spacing w:after="0" w:line="74"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 xml:space="preserve">The increase in the Company's identifiable intangible assets at December 31, 2021 as compared to the year ended December 31, 2020, was primarily driven from intangible assets acquired in conjunction with the ACell Acquisition.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details.</w:t>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Indefinite Lives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2021, the Company elected to perform a qualitative analysis for its intangible asset with indefinite lives.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Amortization expense (including amounts reported in cost of product revenues) for the years ended December 31, 2021, 2020 and 2019 was $83.3 million, $74.5 million and $72.8 million, respectively.</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Annual amortization expense is expected to approximate $79.1 million in 2022, $78.4 million in 2023, $77.7 million in 2024, $77.7 million in 2025, $77.6 million in 2026 and $585.8 million thereafter. Amortization of product technology based intangible assets totaled $66.5 million, $46.7 million and $45.8 million for the years ended December 31, 2021, 2020 and 2019, respectively, and is presented by the Company within cost of goods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2021 and 2020, there were 4.9 million shares of treasury stock outstanding with a cost of $234.4 million and $235.1 million, respectively, at a weighted average cost per share of $47.86.</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share repurchase authorization.</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January 12, 2022, the Company entered into a $125.0 million accelerated share repurchase ("2022 ASR") and received 1.5 million shares of Company common stock at inception of the 2022 ASR, which represented approximately 80% of the expected total shares under the 2022 ASR. The remaining 20% of the expected total shares is expected to settle in the first half of 2022, upon which additional shares of common stock may be delivered to the Company or, under certain circumstances, the Company may be required to make a cash payment or may elect to deliver shares of our common stock to the 2022 ASR counterparty in each case pursuant to the terms of the 2022 ASR agreement between the Company and the 2022 ASR counterparty. The total number of shares to be delivered or the amount of such payment, as well as the final average price per share, will be based on the volume-weighted average price, less a discount, of the Company's common stock during the term of the transaction. As a result of this transaction, $100 million remains available under the $225 million stock repurchase authorization.</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("2020 ASR") to complete the remaining $100.0 million of share repurchase. The Company received 1.3 million shares at inception of the 2020 ASR, which represented approximately 80% of the expected total shares. Upon settlement of the 2020 ASR in June 2020, the Company received an additional 0.6 million shares determined using the volume-weighted average price of the Company's common stock during the term of the transaction.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34,096</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w:t>
            </w:r>
          </w:p>
        </w:tc>
      </w:tr>
      <w:tr>
        <w:trPr>
          <w:trHeight w:val="218"/>
        </w:trPr>
        <w:tc>
          <w:tcPr>
            <w:tcW w:w="67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21,255</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w:t>
            </w: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Net effect on net income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22,406</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2021, 2.0 million shares remain available for purchase under the ESPP. During the years ended December 31, 2021, 2020 and 2019, the Company issued 16,948 shares, 18,284 shares and 12,531 shares under the ESPP for $1.1 million, $1.1 million and $0.7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of December 31, 2021, the Company had stock options, restricted stock awards, performance stock awards, contract stock awards and restricted stock unit awards outstanding under the Integra LifeSciences Holdings Corporation Fifth Amended and Restated 2003 Equity Incentive Plan (the “2003 Plan”). The 2000 and 2001 Equity Incentive Plans were terminated as of February 19, 2021, and no further awards may be issued under the plans.</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restricted stock, contract stock, performance stock, or dividend equivalent rights to designated directors, officers, employees and associates of the Company.</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Stock options issued under the 2003 Plan became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except in certain instances that result in accelerated vesting due to death, disability, retirement age or change in control provisions within their grant agreements. Restricted stock issued under the 2003 Plan vests ratably over specified periods, generally three years after the date of grant. The vesting of performance stock issued under the 2003 Plan is subject to service and performance conditions.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0"/>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2"/>
              </w:rPr>
              <w:t>0%</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5"/>
              <w:spacing w:after="0"/>
              <w:rPr>
                <w:sz w:val="20"/>
                <w:szCs w:val="20"/>
                <w:color w:val="auto"/>
              </w:rPr>
            </w:pPr>
            <w:r>
              <w:rPr>
                <w:rFonts w:ascii="Arial" w:cs="Arial" w:eastAsia="Arial" w:hAnsi="Arial"/>
                <w:sz w:val="18"/>
                <w:szCs w:val="18"/>
                <w:color w:val="auto"/>
                <w:w w:val="88"/>
              </w:rPr>
              <w:t>29%</w:t>
            </w:r>
          </w:p>
        </w:tc>
        <w:tc>
          <w:tcPr>
            <w:tcW w:w="1540" w:type="dxa"/>
            <w:vAlign w:val="bottom"/>
            <w:gridSpan w:val="2"/>
          </w:tcPr>
          <w:p>
            <w:pPr>
              <w:jc w:val="center"/>
              <w:ind w:left="14"/>
              <w:spacing w:after="0"/>
              <w:rPr>
                <w:sz w:val="20"/>
                <w:szCs w:val="20"/>
                <w:color w:val="auto"/>
              </w:rPr>
            </w:pPr>
            <w:r>
              <w:rPr>
                <w:rFonts w:ascii="Arial" w:cs="Arial" w:eastAsia="Arial" w:hAnsi="Arial"/>
                <w:sz w:val="18"/>
                <w:szCs w:val="18"/>
                <w:color w:val="auto"/>
                <w:w w:val="88"/>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6"/>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1.30%</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90"/>
              </w:rPr>
              <w:t>2.51%</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Expected life of option from grant date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5"/>
              <w:spacing w:after="0"/>
              <w:rPr>
                <w:sz w:val="20"/>
                <w:szCs w:val="20"/>
                <w:color w:val="auto"/>
              </w:rPr>
            </w:pPr>
            <w:r>
              <w:rPr>
                <w:rFonts w:ascii="Arial" w:cs="Arial" w:eastAsia="Arial" w:hAnsi="Arial"/>
                <w:sz w:val="18"/>
                <w:szCs w:val="18"/>
                <w:color w:val="auto"/>
                <w:w w:val="88"/>
              </w:rPr>
              <w:t>7 years</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 years</w:t>
            </w:r>
          </w:p>
        </w:tc>
        <w:tc>
          <w:tcPr>
            <w:tcW w:w="120" w:type="dxa"/>
            <w:vAlign w:val="bottom"/>
          </w:tcPr>
          <w:p>
            <w:pPr>
              <w:spacing w:after="0"/>
              <w:rPr>
                <w:sz w:val="19"/>
                <w:szCs w:val="19"/>
                <w:color w:val="auto"/>
              </w:rPr>
            </w:pPr>
          </w:p>
        </w:tc>
        <w:tc>
          <w:tcPr>
            <w:tcW w:w="1320" w:type="dxa"/>
            <w:vAlign w:val="bottom"/>
          </w:tcPr>
          <w:p>
            <w:pPr>
              <w:jc w:val="center"/>
              <w:ind w:right="36"/>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31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granted</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87"/>
              </w:rPr>
              <w:t>$22.59</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$13.03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7"/>
              </w:rPr>
              <w:t>$18.74</w:t>
            </w:r>
          </w:p>
        </w:tc>
        <w:tc>
          <w:tcPr>
            <w:tcW w:w="0" w:type="dxa"/>
            <w:vAlign w:val="bottom"/>
          </w:tcPr>
          <w:p>
            <w:pPr>
              <w:spacing w:after="0"/>
              <w:rPr>
                <w:sz w:val="1"/>
                <w:szCs w:val="1"/>
                <w:color w:val="auto"/>
              </w:rPr>
            </w:pPr>
          </w:p>
        </w:tc>
      </w:tr>
      <w:tr>
        <w:trPr>
          <w:trHeight w:val="517"/>
        </w:trPr>
        <w:tc>
          <w:tcPr>
            <w:tcW w:w="518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24"/>
                <w:szCs w:val="24"/>
                <w:color w:val="auto"/>
              </w:rPr>
            </w:pPr>
          </w:p>
        </w:tc>
        <w:tc>
          <w:tcPr>
            <w:tcW w:w="13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Term in</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6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Stock Options</w:t>
            </w:r>
          </w:p>
        </w:tc>
        <w:tc>
          <w:tcPr>
            <w:tcW w:w="152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6"/>
              <w:spacing w:after="0" w:line="155" w:lineRule="exact"/>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540" w:type="dxa"/>
            <w:vAlign w:val="bottom"/>
            <w:gridSpan w:val="2"/>
            <w:shd w:val="clear" w:color="auto" w:fill="CCEEFF"/>
          </w:tcPr>
          <w:p>
            <w:pPr>
              <w:jc w:val="center"/>
              <w:ind w:left="1094"/>
              <w:spacing w:after="0"/>
              <w:rPr>
                <w:sz w:val="20"/>
                <w:szCs w:val="20"/>
                <w:color w:val="auto"/>
              </w:rPr>
            </w:pPr>
            <w:r>
              <w:rPr>
                <w:rFonts w:ascii="Arial" w:cs="Arial" w:eastAsia="Arial" w:hAnsi="Arial"/>
                <w:sz w:val="18"/>
                <w:szCs w:val="18"/>
                <w:color w:val="auto"/>
                <w:w w:val="91"/>
              </w:rPr>
              <w:t>4.41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c>
          <w:tcPr>
            <w:tcW w:w="1540" w:type="dxa"/>
            <w:vAlign w:val="bottom"/>
            <w:gridSpan w:val="2"/>
          </w:tcPr>
          <w:p>
            <w:pPr>
              <w:jc w:val="center"/>
              <w:ind w:left="91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91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101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99"/>
              <w:spacing w:after="0"/>
              <w:rPr>
                <w:sz w:val="20"/>
                <w:szCs w:val="20"/>
                <w:color w:val="auto"/>
              </w:rPr>
            </w:pPr>
            <w:r>
              <w:rPr>
                <w:rFonts w:ascii="Arial" w:cs="Arial" w:eastAsia="Arial" w:hAnsi="Arial"/>
                <w:sz w:val="18"/>
                <w:szCs w:val="18"/>
                <w:color w:val="auto"/>
                <w:w w:val="91"/>
              </w:rPr>
              <w:t>4.30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0" w:type="dxa"/>
            <w:vAlign w:val="bottom"/>
          </w:tcPr>
          <w:p>
            <w:pPr>
              <w:spacing w:after="0"/>
              <w:rPr>
                <w:sz w:val="1"/>
                <w:szCs w:val="1"/>
                <w:color w:val="auto"/>
              </w:rPr>
            </w:pPr>
          </w:p>
        </w:tc>
      </w:tr>
      <w:tr>
        <w:trPr>
          <w:trHeight w:val="218"/>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Exercisable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ind w:left="999"/>
              <w:spacing w:after="0"/>
              <w:rPr>
                <w:sz w:val="20"/>
                <w:szCs w:val="20"/>
                <w:color w:val="auto"/>
              </w:rPr>
            </w:pPr>
            <w:r>
              <w:rPr>
                <w:rFonts w:ascii="Arial" w:cs="Arial" w:eastAsia="Arial" w:hAnsi="Arial"/>
                <w:sz w:val="18"/>
                <w:szCs w:val="18"/>
                <w:color w:val="auto"/>
                <w:w w:val="91"/>
              </w:rPr>
              <w:t>3.38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recognized $5.0 million, $3.2 million and $3.0 million in expense related to stock options during the years ended December 31, 2021, 2020 and 2019, respectively. The intrinsic value of options exercised for the years ended December 31, 2021, 2020 and 2019 were $11.1 million, $8.7 million and $14.6 million, respectively. Cash received from option exercises and employee stock purchase plan was $6.8 million, $5.2 million and $6.9 million, for the years ended December 31, 2021, 2020 and 2019, respectively. The realized tax benefit from options exercised were $2.2 million, $1.7 million and $3.0 million for the years ended December 31, 2021, 2020 and 2019, respectively.</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2021, there was approximately $2.9 million of total unrecognized compensation costs related to unvested stock options. These costs are expected to be recognized over a weighted-average period of approximately two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awards of restricted stock, performance stock and contract stock for the year ended December 31,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Restricted Stock Awards</w:t>
            </w: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Performance Stock and Contract Stock Awards</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5"/>
              <w:spacing w:after="0" w:line="132"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Grant Date Fair Value</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142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Adjustments for performance achievement related to award target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Cancellations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Vested but not released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4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recognized $31.2 million, $16.4 million and $18.1 million in expense related to such awards during the years ended December 31, 2021, 2020 and 2019, respectively. The total fair market value of shares vested and released in 2021, 2020 and 2019 was $15.7 million, $17.3 million and $21.1 million, respectively. Vested awards include shares that have been fully earned but had not been delivered as of December 31, 2021.</w:t>
      </w:r>
    </w:p>
    <w:p>
      <w:pPr>
        <w:spacing w:after="0" w:line="6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51"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As of December 31, 2021, there was approximately $21.1 million of total unrecognized compensation costs related to unvested restricted stock, performance stock and contract stock awards. These costs are expected to be recognized over a weighted-average period of approximately two years.</w:t>
      </w:r>
    </w:p>
    <w:p>
      <w:pPr>
        <w:spacing w:after="0" w:line="5"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of December 31, 2021, there were approximately 0.5 million vested Restricted Units and 0.1 million vested performance share units held by various employees for which the related shares have not yet been issued. The final determination of the number of shares to be issued is made by the Company's Compensation Committee of the Board of Directors which is contingent upon achieving certain revenue and organic revenue growth performance metric.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there were approximately 3.5 million shares available for grant under the 2003 Plan.</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capitalized into inventory, share based compensation costs of $0.5 million, $0.4 million and $0.3 million for the years ended December 31, 2021, 2020 and 2019, respectively. Such share-based compensation was recognized as cost of goods sold when related inventory was sold.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defined benefit plans which covers certain employees in France, Japan, Germany and Switzerland.</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Net periodic benefit costs for the Company’s defined benefit pension plans for the years ended December 31, 2021 and 2020 included the following (amounts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4"/>
        </w:trPr>
        <w:tc>
          <w:tcPr>
            <w:tcW w:w="79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5"/>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period benefit cost</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weighted average assumptions were used to develop net periodic pension benefit costs and the actuarial present values of projected pension benefit obligations for the years ended December 31, 2021 and 2020, respectively:</w:t>
      </w:r>
    </w:p>
    <w:p>
      <w:pPr>
        <w:spacing w:after="0" w:line="21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3.59 %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2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Interest crediting rate for cash balance plans</w:t>
            </w: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Company’s discount rates are determined by considering current yield curves representing high quality, long-term fixed income instruments. The resulting discount rates are consistent with the duration of plan liabilities. In 2021 and 2020, the discount rates were prescribed as the current yield on corporate bonds with an average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2021 and 2020 and a reconciliation of the funded status at December 31, 2021 and 2020, respectively (amounts in thousands):</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84"/>
        </w:trPr>
        <w:tc>
          <w:tcPr>
            <w:tcW w:w="63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207"/>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Change In Projected Benefit Obligations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Projected benefit obligations, beginning of year</w:t>
            </w:r>
          </w:p>
        </w:tc>
        <w:tc>
          <w:tcPr>
            <w:tcW w:w="1060" w:type="dxa"/>
            <w:vAlign w:val="bottom"/>
            <w:gridSpan w:val="2"/>
          </w:tcPr>
          <w:p>
            <w:pPr>
              <w:jc w:val="right"/>
              <w:ind w:right="86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72,869</w:t>
            </w:r>
          </w:p>
        </w:tc>
        <w:tc>
          <w:tcPr>
            <w:tcW w:w="140" w:type="dxa"/>
            <w:vAlign w:val="bottom"/>
          </w:tcPr>
          <w:p>
            <w:pPr>
              <w:spacing w:after="0"/>
              <w:rPr>
                <w:sz w:val="19"/>
                <w:szCs w:val="19"/>
                <w:color w:val="auto"/>
              </w:rPr>
            </w:pPr>
          </w:p>
        </w:tc>
        <w:tc>
          <w:tcPr>
            <w:tcW w:w="1000" w:type="dxa"/>
            <w:vAlign w:val="bottom"/>
            <w:gridSpan w:val="2"/>
          </w:tcPr>
          <w:p>
            <w:pPr>
              <w:jc w:val="right"/>
              <w:ind w:right="8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66,972</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(5,044)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amendments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settlements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Employee contribution</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paid</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Benefit payment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(1,537)</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Plans transferred in</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(2,657)</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r>
      <w:tr>
        <w:trPr>
          <w:trHeight w:val="245"/>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Projected benefit obligations, end of year</w:t>
            </w:r>
          </w:p>
        </w:tc>
        <w:tc>
          <w:tcPr>
            <w:tcW w:w="1060" w:type="dxa"/>
            <w:vAlign w:val="bottom"/>
            <w:tcBorders>
              <w:bottom w:val="single" w:sz="8" w:color="auto"/>
            </w:tcBorders>
            <w:gridSpan w:val="2"/>
            <w:shd w:val="clear" w:color="auto" w:fill="CCEEFF"/>
          </w:tcPr>
          <w:p>
            <w:pPr>
              <w:jc w:val="right"/>
              <w:ind w:right="86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65,184</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72,869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6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184"/>
        </w:trPr>
        <w:tc>
          <w:tcPr>
            <w:tcW w:w="63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207"/>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Change In Plan Assets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assets at fair value, beginning of year</w:t>
            </w:r>
          </w:p>
        </w:tc>
        <w:tc>
          <w:tcPr>
            <w:tcW w:w="1060" w:type="dxa"/>
            <w:vAlign w:val="bottom"/>
            <w:gridSpan w:val="2"/>
          </w:tcPr>
          <w:p>
            <w:pPr>
              <w:jc w:val="right"/>
              <w:ind w:right="86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37,825</w:t>
            </w:r>
          </w:p>
        </w:tc>
        <w:tc>
          <w:tcPr>
            <w:tcW w:w="140" w:type="dxa"/>
            <w:vAlign w:val="bottom"/>
          </w:tcPr>
          <w:p>
            <w:pPr>
              <w:spacing w:after="0"/>
              <w:rPr>
                <w:sz w:val="19"/>
                <w:szCs w:val="19"/>
                <w:color w:val="auto"/>
              </w:rPr>
            </w:pPr>
          </w:p>
        </w:tc>
        <w:tc>
          <w:tcPr>
            <w:tcW w:w="1000" w:type="dxa"/>
            <w:vAlign w:val="bottom"/>
            <w:gridSpan w:val="2"/>
          </w:tcPr>
          <w:p>
            <w:pPr>
              <w:jc w:val="right"/>
              <w:ind w:right="8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30,770</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settlements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Premiums paid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(1,319)</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20"/>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Plan assets at fair value, end of year</w:t>
            </w:r>
          </w:p>
        </w:tc>
        <w:tc>
          <w:tcPr>
            <w:tcW w:w="1060" w:type="dxa"/>
            <w:vAlign w:val="bottom"/>
            <w:tcBorders>
              <w:bottom w:val="single" w:sz="8" w:color="auto"/>
            </w:tcBorders>
            <w:gridSpan w:val="2"/>
          </w:tcPr>
          <w:p>
            <w:pPr>
              <w:jc w:val="right"/>
              <w:ind w:right="86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39,914</w:t>
            </w: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37,825</w:t>
            </w: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506"/>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184"/>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r>
      <w:tr>
        <w:trPr>
          <w:trHeight w:val="207"/>
        </w:trPr>
        <w:tc>
          <w:tcPr>
            <w:tcW w:w="63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Reconciliation Of Funded Status</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Fair value of plan assets</w:t>
            </w:r>
          </w:p>
        </w:tc>
        <w:tc>
          <w:tcPr>
            <w:tcW w:w="106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39,914</w:t>
            </w:r>
          </w:p>
        </w:tc>
        <w:tc>
          <w:tcPr>
            <w:tcW w:w="140" w:type="dxa"/>
            <w:vAlign w:val="bottom"/>
          </w:tcPr>
          <w:p>
            <w:pPr>
              <w:spacing w:after="0"/>
              <w:rPr>
                <w:sz w:val="19"/>
                <w:szCs w:val="19"/>
                <w:color w:val="auto"/>
              </w:rPr>
            </w:pPr>
          </w:p>
        </w:tc>
        <w:tc>
          <w:tcPr>
            <w:tcW w:w="1000" w:type="dxa"/>
            <w:vAlign w:val="bottom"/>
            <w:gridSpan w:val="2"/>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37,825</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obligations</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65,184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72,869</w:t>
            </w:r>
          </w:p>
        </w:tc>
      </w:tr>
      <w:tr>
        <w:trPr>
          <w:trHeight w:val="219"/>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Unfunded benefit obligations</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25,270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35,044</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unfunded benefit obligations are included in other liabilities in the consolidated balance sheets at December 31, 2021 and 2020, respectively.</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periods ended December 31, 2021 and 2020, the Company had a net gain of $7.0 million and $4.6 million, respectively, recognized within accumulated other comprehensive loss that has not been recognized as a component of net periodic benefit cost. The gain recognized during the period ended December 31, 2021, is primarily attributed to a change in the discount rate used to estimate the projected benefit obligation for defined benefit plans which cover certain employees in Switzerland. The combined accumulated benefit obligations for the defined benefit plans was $60.3 million and $61.5 million as of December 31, 2021 and 2020, respectively.</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benefit plans in France and Germany had no assets at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 plan assets are expected to be returned to the Company in the next twelve months.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2023</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2025</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2,073</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Next five years</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10,395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contributions expected to be paid to the plan in 2022 is $2.3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$8.8 million, $6.7 million and $8.6 million for the years ended December 31, 2021, 2020 and 2019,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December 31, 2021 and 2020 was $3.8 million and $2.0 million. Offsetting liabilities relating to the deferred compensation plan are included in Other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AND RELATED PARTY LEASES</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leases administrative, manufacturing, research and distribution facilities and vehicles through operating lease agreements. The Company has no finance leases as of December 31, 2021.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3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Total operating lease expense for the year ended December 31, 2021 and December 31, 2020, was $20.3 million and $19.7 million, respectively, which includes $0.3 million, in related party operating lease expense.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163195</wp:posOffset>
            </wp:positionV>
            <wp:extent cx="2926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8">
                      <a:extLst>
                        <a:ext uri="{28A0092B-C50C-407E-A947-70E740481C1C}"/>
                      </a:extLst>
                    </a:blip>
                    <a:srcRect/>
                    <a:stretch>
                      <a:fillRect/>
                    </a:stretch>
                  </pic:blipFill>
                  <pic:spPr bwMode="auto">
                    <a:xfrm>
                      <a:off x="0" y="0"/>
                      <a:ext cx="292608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December 31, 2020</w:t>
            </w:r>
          </w:p>
        </w:tc>
      </w:tr>
      <w:tr>
        <w:trPr>
          <w:trHeight w:val="184"/>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80" w:type="dxa"/>
            <w:vAlign w:val="bottom"/>
            <w:gridSpan w:val="5"/>
          </w:tcPr>
          <w:p>
            <w:pPr>
              <w:jc w:val="right"/>
              <w:ind w:right="674"/>
              <w:spacing w:after="0"/>
              <w:rPr>
                <w:sz w:val="20"/>
                <w:szCs w:val="20"/>
                <w:color w:val="auto"/>
              </w:rPr>
            </w:pPr>
            <w:r>
              <w:rPr>
                <w:rFonts w:ascii="Arial" w:cs="Arial" w:eastAsia="Arial" w:hAnsi="Arial"/>
                <w:sz w:val="14"/>
                <w:szCs w:val="14"/>
                <w:b w:val="1"/>
                <w:bCs w:val="1"/>
                <w:color w:val="auto"/>
                <w:w w:val="99"/>
              </w:rPr>
              <w:t>(In thousands, except lease term and discount rate)</w:t>
            </w:r>
          </w:p>
        </w:tc>
      </w:tr>
      <w:tr>
        <w:trPr>
          <w:trHeight w:val="22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84,543</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83,635</w:t>
            </w:r>
          </w:p>
        </w:tc>
      </w:tr>
      <w:tr>
        <w:trPr>
          <w:trHeight w:val="266"/>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12,818</w:t>
            </w: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90,329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88,118</w:t>
            </w:r>
          </w:p>
        </w:tc>
      </w:tr>
      <w:tr>
        <w:trPr>
          <w:trHeight w:val="245"/>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105,104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100,936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10.4 years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11.6 years</w:t>
            </w: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years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66"/>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517"/>
        </w:trPr>
        <w:tc>
          <w:tcPr>
            <w:tcW w:w="66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0"/>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280"/>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December 31, 2020</w:t>
            </w:r>
          </w:p>
        </w:tc>
      </w:tr>
      <w:tr>
        <w:trPr>
          <w:trHeight w:val="184"/>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4"/>
          </w:tcPr>
          <w:p>
            <w:pPr>
              <w:jc w:val="center"/>
              <w:ind w:left="1417"/>
              <w:spacing w:after="0"/>
              <w:rPr>
                <w:sz w:val="20"/>
                <w:szCs w:val="20"/>
                <w:color w:val="auto"/>
              </w:rPr>
            </w:pPr>
            <w:r>
              <w:rPr>
                <w:rFonts w:ascii="Arial" w:cs="Arial" w:eastAsia="Arial" w:hAnsi="Arial"/>
                <w:sz w:val="14"/>
                <w:szCs w:val="14"/>
                <w:b w:val="1"/>
                <w:bCs w:val="1"/>
                <w:color w:val="auto"/>
                <w:w w:val="89"/>
              </w:rPr>
              <w:t>(In thousands)</w:t>
            </w:r>
          </w:p>
        </w:tc>
        <w:tc>
          <w:tcPr>
            <w:tcW w:w="1740" w:type="dxa"/>
            <w:vAlign w:val="bottom"/>
          </w:tcPr>
          <w:p>
            <w:pPr>
              <w:spacing w:after="0"/>
              <w:rPr>
                <w:sz w:val="15"/>
                <w:szCs w:val="15"/>
                <w:color w:val="auto"/>
              </w:rPr>
            </w:pPr>
          </w:p>
        </w:tc>
      </w:tr>
      <w:tr>
        <w:trPr>
          <w:trHeight w:val="22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15,077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15,226</w:t>
            </w:r>
          </w:p>
        </w:tc>
      </w:tr>
      <w:tr>
        <w:trPr>
          <w:trHeight w:val="266"/>
        </w:trPr>
        <w:tc>
          <w:tcPr>
            <w:tcW w:w="6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2021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Third Parties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68,830</w:t>
            </w:r>
          </w:p>
        </w:tc>
        <w:tc>
          <w:tcPr>
            <w:tcW w:w="0" w:type="dxa"/>
            <w:vAlign w:val="bottom"/>
          </w:tcPr>
          <w:p>
            <w:pPr>
              <w:spacing w:after="0"/>
              <w:rPr>
                <w:sz w:val="1"/>
                <w:szCs w:val="1"/>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1"/>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105,104</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Less: Current lease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90,329</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December 31,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leases its manufacturing facility in Plainsboro, New Jersey, from a general partnership that is 50% owned by a corporation whose stockholders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160" w:type="dxa"/>
            <w:vAlign w:val="bottom"/>
            <w:tcBorders>
              <w:bottom w:val="single" w:sz="8" w:color="auto"/>
            </w:tcBorders>
          </w:tcPr>
          <w:p>
            <w:pPr>
              <w:spacing w:after="0"/>
              <w:rPr>
                <w:sz w:val="16"/>
                <w:szCs w:val="16"/>
                <w:color w:val="auto"/>
              </w:rPr>
            </w:pPr>
          </w:p>
        </w:tc>
      </w:tr>
      <w:tr>
        <w:trPr>
          <w:trHeight w:val="184"/>
        </w:trPr>
        <w:tc>
          <w:tcPr>
            <w:tcW w:w="6680" w:type="dxa"/>
            <w:vAlign w:val="bottom"/>
          </w:tcPr>
          <w:p>
            <w:pPr>
              <w:spacing w:after="0"/>
              <w:rPr>
                <w:sz w:val="20"/>
                <w:szCs w:val="20"/>
                <w:color w:val="auto"/>
              </w:rPr>
            </w:pPr>
            <w:r>
              <w:rPr>
                <w:rFonts w:ascii="Arial" w:cs="Arial" w:eastAsia="Arial" w:hAnsi="Arial"/>
                <w:sz w:val="14"/>
                <w:szCs w:val="14"/>
                <w:color w:val="auto"/>
              </w:rPr>
              <w:t>Dollars in thousands</w:t>
            </w:r>
          </w:p>
        </w:tc>
        <w:tc>
          <w:tcPr>
            <w:tcW w:w="1160" w:type="dxa"/>
            <w:vAlign w:val="bottom"/>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2200" w:type="dxa"/>
            <w:vAlign w:val="bottom"/>
          </w:tcPr>
          <w:p>
            <w:pPr>
              <w:jc w:val="right"/>
              <w:ind w:right="889"/>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509"/>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 operations</w:t>
            </w: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91,150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20" w:type="dxa"/>
            <w:vAlign w:val="bottom"/>
            <w:tcBorders>
              <w:top w:val="single" w:sz="8" w:color="auto"/>
            </w:tcBorders>
            <w:shd w:val="clear" w:color="auto" w:fill="CCEEFF"/>
          </w:tcPr>
          <w:p>
            <w:pPr>
              <w:spacing w:after="0"/>
              <w:rPr>
                <w:sz w:val="19"/>
                <w:szCs w:val="19"/>
                <w:color w:val="auto"/>
              </w:rPr>
            </w:pPr>
          </w:p>
        </w:tc>
      </w:tr>
      <w:tr>
        <w:trPr>
          <w:trHeight w:val="225"/>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operations</w:t>
            </w: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123,527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78,438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98,463</w:t>
            </w:r>
          </w:p>
        </w:tc>
        <w:tc>
          <w:tcPr>
            <w:tcW w:w="20" w:type="dxa"/>
            <w:vAlign w:val="bottom"/>
            <w:tcBorders>
              <w:bottom w:val="single" w:sz="8" w:color="auto"/>
            </w:tcBorders>
          </w:tcPr>
          <w:p>
            <w:pPr>
              <w:spacing w:after="0"/>
              <w:rPr>
                <w:sz w:val="19"/>
                <w:szCs w:val="19"/>
                <w:color w:val="auto"/>
              </w:rPr>
            </w:pPr>
          </w:p>
        </w:tc>
      </w:tr>
      <w:tr>
        <w:trPr>
          <w:trHeight w:val="24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214,677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60,104</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7380" w:type="dxa"/>
            <w:vAlign w:val="bottom"/>
            <w:gridSpan w:val="3"/>
          </w:tcPr>
          <w:p>
            <w:pPr>
              <w:spacing w:after="0"/>
              <w:rPr>
                <w:sz w:val="20"/>
                <w:szCs w:val="20"/>
                <w:color w:val="auto"/>
              </w:rPr>
            </w:pPr>
            <w:r>
              <w:rPr>
                <w:rFonts w:ascii="Arial" w:cs="Arial" w:eastAsia="Arial" w:hAnsi="Arial"/>
                <w:sz w:val="18"/>
                <w:szCs w:val="18"/>
                <w:color w:val="auto"/>
                <w:w w:val="94"/>
              </w:rPr>
              <w:t>A reconciliation of the U.S. Federal statutory rate to the Company’s effective tax rate is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1"/>
        </w:trPr>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7"/>
              </w:rPr>
              <w:t>Years Ended 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6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22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Increase (decrease) in income taxes resulting from:</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tax benefit</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Foreign operations</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 compensation</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Nondeductible meals and entertainment</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Intercompany profit in inventory</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Nondeductible facilitative costs</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Return to provision</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Global intangible low-taxed income ("GILTI")</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Nondeductible executive compensation</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r>
      <w:tr>
        <w:trPr>
          <w:trHeight w:val="240"/>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market value step up on intra-entity transfer of intellectual property</w:t>
            </w:r>
          </w:p>
        </w:tc>
        <w:tc>
          <w:tcPr>
            <w:tcW w:w="68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Gain from sale of business - book to tax differences</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Swiss tax holiday</w:t>
            </w:r>
          </w:p>
        </w:tc>
        <w:tc>
          <w:tcPr>
            <w:tcW w:w="6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r>
      <w:tr>
        <w:trPr>
          <w:trHeight w:val="331"/>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Nondeductible R&amp;D expense</w:t>
            </w:r>
          </w:p>
        </w:tc>
        <w:tc>
          <w:tcPr>
            <w:tcW w:w="680" w:type="dxa"/>
            <w:vAlign w:val="bottom"/>
          </w:tcPr>
          <w:p>
            <w:pPr>
              <w:spacing w:after="0"/>
              <w:rPr>
                <w:sz w:val="24"/>
                <w:szCs w:val="24"/>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22.7 %</w:t>
            </w:r>
          </w:p>
        </w:tc>
        <w:tc>
          <w:tcPr>
            <w:tcW w:w="20" w:type="dxa"/>
            <w:vAlign w:val="bottom"/>
          </w:tcPr>
          <w:p>
            <w:pPr>
              <w:spacing w:after="0"/>
              <w:rPr>
                <w:sz w:val="24"/>
                <w:szCs w:val="24"/>
                <w:color w:val="auto"/>
              </w:rPr>
            </w:pPr>
          </w:p>
        </w:tc>
      </w:tr>
      <w:tr>
        <w:trPr>
          <w:trHeight w:val="226"/>
        </w:trPr>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r>
      <w:tr>
        <w:trPr>
          <w:trHeight w:val="22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21.2 %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16.5 %</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effective tax rate was 21.2% and (43.2)% of income before income taxes for the years ended December 31, 2021 and December 31, 2020, respectively. In 2021, the Company's higher effective tax rate was driven in part by an $8.5 million income tax expense for nondeductible goodwill related to the sale of the Extremity Orthopedics business, offset by a $3.1 million income tax benefit related to excess tax benefits from stock compensation. In 2020, the Company’s lower worldwide effective tax rate was primarily driven by an $59.2 million income tax benefit on an intra-entity transfer of certain intellectual property, substantially completed during the fourth quarter in 2020. Excluding this transaction, the effective worldwide tax rate for 2020 was 20.2%.</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The Company determined the fair value using a discounted cash flow model based on expectations of revenue growth rates, royalty rates, discount rates, and useful lives of the intellectual property. The Company recorded a $59.2 million deferred tax benefit in Switzerland related to the amortizable tax basis in the transferred intellectual property.</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2021, the Company’s foreign operations generated a $63.6 million increase in income tax expense when compared to the same period in 2020, because of the intra-entity transfer of certain intellectual property in 2020, geographic and business mix of taxable earnings and losses, among other factors. The 2021 foreign effective tax rate is 15.2%, compared to (57.1)% in 2020. The Company’s foreign tax rate is primarily based upon statutory rates and is also impacted by the intra-entity transfer of certain intellectual property as described above for 2020.</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During 2020, the Company’s foreign operations generated a $48.2 million decrease in income tax expense when compared to the same period in 2019 due to the intra-entity transfer of certain intellectual property, geographic and business mix of taxable earnings and losses, among other factors. The 2020 foreign effective tax rate is (57.1)%, compared to 3.5% in 2019. The Company’s foreign tax rate is primarily based upon statutory rates and is also impacted by the intra-entity transfer of certain intellectual property as described above for 2020. During 2019, the Company finalized negotiations related to tax holidays in Switzerland, on a federal, cantonal, and communal level. The Company received a federal tax credit in Switzerland of $12.1 million ($0.14 per share), which may be used over a seven-year period, ending in 2024. The Company also received a reduction in its rate for the cantonal and communal level taxes during the third quarter of 2019, pursuant to tax reform in Switzerland.</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profit-sharing (BEPS) project begun by the Organization for Economic Cooperation and Development (OECD). The OECD recently finalized major reform of the international tax system with respect to implementing a global minimum tax rate. Such changes in U.S. and Non-U.S. jurisdictions could have an adverse effect on the Company’s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07"/>
        </w:trPr>
        <w:tc>
          <w:tcPr>
            <w:tcW w:w="6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31,938</w:t>
            </w:r>
          </w:p>
        </w:tc>
        <w:tc>
          <w:tcPr>
            <w:tcW w:w="4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14,597</w:t>
            </w: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r>
      <w:tr>
        <w:trPr>
          <w:trHeight w:val="225"/>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48,357</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r>
      <w:tr>
        <w:trPr>
          <w:trHeight w:val="24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45,602</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Doubtful accounts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related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47,034</w:t>
            </w: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18,319</w:t>
            </w: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Capitalization of research and development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13,044</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w:t>
            </w: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Charitable contributions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23,205</w:t>
            </w:r>
          </w:p>
        </w:tc>
      </w:tr>
      <w:tr>
        <w:trPr>
          <w:trHeight w:val="218"/>
        </w:trPr>
        <w:tc>
          <w:tcPr>
            <w:tcW w:w="824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190,737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173,256</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r>
      <w:tr>
        <w:trPr>
          <w:trHeight w:val="220"/>
        </w:trPr>
        <w:tc>
          <w:tcPr>
            <w:tcW w:w="8240" w:type="dxa"/>
            <w:vAlign w:val="bottom"/>
          </w:tcPr>
          <w:p>
            <w:pPr>
              <w:ind w:left="160"/>
              <w:spacing w:after="0"/>
              <w:rPr>
                <w:sz w:val="20"/>
                <w:szCs w:val="20"/>
                <w:color w:val="auto"/>
              </w:rPr>
            </w:pPr>
            <w:r>
              <w:rPr>
                <w:rFonts w:ascii="Arial" w:cs="Arial" w:eastAsia="Arial" w:hAnsi="Arial"/>
                <w:sz w:val="18"/>
                <w:szCs w:val="18"/>
                <w:color w:val="auto"/>
              </w:rPr>
              <w:t>Deferred tax assets after valuation allowance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82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Intangible and 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(90,274)</w:t>
            </w: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w:t>
            </w:r>
          </w:p>
        </w:tc>
      </w:tr>
      <w:tr>
        <w:trPr>
          <w:trHeight w:val="192"/>
        </w:trPr>
        <w:tc>
          <w:tcPr>
            <w:tcW w:w="8240" w:type="dxa"/>
            <w:vAlign w:val="bottom"/>
          </w:tcPr>
          <w:p>
            <w:pPr>
              <w:ind w:left="160"/>
              <w:spacing w:after="0" w:line="193" w:lineRule="exact"/>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51"/>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(169,808)</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1"/>
              <w:spacing w:after="0" w:line="19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(105,859)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deferred tax assets (liabilities)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2021, the Company had net operating loss carryforwards of $71.7 million for federal income tax purposes, $26.6 million for foreign income tax purposes and $39.0 million for state income tax purposes to offset future taxable income. The majority of the federal net operating loss carryforwards expire through 2037, while $4.1 million have an indefinite carry forward period. For foreign net operating loss carryforwards, the remaining $26.6 million have an indefinite carry forward period. The state net operating loss carryforwards expire through 2036.</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8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Company’s valuation allowance decreased by less than $0.1 million, increased by less than $0.1 million and increased by $2.9 million at December 31, 2021, 2020 and 2019, respectively. The 2021 and 2020 valuation allowance primarily remained unchanged from the prior period.</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December 31, 2021,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no material tax cost to bring the earnings back to the United States. Reinvestment considerations would include future acquisitions, transactions, and capital expenditure plans. As such, the Company has determined the tax impact of repatriating these earnings would not be material as of December 31, 2021.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79"/>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Gross increases: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tax positions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Prior years' tax 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6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$0.7 million of the balance at December 31, 2021 relates to uncertain tax positions that, if recognized, would affect the annual effective tax rate. There are no amounts within the balance of uncertain tax positions at December 31, 2021 related to tax positions for which it is reasonably possible that the amounts could be reduced during the twelve months following December 31, 2021.</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2021, 2020 and 2019. The Company had minimal interest and penalties accrued for the years ended December 31, 2021 and 2020 and 2019.</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U.S. consolidated Federal income tax returns by the IRS through fiscal year 2017. All significant state and local matters have been concluded through fiscal 2015. All significant foreign matters have been settled through fiscal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66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87"/>
        </w:trPr>
        <w:tc>
          <w:tcPr>
            <w:tcW w:w="20" w:type="dxa"/>
            <w:vAlign w:val="bottom"/>
            <w:shd w:val="clear" w:color="auto" w:fill="CCEEFF"/>
          </w:tcPr>
          <w:p>
            <w:pPr>
              <w:spacing w:after="0"/>
              <w:rPr>
                <w:sz w:val="16"/>
                <w:szCs w:val="16"/>
                <w:color w:val="auto"/>
              </w:rPr>
            </w:pPr>
          </w:p>
        </w:tc>
        <w:tc>
          <w:tcPr>
            <w:tcW w:w="6680" w:type="dxa"/>
            <w:vAlign w:val="bottom"/>
            <w:gridSpan w:val="3"/>
            <w:shd w:val="clear" w:color="auto" w:fill="CCEEFF"/>
          </w:tcPr>
          <w:p>
            <w:pPr>
              <w:spacing w:after="0" w:line="167" w:lineRule="exact"/>
              <w:rPr>
                <w:sz w:val="20"/>
                <w:szCs w:val="20"/>
                <w:color w:val="auto"/>
              </w:rPr>
            </w:pPr>
            <w:r>
              <w:rPr>
                <w:rFonts w:ascii="Arial" w:cs="Arial" w:eastAsia="Arial" w:hAnsi="Arial"/>
                <w:sz w:val="18"/>
                <w:szCs w:val="18"/>
                <w:b w:val="1"/>
                <w:bCs w:val="1"/>
                <w:color w:val="auto"/>
              </w:rPr>
              <w:t>Basic net income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60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169,075</w:t>
            </w:r>
          </w:p>
        </w:tc>
        <w:tc>
          <w:tcPr>
            <w:tcW w:w="4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133,892</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50,201</w:t>
            </w: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85,637</w:t>
            </w:r>
          </w:p>
        </w:tc>
      </w:tr>
      <w:tr>
        <w:trPr>
          <w:trHeight w:val="226"/>
        </w:trPr>
        <w:tc>
          <w:tcPr>
            <w:tcW w:w="670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net income per common share</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66"/>
        </w:trPr>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668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Diluted net income per share: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50,201</w:t>
            </w:r>
          </w:p>
        </w:tc>
      </w:tr>
      <w:tr>
        <w:trPr>
          <w:trHeight w:val="266"/>
        </w:trPr>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85,637</w:t>
            </w:r>
          </w:p>
        </w:tc>
      </w:tr>
      <w:tr>
        <w:trPr>
          <w:trHeight w:val="225"/>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18"/>
        </w:trPr>
        <w:tc>
          <w:tcPr>
            <w:tcW w:w="6700" w:type="dxa"/>
            <w:vAlign w:val="bottom"/>
            <w:gridSpan w:val="4"/>
          </w:tcPr>
          <w:p>
            <w:pPr>
              <w:ind w:left="20"/>
              <w:spacing w:after="0" w:line="205" w:lineRule="exact"/>
              <w:rPr>
                <w:sz w:val="20"/>
                <w:szCs w:val="20"/>
                <w:color w:val="auto"/>
              </w:rPr>
            </w:pPr>
            <w:r>
              <w:rPr>
                <w:rFonts w:ascii="Arial" w:cs="Arial" w:eastAsia="Arial" w:hAnsi="Arial"/>
                <w:sz w:val="18"/>
                <w:szCs w:val="18"/>
                <w:color w:val="auto"/>
              </w:rPr>
              <w:t>Weighted average common shares for diluted earnings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86,494</w:t>
            </w: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common share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bl>
    <w:p>
      <w:pPr>
        <w:spacing w:after="0" w:line="280"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Common stock of approximately 0.1 million and 0.3 million shares at December 31, 2021, and 2020 that are issuable through exercise of dilutive securities, respectively, and were not included in the computation of diluted net income per share because their effect would have been anti-dilutive.</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Changes in accumulated other comprehensive loss by component between December 31, 2021 and 2020 are presented in the table below, net of tax: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Gains and Losses on</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Defined Benefit Pension</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Foreign Currency Items</w:t>
            </w:r>
          </w:p>
        </w:tc>
        <w:tc>
          <w:tcPr>
            <w:tcW w:w="360" w:type="dxa"/>
            <w:vAlign w:val="bottom"/>
          </w:tcPr>
          <w:p>
            <w:pPr>
              <w:spacing w:after="0"/>
              <w:rPr>
                <w:sz w:val="14"/>
                <w:szCs w:val="1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Items</w:t>
            </w:r>
          </w:p>
        </w:tc>
        <w:tc>
          <w:tcPr>
            <w:tcW w:w="162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center"/>
              <w:ind w:left="657"/>
              <w:spacing w:after="0"/>
              <w:rPr>
                <w:sz w:val="20"/>
                <w:szCs w:val="20"/>
                <w:color w:val="auto"/>
              </w:rPr>
            </w:pPr>
            <w:r>
              <w:rPr>
                <w:rFonts w:ascii="Arial" w:cs="Arial" w:eastAsia="Arial" w:hAnsi="Arial"/>
                <w:sz w:val="18"/>
                <w:szCs w:val="18"/>
                <w:color w:val="auto"/>
                <w:w w:val="89"/>
              </w:rPr>
              <w:t>(82,249)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89"/>
              </w:rPr>
              <w:t>(74,059)</w:t>
            </w:r>
          </w:p>
        </w:tc>
        <w:tc>
          <w:tcPr>
            <w:tcW w:w="0" w:type="dxa"/>
            <w:vAlign w:val="bottom"/>
          </w:tcPr>
          <w:p>
            <w:pPr>
              <w:spacing w:after="0"/>
              <w:rPr>
                <w:sz w:val="1"/>
                <w:szCs w:val="1"/>
                <w:color w:val="auto"/>
              </w:rPr>
            </w:pPr>
          </w:p>
        </w:tc>
      </w:tr>
      <w:tr>
        <w:trPr>
          <w:trHeight w:val="225"/>
        </w:trPr>
        <w:tc>
          <w:tcPr>
            <w:tcW w:w="4900" w:type="dxa"/>
            <w:vAlign w:val="bottom"/>
          </w:tcPr>
          <w:p>
            <w:pPr>
              <w:ind w:left="220"/>
              <w:spacing w:after="0"/>
              <w:rPr>
                <w:sz w:val="20"/>
                <w:szCs w:val="20"/>
                <w:color w:val="auto"/>
              </w:rPr>
            </w:pPr>
            <w:r>
              <w:rPr>
                <w:rFonts w:ascii="Arial" w:cs="Arial" w:eastAsia="Arial" w:hAnsi="Arial"/>
                <w:sz w:val="18"/>
                <w:szCs w:val="18"/>
                <w:color w:val="auto"/>
              </w:rPr>
              <w:t>Other comprehensive gain (loss)</w:t>
            </w:r>
          </w:p>
        </w:tc>
        <w:tc>
          <w:tcPr>
            <w:tcW w:w="120" w:type="dxa"/>
            <w:vAlign w:val="bottom"/>
          </w:tcPr>
          <w:p>
            <w:pPr>
              <w:spacing w:after="0"/>
              <w:rPr>
                <w:sz w:val="19"/>
                <w:szCs w:val="19"/>
                <w:color w:val="auto"/>
              </w:rPr>
            </w:pPr>
          </w:p>
        </w:tc>
        <w:tc>
          <w:tcPr>
            <w:tcW w:w="1380" w:type="dxa"/>
            <w:vAlign w:val="bottom"/>
          </w:tcPr>
          <w:p>
            <w:pPr>
              <w:jc w:val="center"/>
              <w:ind w:left="697"/>
              <w:spacing w:after="0"/>
              <w:rPr>
                <w:sz w:val="20"/>
                <w:szCs w:val="20"/>
                <w:color w:val="auto"/>
              </w:rPr>
            </w:pPr>
            <w:r>
              <w:rPr>
                <w:rFonts w:ascii="Arial" w:cs="Arial" w:eastAsia="Arial" w:hAnsi="Arial"/>
                <w:sz w:val="18"/>
                <w:szCs w:val="18"/>
                <w:color w:val="auto"/>
                <w:w w:val="87"/>
              </w:rPr>
              <w:t>52,359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454"/>
              <w:spacing w:after="0"/>
              <w:rPr>
                <w:sz w:val="20"/>
                <w:szCs w:val="20"/>
                <w:color w:val="auto"/>
              </w:rPr>
            </w:pPr>
            <w:r>
              <w:rPr>
                <w:rFonts w:ascii="Arial" w:cs="Arial" w:eastAsia="Arial" w:hAnsi="Arial"/>
                <w:sz w:val="18"/>
                <w:szCs w:val="18"/>
                <w:color w:val="auto"/>
                <w:w w:val="90"/>
              </w:rPr>
              <w:t>41,995</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Less: Amounts reclassified from accumulated other</w:t>
            </w: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center"/>
              <w:ind w:left="697"/>
              <w:spacing w:after="0"/>
              <w:rPr>
                <w:sz w:val="20"/>
                <w:szCs w:val="20"/>
                <w:color w:val="auto"/>
              </w:rPr>
            </w:pPr>
            <w:r>
              <w:rPr>
                <w:rFonts w:ascii="Arial" w:cs="Arial" w:eastAsia="Arial" w:hAnsi="Arial"/>
                <w:sz w:val="18"/>
                <w:szCs w:val="18"/>
                <w:color w:val="auto"/>
                <w:w w:val="87"/>
              </w:rPr>
              <w:t>13,091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center"/>
              <w:ind w:left="454"/>
              <w:spacing w:after="0"/>
              <w:rPr>
                <w:sz w:val="20"/>
                <w:szCs w:val="20"/>
                <w:color w:val="auto"/>
              </w:rPr>
            </w:pPr>
            <w:r>
              <w:rPr>
                <w:rFonts w:ascii="Arial" w:cs="Arial" w:eastAsia="Arial" w:hAnsi="Arial"/>
                <w:sz w:val="18"/>
                <w:szCs w:val="18"/>
                <w:color w:val="auto"/>
                <w:w w:val="90"/>
              </w:rPr>
              <w:t>13,091</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net</w:t>
            </w: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other comprehensive gain (loss)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8"/>
                <w:szCs w:val="18"/>
                <w:color w:val="auto"/>
                <w:w w:val="87"/>
              </w:rPr>
              <w:t>39,268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8"/>
                <w:szCs w:val="18"/>
                <w:color w:val="auto"/>
                <w:w w:val="90"/>
              </w:rPr>
              <w:t>28,904</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657"/>
              <w:spacing w:after="0"/>
              <w:rPr>
                <w:sz w:val="20"/>
                <w:szCs w:val="20"/>
                <w:color w:val="auto"/>
              </w:rPr>
            </w:pPr>
            <w:r>
              <w:rPr>
                <w:rFonts w:ascii="Arial" w:cs="Arial" w:eastAsia="Arial" w:hAnsi="Arial"/>
                <w:sz w:val="18"/>
                <w:szCs w:val="18"/>
                <w:color w:val="auto"/>
                <w:w w:val="89"/>
              </w:rPr>
              <w:t>(42,981)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89"/>
              </w:rPr>
              <w:t>(45,155)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year ended December 31, 2021, the Company reclassified a gain of $25.3 million and a loss of $12.2 million from accumulated other comprehensive loss to other income, net and interest income,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2021 and 2020 to reflect the change in estimate, additions, payments, transfers and the time value of money during the period.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years ended December 31, 2021 and 2020 is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Contingent Consideration Liability Related to Acquisition of:</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Arkis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Location 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in Financial</w:t>
            </w: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Financial</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Derma Sciences</w:t>
            </w:r>
          </w:p>
        </w:tc>
        <w:tc>
          <w:tcPr>
            <w:tcW w:w="160" w:type="dxa"/>
            <w:vAlign w:val="bottom"/>
          </w:tcPr>
          <w:p>
            <w:pPr>
              <w:spacing w:after="0"/>
              <w:rPr>
                <w:sz w:val="5"/>
                <w:szCs w:val="5"/>
                <w:color w:val="auto"/>
              </w:rPr>
            </w:pPr>
          </w:p>
        </w:tc>
        <w:tc>
          <w:tcPr>
            <w:tcW w:w="9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7"/>
              </w:rPr>
              <w:t>ACell Inc.</w:t>
            </w:r>
          </w:p>
        </w:tc>
        <w:tc>
          <w:tcPr>
            <w:tcW w:w="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60" w:type="dxa"/>
            <w:vAlign w:val="bottom"/>
          </w:tcPr>
          <w:p>
            <w:pPr>
              <w:spacing w:after="0"/>
              <w:rPr>
                <w:sz w:val="11"/>
                <w:szCs w:val="11"/>
                <w:color w:val="auto"/>
              </w:rPr>
            </w:pPr>
          </w:p>
        </w:tc>
        <w:tc>
          <w:tcPr>
            <w:tcW w:w="2120" w:type="dxa"/>
            <w:vAlign w:val="bottom"/>
            <w:gridSpan w:val="4"/>
          </w:tcPr>
          <w:p>
            <w:pPr>
              <w:jc w:val="right"/>
              <w:ind w:right="682"/>
              <w:spacing w:after="0" w:line="133" w:lineRule="exact"/>
              <w:rPr>
                <w:sz w:val="20"/>
                <w:szCs w:val="20"/>
                <w:color w:val="auto"/>
              </w:rPr>
            </w:pPr>
            <w:r>
              <w:rPr>
                <w:rFonts w:ascii="Arial" w:cs="Arial" w:eastAsia="Arial" w:hAnsi="Arial"/>
                <w:sz w:val="14"/>
                <w:szCs w:val="14"/>
                <w:b w:val="1"/>
                <w:bCs w:val="1"/>
                <w:color w:val="auto"/>
              </w:rPr>
              <w:t>(See Note 4)</w:t>
            </w: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Statements</w:t>
            </w:r>
          </w:p>
        </w:tc>
        <w:tc>
          <w:tcPr>
            <w:tcW w:w="0" w:type="dxa"/>
            <w:vAlign w:val="bottom"/>
          </w:tcPr>
          <w:p>
            <w:pPr>
              <w:spacing w:after="0"/>
              <w:rPr>
                <w:sz w:val="1"/>
                <w:szCs w:val="1"/>
                <w:color w:val="auto"/>
              </w:rPr>
            </w:pPr>
          </w:p>
        </w:tc>
      </w:tr>
      <w:tr>
        <w:trPr>
          <w:trHeight w:val="159"/>
        </w:trPr>
        <w:tc>
          <w:tcPr>
            <w:tcW w:w="3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Statements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44"/>
              <w:spacing w:after="0" w:line="159" w:lineRule="exact"/>
              <w:rPr>
                <w:sz w:val="20"/>
                <w:szCs w:val="20"/>
                <w:color w:val="auto"/>
              </w:rPr>
            </w:pPr>
            <w:r>
              <w:rPr>
                <w:rFonts w:ascii="Arial" w:cs="Arial" w:eastAsia="Arial" w:hAnsi="Arial"/>
                <w:sz w:val="14"/>
                <w:szCs w:val="14"/>
                <w:b w:val="1"/>
                <w:bCs w:val="1"/>
                <w:color w:val="auto"/>
                <w:w w:val="91"/>
              </w:rPr>
              <w:t>(See Note 4)</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4"/>
                <w:szCs w:val="14"/>
                <w:b w:val="1"/>
                <w:bCs w:val="1"/>
                <w:color w:val="auto"/>
                <w:w w:val="97"/>
              </w:rPr>
              <w:t>Short-term</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center"/>
              <w:ind w:right="84"/>
              <w:spacing w:after="0"/>
              <w:rPr>
                <w:sz w:val="20"/>
                <w:szCs w:val="20"/>
                <w:color w:val="auto"/>
              </w:rPr>
            </w:pPr>
            <w:r>
              <w:rPr>
                <w:rFonts w:ascii="Arial" w:cs="Arial" w:eastAsia="Arial" w:hAnsi="Arial"/>
                <w:sz w:val="14"/>
                <w:szCs w:val="14"/>
                <w:b w:val="1"/>
                <w:bCs w:val="1"/>
                <w:color w:val="auto"/>
                <w:w w:val="95"/>
              </w:rPr>
              <w:t>Long-term</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3,415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11,746</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23,900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Transfers from long-term to current portion</w:t>
            </w:r>
          </w:p>
        </w:tc>
        <w:tc>
          <w:tcPr>
            <w:tcW w:w="16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Change in fair value of contingent consideration</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Research and</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208"/>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30,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3,691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11,408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21,800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8"/>
          </w:tcPr>
          <w:p>
            <w:pPr>
              <w:ind w:left="600"/>
              <w:spacing w:after="0"/>
              <w:rPr>
                <w:sz w:val="20"/>
                <w:szCs w:val="20"/>
                <w:color w:val="auto"/>
              </w:rPr>
            </w:pPr>
            <w:r>
              <w:rPr>
                <w:rFonts w:ascii="Arial" w:cs="Arial" w:eastAsia="Arial" w:hAnsi="Arial"/>
                <w:sz w:val="14"/>
                <w:szCs w:val="14"/>
                <w:b w:val="1"/>
                <w:bCs w:val="1"/>
                <w:color w:val="auto"/>
              </w:rPr>
              <w:t>Contingent Consideration Liability Related to Acquisition of:</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280" w:type="dxa"/>
            <w:vAlign w:val="bottom"/>
          </w:tcPr>
          <w:p>
            <w:pPr>
              <w:spacing w:after="0"/>
              <w:rPr>
                <w:sz w:val="12"/>
                <w:szCs w:val="12"/>
                <w:color w:val="auto"/>
              </w:rPr>
            </w:pPr>
          </w:p>
        </w:tc>
        <w:tc>
          <w:tcPr>
            <w:tcW w:w="700" w:type="dxa"/>
            <w:vAlign w:val="bottom"/>
            <w:gridSpan w:val="2"/>
          </w:tcPr>
          <w:p>
            <w:pPr>
              <w:ind w:left="200"/>
              <w:spacing w:after="0" w:line="144" w:lineRule="exact"/>
              <w:rPr>
                <w:sz w:val="20"/>
                <w:szCs w:val="20"/>
                <w:color w:val="auto"/>
              </w:rPr>
            </w:pPr>
            <w:r>
              <w:rPr>
                <w:rFonts w:ascii="Arial" w:cs="Arial" w:eastAsia="Arial" w:hAnsi="Arial"/>
                <w:sz w:val="14"/>
                <w:szCs w:val="14"/>
                <w:b w:val="1"/>
                <w:bCs w:val="1"/>
                <w:color w:val="auto"/>
              </w:rPr>
              <w:t>Arkis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4"/>
              </w:rPr>
              <w:t>Derma Sciences</w:t>
            </w:r>
          </w:p>
        </w:tc>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5"/>
        </w:trPr>
        <w:tc>
          <w:tcPr>
            <w:tcW w:w="340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(See Note 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8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w w:val="92"/>
              </w:rPr>
              <w:t>Short-term</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Long-term</w:t>
            </w:r>
          </w:p>
        </w:tc>
        <w:tc>
          <w:tcPr>
            <w:tcW w:w="29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January 1, 2020</w:t>
            </w:r>
          </w:p>
        </w:tc>
        <w:tc>
          <w:tcPr>
            <w:tcW w:w="1280" w:type="dxa"/>
            <w:vAlign w:val="bottom"/>
            <w:shd w:val="clear" w:color="auto" w:fill="CCEEFF"/>
          </w:tcPr>
          <w:p>
            <w:pPr>
              <w:jc w:val="right"/>
              <w:ind w:right="1105"/>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Transfers from long-term to current portion</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Loss from change in fair value of contingent</w:t>
            </w:r>
          </w:p>
        </w:tc>
        <w:tc>
          <w:tcPr>
            <w:tcW w:w="12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consideration liabilities</w:t>
            </w:r>
          </w:p>
        </w:tc>
        <w:tc>
          <w:tcPr>
            <w:tcW w:w="12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2020</w:t>
            </w:r>
          </w:p>
        </w:tc>
        <w:tc>
          <w:tcPr>
            <w:tcW w:w="1280" w:type="dxa"/>
            <w:vAlign w:val="bottom"/>
            <w:tcBorders>
              <w:top w:val="single" w:sz="8" w:color="auto"/>
              <w:bottom w:val="single" w:sz="8" w:color="auto"/>
            </w:tcBorders>
          </w:tcPr>
          <w:p>
            <w:pPr>
              <w:jc w:val="right"/>
              <w:ind w:right="110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December 31, 2021 and 2020 was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1" w:lineRule="exact"/>
        <w:rPr>
          <w:sz w:val="20"/>
          <w:szCs w:val="20"/>
          <w:color w:val="auto"/>
        </w:rPr>
      </w:pPr>
    </w:p>
    <w:p>
      <w:pPr>
        <w:jc w:val="both"/>
        <w:ind w:left="640" w:hanging="315"/>
        <w:spacing w:after="0" w:line="252"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86"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Tissue Technologies segment includes such offerings as skin and wound repair, plastics &amp; surgical reconstruction products, bone grafts, and nerve and tendon repair products. In conjunction with the sale of the Extremity Orthopedics business, the Company rebranded the Orthopedics and Tissue Technologies segment as Tissue Technologies in the first quarter of 2021.</w:t>
      </w:r>
    </w:p>
    <w:p>
      <w:pPr>
        <w:spacing w:after="0" w:line="81"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2021, 2020 and 2019 are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07"/>
        </w:trPr>
        <w:tc>
          <w:tcPr>
            <w:tcW w:w="66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i w:val="1"/>
                <w:iCs w:val="1"/>
                <w:color w:val="auto"/>
              </w:rPr>
              <w:t>Segment Net Sales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640" w:type="dxa"/>
            <w:vAlign w:val="bottom"/>
          </w:tcPr>
          <w:p>
            <w:pPr>
              <w:ind w:left="34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1,025,232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894,831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996,206</w:t>
            </w:r>
          </w:p>
        </w:tc>
      </w:tr>
      <w:tr>
        <w:trPr>
          <w:trHeight w:val="22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521,351</w:t>
            </w:r>
          </w:p>
        </w:tc>
      </w:tr>
      <w:tr>
        <w:trPr>
          <w:trHeight w:val="218"/>
        </w:trPr>
        <w:tc>
          <w:tcPr>
            <w:tcW w:w="6640" w:type="dxa"/>
            <w:vAlign w:val="bottom"/>
          </w:tcPr>
          <w:p>
            <w:pPr>
              <w:ind w:left="340"/>
              <w:spacing w:after="0" w:line="205" w:lineRule="exact"/>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1,542,448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1,371,868</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1,517,557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66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i w:val="1"/>
                <w:iCs w:val="1"/>
                <w:color w:val="auto"/>
              </w:rPr>
              <w:t>Segment Profit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6640" w:type="dxa"/>
            <w:vAlign w:val="bottom"/>
          </w:tcPr>
          <w:p>
            <w:pPr>
              <w:ind w:left="34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439,471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356,657</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395,019</w:t>
            </w:r>
          </w:p>
        </w:tc>
      </w:tr>
      <w:tr>
        <w:trPr>
          <w:trHeight w:val="226"/>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144,638</w:t>
            </w:r>
          </w:p>
        </w:tc>
      </w:tr>
      <w:tr>
        <w:trPr>
          <w:trHeight w:val="218"/>
        </w:trPr>
        <w:tc>
          <w:tcPr>
            <w:tcW w:w="6640" w:type="dxa"/>
            <w:vAlign w:val="bottom"/>
          </w:tcPr>
          <w:p>
            <w:pPr>
              <w:ind w:left="340"/>
              <w:spacing w:after="0" w:line="205" w:lineRule="exact"/>
              <w:rPr>
                <w:sz w:val="20"/>
                <w:szCs w:val="20"/>
                <w:color w:val="auto"/>
              </w:rPr>
            </w:pPr>
            <w:r>
              <w:rPr>
                <w:rFonts w:ascii="Arial" w:cs="Arial" w:eastAsia="Arial" w:hAnsi="Arial"/>
                <w:sz w:val="18"/>
                <w:szCs w:val="18"/>
                <w:color w:val="auto"/>
              </w:rPr>
              <w:t>Segment profit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516,287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539,657</w:t>
            </w: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(418,869)</w:t>
            </w:r>
          </w:p>
        </w:tc>
      </w:tr>
      <w:tr>
        <w:trPr>
          <w:trHeight w:val="239"/>
        </w:trPr>
        <w:tc>
          <w:tcPr>
            <w:tcW w:w="66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197,230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 The Company attributes revenue to geographic areas based on the location of the customer. Total revenue, net and long-lived assets (tangible) by major geographic area are summarized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 States</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Arial" w:cs="Arial" w:eastAsia="Arial" w:hAnsi="Arial"/>
                <w:sz w:val="14"/>
                <w:szCs w:val="14"/>
                <w:b w:val="1"/>
                <w:bCs w:val="1"/>
                <w:color w:val="auto"/>
              </w:rPr>
              <w:t>Asia Pacific</w:t>
            </w:r>
          </w:p>
        </w:tc>
        <w:tc>
          <w:tcPr>
            <w:tcW w:w="2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the World</w:t>
            </w:r>
          </w:p>
        </w:tc>
        <w:tc>
          <w:tcPr>
            <w:tcW w:w="200" w:type="dxa"/>
            <w:vAlign w:val="bottom"/>
          </w:tcPr>
          <w:p>
            <w:pPr>
              <w:spacing w:after="0"/>
              <w:rPr>
                <w:sz w:val="17"/>
                <w:szCs w:val="17"/>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Consolidated</w:t>
            </w:r>
          </w:p>
        </w:tc>
      </w:tr>
      <w:tr>
        <w:trPr>
          <w:trHeight w:val="206"/>
        </w:trPr>
        <w:tc>
          <w:tcPr>
            <w:tcW w:w="38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 net:</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1,089,526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191,327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182,034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79,561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1,542,448</w:t>
            </w:r>
          </w:p>
        </w:tc>
      </w:tr>
      <w:tr>
        <w:trPr>
          <w:trHeight w:val="226"/>
        </w:trPr>
        <w:tc>
          <w:tcPr>
            <w:tcW w:w="3880" w:type="dxa"/>
            <w:vAlign w:val="bottom"/>
            <w:shd w:val="clear" w:color="auto" w:fill="CCEEFF"/>
          </w:tcPr>
          <w:p>
            <w:pPr>
              <w:jc w:val="right"/>
              <w:ind w:right="3214"/>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157,174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1,371,868</w:t>
            </w: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1,077,379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197,468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157,391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1,517,557</w:t>
            </w: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339,535</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55,026</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412,686</w:t>
            </w:r>
          </w:p>
        </w:tc>
      </w:tr>
      <w:tr>
        <w:trPr>
          <w:trHeight w:val="226"/>
        </w:trPr>
        <w:tc>
          <w:tcPr>
            <w:tcW w:w="3880" w:type="dxa"/>
            <w:vAlign w:val="bottom"/>
            <w:shd w:val="clear" w:color="auto" w:fill="CCEEFF"/>
          </w:tcPr>
          <w:p>
            <w:pPr>
              <w:jc w:val="right"/>
              <w:ind w:right="3214"/>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13,121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382,403</w:t>
            </w:r>
          </w:p>
        </w:tc>
      </w:tr>
    </w:tbl>
    <w:p>
      <w:pPr>
        <w:spacing w:after="0" w:line="120" w:lineRule="exact"/>
        <w:rPr>
          <w:sz w:val="20"/>
          <w:szCs w:val="20"/>
          <w:color w:val="auto"/>
        </w:rPr>
      </w:pPr>
    </w:p>
    <w:p>
      <w:pPr>
        <w:ind w:left="160" w:hanging="154"/>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long-lived assets in Puerto Rico.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100" w:type="dxa"/>
            <w:vAlign w:val="bottom"/>
          </w:tcPr>
          <w:p>
            <w:pPr>
              <w:jc w:val="center"/>
              <w:ind w:right="297"/>
              <w:spacing w:after="0"/>
              <w:rPr>
                <w:sz w:val="20"/>
                <w:szCs w:val="20"/>
                <w:color w:val="auto"/>
              </w:rPr>
            </w:pPr>
            <w:r>
              <w:rPr>
                <w:rFonts w:ascii="Arial" w:cs="Arial" w:eastAsia="Arial" w:hAnsi="Arial"/>
                <w:sz w:val="14"/>
                <w:szCs w:val="14"/>
                <w:b w:val="1"/>
                <w:bCs w:val="1"/>
                <w:color w:val="auto"/>
                <w:w w:val="91"/>
              </w:rPr>
              <w:t>Charged to</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4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8"/>
              </w:rPr>
              <w:t>Beginning of</w:t>
            </w:r>
          </w:p>
        </w:tc>
        <w:tc>
          <w:tcPr>
            <w:tcW w:w="220" w:type="dxa"/>
            <w:vAlign w:val="bottom"/>
          </w:tcPr>
          <w:p>
            <w:pPr>
              <w:spacing w:after="0"/>
              <w:rPr>
                <w:sz w:val="11"/>
                <w:szCs w:val="11"/>
                <w:color w:val="auto"/>
              </w:rPr>
            </w:pPr>
          </w:p>
        </w:tc>
        <w:tc>
          <w:tcPr>
            <w:tcW w:w="1100" w:type="dxa"/>
            <w:vAlign w:val="bottom"/>
          </w:tcPr>
          <w:p>
            <w:pPr>
              <w:jc w:val="center"/>
              <w:ind w:right="317"/>
              <w:spacing w:after="0" w:line="133" w:lineRule="exact"/>
              <w:rPr>
                <w:sz w:val="20"/>
                <w:szCs w:val="20"/>
                <w:color w:val="auto"/>
              </w:rPr>
            </w:pPr>
            <w:r>
              <w:rPr>
                <w:rFonts w:ascii="Arial" w:cs="Arial" w:eastAsia="Arial" w:hAnsi="Arial"/>
                <w:sz w:val="14"/>
                <w:szCs w:val="14"/>
                <w:b w:val="1"/>
                <w:bCs w:val="1"/>
                <w:color w:val="auto"/>
                <w:w w:val="85"/>
              </w:rPr>
              <w:t>Costs and</w:t>
            </w:r>
          </w:p>
        </w:tc>
        <w:tc>
          <w:tcPr>
            <w:tcW w:w="3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Deductions</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7"/>
              <w:spacing w:after="0" w:line="146" w:lineRule="exact"/>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2"/>
                <w:szCs w:val="12"/>
                <w:color w:val="auto"/>
              </w:rPr>
            </w:pPr>
          </w:p>
        </w:tc>
        <w:tc>
          <w:tcPr>
            <w:tcW w:w="1100" w:type="dxa"/>
            <w:vAlign w:val="bottom"/>
          </w:tcPr>
          <w:p>
            <w:pPr>
              <w:jc w:val="center"/>
              <w:ind w:right="297"/>
              <w:spacing w:after="0" w:line="146" w:lineRule="exact"/>
              <w:rPr>
                <w:sz w:val="20"/>
                <w:szCs w:val="20"/>
                <w:color w:val="auto"/>
              </w:rPr>
            </w:pPr>
            <w:r>
              <w:rPr>
                <w:rFonts w:ascii="Arial" w:cs="Arial" w:eastAsia="Arial" w:hAnsi="Arial"/>
                <w:sz w:val="14"/>
                <w:szCs w:val="14"/>
                <w:b w:val="1"/>
                <w:bCs w:val="1"/>
                <w:color w:val="auto"/>
                <w:w w:val="85"/>
              </w:rPr>
              <w:t>Expenses</w:t>
            </w: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34"/>
              <w:spacing w:after="0" w:line="146" w:lineRule="exact"/>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2021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6,439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line="226" w:lineRule="exact"/>
              <w:rPr>
                <w:sz w:val="20"/>
                <w:szCs w:val="20"/>
                <w:color w:val="auto"/>
              </w:rPr>
            </w:pPr>
            <w:r>
              <w:rPr>
                <w:rFonts w:ascii="Arial" w:cs="Arial" w:eastAsia="Arial" w:hAnsi="Arial"/>
                <w:sz w:val="18"/>
                <w:szCs w:val="18"/>
                <w:color w:val="auto"/>
              </w:rPr>
              <w:t xml:space="preserve">(1,059) </w:t>
            </w:r>
            <w:r>
              <w:rPr>
                <w:rFonts w:ascii="Arial" w:cs="Arial" w:eastAsia="Arial" w:hAnsi="Arial"/>
                <w:sz w:val="21"/>
                <w:szCs w:val="21"/>
                <w:b w:val="1"/>
                <w:bCs w:val="1"/>
                <w:color w:val="auto"/>
                <w:vertAlign w:val="superscript"/>
              </w:rPr>
              <w:t>(4)</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jc w:val="right"/>
              <w:ind w:right="47"/>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226" w:lineRule="exact"/>
              <w:rPr>
                <w:sz w:val="20"/>
                <w:szCs w:val="20"/>
                <w:color w:val="auto"/>
              </w:rPr>
            </w:pPr>
            <w:r>
              <w:rPr>
                <w:rFonts w:ascii="Arial" w:cs="Arial" w:eastAsia="Arial" w:hAnsi="Arial"/>
                <w:sz w:val="18"/>
                <w:szCs w:val="18"/>
                <w:color w:val="auto"/>
              </w:rPr>
              <w:t xml:space="preserve">(986) </w:t>
            </w:r>
            <w:r>
              <w:rPr>
                <w:rFonts w:ascii="Arial" w:cs="Arial" w:eastAsia="Arial" w:hAnsi="Arial"/>
                <w:sz w:val="21"/>
                <w:szCs w:val="21"/>
                <w:b w:val="1"/>
                <w:bCs w:val="1"/>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13,825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1,444</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6"/>
                <w:szCs w:val="16"/>
                <w:color w:val="auto"/>
              </w:rPr>
              <w:t>Year ended December 31,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228" w:lineRule="exact"/>
              <w:rPr>
                <w:sz w:val="20"/>
                <w:szCs w:val="20"/>
                <w:color w:val="auto"/>
              </w:rPr>
            </w:pPr>
            <w:r>
              <w:rPr>
                <w:rFonts w:ascii="Arial" w:cs="Arial" w:eastAsia="Arial" w:hAnsi="Arial"/>
                <w:sz w:val="18"/>
                <w:szCs w:val="18"/>
                <w:color w:val="auto"/>
              </w:rPr>
              <w:t xml:space="preserve">(1,499) </w:t>
            </w:r>
            <w:r>
              <w:rPr>
                <w:rFonts w:ascii="Arial" w:cs="Arial" w:eastAsia="Arial" w:hAnsi="Arial"/>
                <w:sz w:val="21"/>
                <w:szCs w:val="21"/>
                <w:b w:val="1"/>
                <w:bCs w:val="1"/>
                <w:color w:val="auto"/>
                <w:vertAlign w:val="superscript"/>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12,069</w:t>
            </w:r>
          </w:p>
        </w:tc>
        <w:tc>
          <w:tcPr>
            <w:tcW w:w="220" w:type="dxa"/>
            <w:vAlign w:val="bottom"/>
          </w:tcPr>
          <w:p>
            <w:pPr>
              <w:spacing w:after="0"/>
              <w:rPr>
                <w:sz w:val="19"/>
                <w:szCs w:val="19"/>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1,617</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3,719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2,126</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226" w:lineRule="exact"/>
              <w:rPr>
                <w:sz w:val="20"/>
                <w:szCs w:val="20"/>
                <w:color w:val="auto"/>
              </w:rPr>
            </w:pPr>
            <w:r>
              <w:rPr>
                <w:rFonts w:ascii="Arial" w:cs="Arial" w:eastAsia="Arial" w:hAnsi="Arial"/>
                <w:sz w:val="18"/>
                <w:szCs w:val="18"/>
                <w:color w:val="auto"/>
              </w:rPr>
              <w:t xml:space="preserve">(1,542) </w:t>
            </w:r>
            <w:r>
              <w:rPr>
                <w:rFonts w:ascii="Arial" w:cs="Arial" w:eastAsia="Arial" w:hAnsi="Arial"/>
                <w:sz w:val="21"/>
                <w:szCs w:val="21"/>
                <w:b w:val="1"/>
                <w:bCs w:val="1"/>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6,973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3,848</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CCEEFF"/>
          </w:tcPr>
          <w:p>
            <w:pPr>
              <w:jc w:val="right"/>
              <w:ind w:right="47"/>
              <w:spacing w:after="0"/>
              <w:rPr>
                <w:sz w:val="20"/>
                <w:szCs w:val="20"/>
                <w:color w:val="auto"/>
              </w:rPr>
            </w:pPr>
            <w:r>
              <w:rPr>
                <w:rFonts w:ascii="Arial" w:cs="Arial" w:eastAsia="Arial" w:hAnsi="Arial"/>
                <w:sz w:val="11"/>
                <w:szCs w:val="11"/>
                <w:b w:val="1"/>
                <w:bCs w:val="1"/>
                <w:color w:val="auto"/>
              </w:rPr>
              <w:t>(2)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Deductions primarily relates to allowance for doubtful accounts written off during the year, net of recoveries and other adjustments.</w:t>
      </w:r>
    </w:p>
    <w:p>
      <w:pPr>
        <w:spacing w:after="0" w:line="2" w:lineRule="exact"/>
        <w:rPr>
          <w:rFonts w:ascii="Arial" w:cs="Arial" w:eastAsia="Arial" w:hAnsi="Arial"/>
          <w:sz w:val="23"/>
          <w:szCs w:val="23"/>
          <w:color w:val="auto"/>
          <w:vertAlign w:val="superscript"/>
        </w:rPr>
      </w:pPr>
    </w:p>
    <w:p>
      <w:pPr>
        <w:ind w:left="320" w:hanging="314"/>
        <w:spacing w:after="0" w:line="214" w:lineRule="auto"/>
        <w:tabs>
          <w:tab w:leader="none" w:pos="30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above amount primarily relates to amounts acquired through the acquisition of Arkis and a charge recorded in 2019 to valuation allowance related to the non-deductibility of executive compensation.</w:t>
      </w:r>
    </w:p>
    <w:p>
      <w:pPr>
        <w:spacing w:after="0" w:line="1" w:lineRule="exact"/>
        <w:rPr>
          <w:rFonts w:ascii="Arial" w:cs="Arial" w:eastAsia="Arial" w:hAnsi="Arial"/>
          <w:sz w:val="23"/>
          <w:szCs w:val="23"/>
          <w:color w:val="auto"/>
          <w:vertAlign w:val="superscript"/>
        </w:rPr>
      </w:pPr>
    </w:p>
    <w:p>
      <w:pPr>
        <w:ind w:left="320" w:hanging="314"/>
        <w:spacing w:after="0" w:line="192"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above amount primarily relates to amounts acquired through the acquisition of ACell.</w:t>
      </w:r>
    </w:p>
    <w:p>
      <w:pPr>
        <w:spacing w:after="0" w:line="3" w:lineRule="exact"/>
        <w:rPr>
          <w:rFonts w:ascii="Arial" w:cs="Arial" w:eastAsia="Arial" w:hAnsi="Arial"/>
          <w:sz w:val="23"/>
          <w:szCs w:val="23"/>
          <w:color w:val="auto"/>
          <w:vertAlign w:val="superscript"/>
        </w:rPr>
      </w:pPr>
    </w:p>
    <w:p>
      <w:pPr>
        <w:ind w:left="320" w:hanging="314"/>
        <w:spacing w:after="0" w:line="214" w:lineRule="auto"/>
        <w:tabs>
          <w:tab w:leader="none" w:pos="30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Deduction primarily relates to a decrease to the allowance for doubtful accounts as a result of collections in the period and accounts written off during the year, net of recoveries.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color w:val="auto"/>
        </w:rPr>
        <w:t>Exhibit 4.4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Common Stock Registered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and its amended and restated by-laws, each of which are filed as exhibits to this Annual Report on Form 10-K, and to the provisions of the Delaware General Corporation Law (“DGCL”).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Company’s authorized capital stock consists of 255,000,000 shares of stock, of which 240,000,000 shares are designated as common stock, par value</w:t>
      </w:r>
    </w:p>
    <w:p>
      <w:pPr>
        <w:spacing w:after="0" w:line="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$0.01 per share, and 15,000,000 shares are designated as preferred stock, no par value. As of December 31, 2021, we had 89,599,803 shares of common stock outstanding, 4,898,914 shares were designated as treasury stock, and no shares of preferred stock outstanding.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38"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4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5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“IART”.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Company’s Board of Directors has the authority to issue up to 15,000,000 shares of Preferred Stock from time to time in one or more series and with such rights and preferences as determined by the Board with respect to each series. The issuance of</w:t>
      </w:r>
    </w:p>
    <w:p>
      <w:pPr>
        <w:sectPr>
          <w:pgSz w:w="11900" w:h="16838" w:orient="portrait"/>
          <w:cols w:equalWidth="0" w:num="1">
            <w:col w:w="11240"/>
          </w:cols>
          <w:pgMar w:left="320" w:top="1119" w:right="339" w:bottom="1440" w:gutter="0" w:footer="0" w:header="0"/>
        </w:sectPr>
      </w:pPr>
    </w:p>
    <w:bookmarkStart w:id="110" w:name="page111"/>
    <w:bookmarkEnd w:id="110"/>
    <w:p>
      <w:pPr>
        <w:ind w:right="120"/>
        <w:spacing w:after="0" w:line="265" w:lineRule="auto"/>
        <w:rPr>
          <w:sz w:val="20"/>
          <w:szCs w:val="20"/>
          <w:color w:val="auto"/>
        </w:rPr>
      </w:pPr>
      <w:r>
        <w:rPr>
          <w:rFonts w:ascii="Arial" w:cs="Arial" w:eastAsia="Arial" w:hAnsi="Arial"/>
          <w:sz w:val="18"/>
          <w:szCs w:val="18"/>
          <w:color w:val="auto"/>
        </w:rPr>
        <w:t>preferred stock could have the effect of decreasing the market price of our common stock and could adversely affect the voting and other rights of holders of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144" w:lineRule="exact"/>
        <w:rPr>
          <w:sz w:val="20"/>
          <w:szCs w:val="20"/>
          <w:color w:val="auto"/>
        </w:rPr>
      </w:pPr>
    </w:p>
    <w:p>
      <w:pPr>
        <w:ind w:right="420"/>
        <w:spacing w:after="0" w:line="303" w:lineRule="auto"/>
        <w:rPr>
          <w:sz w:val="20"/>
          <w:szCs w:val="20"/>
          <w:color w:val="auto"/>
        </w:rPr>
      </w:pPr>
      <w:r>
        <w:rPr>
          <w:rFonts w:ascii="Arial" w:cs="Arial" w:eastAsia="Arial" w:hAnsi="Arial"/>
          <w:sz w:val="15"/>
          <w:szCs w:val="15"/>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spacing w:after="0" w:line="1" w:lineRule="exact"/>
        <w:rPr>
          <w:sz w:val="20"/>
          <w:szCs w:val="20"/>
          <w:color w:val="auto"/>
        </w:rPr>
      </w:pPr>
    </w:p>
    <w:p>
      <w:pPr>
        <w:ind w:left="640" w:hanging="315"/>
        <w:spacing w:after="0" w:line="246"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jc w:val="both"/>
        <w:ind w:left="640" w:hanging="315"/>
        <w:spacing w:after="0" w:line="246"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 w:lineRule="exact"/>
        <w:rPr>
          <w:rFonts w:ascii="Arial" w:cs="Arial" w:eastAsia="Arial" w:hAnsi="Arial"/>
          <w:sz w:val="18"/>
          <w:szCs w:val="18"/>
          <w:color w:val="auto"/>
        </w:rPr>
      </w:pPr>
    </w:p>
    <w:p>
      <w:pPr>
        <w:ind w:left="640" w:right="460" w:hanging="315"/>
        <w:spacing w:after="0" w:line="249"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7" w:lineRule="exact"/>
        <w:rPr>
          <w:sz w:val="20"/>
          <w:szCs w:val="20"/>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5" w:lineRule="exact"/>
        <w:rPr>
          <w:rFonts w:ascii="Arial" w:cs="Arial" w:eastAsia="Arial" w:hAnsi="Arial"/>
          <w:sz w:val="18"/>
          <w:szCs w:val="18"/>
          <w:color w:val="auto"/>
        </w:rPr>
      </w:pPr>
    </w:p>
    <w:p>
      <w:pPr>
        <w:ind w:left="640" w:right="460" w:hanging="315"/>
        <w:spacing w:after="0" w:line="246"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ind w:left="640" w:right="20" w:hanging="315"/>
        <w:spacing w:after="0" w:line="246"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ind w:left="640" w:right="100" w:hanging="315"/>
        <w:spacing w:after="0" w:line="25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18" w:lineRule="exact"/>
        <w:rPr>
          <w:sz w:val="20"/>
          <w:szCs w:val="20"/>
          <w:color w:val="auto"/>
        </w:rPr>
      </w:pPr>
    </w:p>
    <w:p>
      <w:pPr>
        <w:ind w:right="500" w:firstLine="27"/>
        <w:spacing w:after="0" w:line="265"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ectPr>
          <w:pgSz w:w="11900" w:h="16838" w:orient="portrait"/>
          <w:cols w:equalWidth="0" w:num="1">
            <w:col w:w="11220"/>
          </w:cols>
          <w:pgMar w:left="320" w:top="990" w:right="3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440" w:type="dxa"/>
            <w:vAlign w:val="bottom"/>
            <w:gridSpan w:val="3"/>
          </w:tcPr>
          <w:p>
            <w:pPr>
              <w:ind w:left="3000"/>
              <w:spacing w:after="0"/>
              <w:rPr>
                <w:sz w:val="20"/>
                <w:szCs w:val="20"/>
                <w:color w:val="auto"/>
              </w:rPr>
            </w:pPr>
            <w:r>
              <w:rPr>
                <w:rFonts w:ascii="Arial" w:cs="Arial" w:eastAsia="Arial" w:hAnsi="Arial"/>
                <w:sz w:val="18"/>
                <w:szCs w:val="18"/>
                <w:b w:val="1"/>
                <w:bCs w:val="1"/>
                <w:color w:val="auto"/>
              </w:rPr>
              <w:t>Subsidiaries of Integra LifeSciences Holdings Corporation</w:t>
            </w:r>
          </w:p>
        </w:tc>
      </w:tr>
      <w:tr>
        <w:trPr>
          <w:trHeight w:val="240"/>
        </w:trPr>
        <w:tc>
          <w:tcPr>
            <w:tcW w:w="5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r>
      <w:tr>
        <w:trPr>
          <w:trHeight w:val="160"/>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Name of Subsidiary</w:t>
            </w:r>
          </w:p>
        </w:tc>
        <w:tc>
          <w:tcPr>
            <w:tcW w:w="300" w:type="dxa"/>
            <w:vAlign w:val="bottom"/>
            <w:tcBorders>
              <w:bottom w:val="single" w:sz="8" w:color="auto"/>
              <w:right w:val="single" w:sz="8" w:color="auto"/>
            </w:tcBorders>
          </w:tcPr>
          <w:p>
            <w:pPr>
              <w:spacing w:after="0"/>
              <w:rPr>
                <w:sz w:val="13"/>
                <w:szCs w:val="13"/>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State or Country of Incorporation or Organization</w:t>
            </w:r>
          </w:p>
        </w:tc>
      </w:tr>
      <w:tr>
        <w:trPr>
          <w:trHeight w:val="165"/>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ACell,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Arkis Biosciences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Ascension Orthopedics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BIMECO,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Florida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BioD,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BioDlogics,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BioRecovery,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CardioDyne,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Massachusetts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Cathtec Incorporated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Massachusetts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Caveangle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Confluent Surgical,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Derma First Aid Products,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Pennsylvania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Derma Sciences Canada,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Canada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Derma Sciences Europe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Derma Sciences,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EndoSolutions,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Fiber Imaging Technologies,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Massachusetts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GMS, Gesellschaft für medizinische Sondentechnik 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Germany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ILS Financing (Ireland)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Ireland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ILS Financing Corporation</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ILS Services Switzerland Ltd.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Switzerland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ILS Surgical Investments,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INS Sweden AB</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Sweden</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Burlington MA, Inc. (formerly known as Integra Radionics,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Canada ULC (formerly known as Canada Microsurgical ULC)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Canada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CI,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Cayman Islands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Euro Holdings,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France Holdings SAS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France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German Holdings GmbH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Germany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GmbH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Germany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Japan K.K.</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Japan</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(Canada) Holdings,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(Ireland)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Ireland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(Shanghai) Co., Ltd.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China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Austria GmbH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Austria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Brazil Ltda.</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Brazil</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Corporation</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Enterprises, LLLP</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Financing (Cyprus)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Cyprus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Italy S.r.l.</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Italy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Middle East FZ-LLC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Dubai</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Production Corporation</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Sales LLC (f/k/a Integra Healthcare Products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Services (France) SAS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France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Shared Services (Ireland)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Ireland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Singapore Pte. Ltd.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Singapore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Spain, S.L.</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Spain</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LifeSciences Switzerland Sárl</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Switzerland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LS (Benelux) NV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Belgium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LS Mexico, S. DE R. L. DE C.V.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Mexico</w:t>
            </w:r>
          </w:p>
        </w:tc>
      </w:tr>
    </w:tbl>
    <w:p>
      <w:pPr>
        <w:sectPr>
          <w:pgSz w:w="11900" w:h="16838" w:orient="portrait"/>
          <w:cols w:equalWidth="0" w:num="1">
            <w:col w:w="10820"/>
          </w:cols>
          <w:pgMar w:left="740" w:top="878" w:right="339" w:bottom="144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Luxtec, Inc.</w:t>
            </w:r>
          </w:p>
        </w:tc>
        <w:tc>
          <w:tcPr>
            <w:tcW w:w="300" w:type="dxa"/>
            <w:vAlign w:val="bottom"/>
            <w:tcBorders>
              <w:top w:val="single" w:sz="8" w:color="auto"/>
              <w:bottom w:val="single" w:sz="8" w:color="auto"/>
              <w:right w:val="single" w:sz="8" w:color="auto"/>
            </w:tcBorders>
          </w:tcPr>
          <w:p>
            <w:pPr>
              <w:spacing w:after="0"/>
              <w:rPr>
                <w:sz w:val="15"/>
                <w:szCs w:val="15"/>
                <w:color w:val="auto"/>
              </w:rPr>
            </w:pPr>
          </w:p>
        </w:tc>
        <w:tc>
          <w:tcPr>
            <w:tcW w:w="4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Massachusetts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ME GmbH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Germany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MicroFrance SAS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France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(International),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Holdings (UK)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Holdings B.V.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Netherlands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Implants (France) SAS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France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Pty Ltd. (AUS)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Australia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Neurosciences Pty Ltd. (NZ)</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Zealand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Receivables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Sales,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Selector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Switzerland Holdings Sarl</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Switzerland</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Integra York PA, Inc. (formerly known as Miltex,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IsoTis NV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Netherlands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IsoTis T.E. Facility B.V.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Netherlands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J. Jamner Surgical Instruments,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Jarit GmbH</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Germany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LXU Healthcare, Inc. - Medical Specialty Products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MedEfficiency,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Minnesota Scientific,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Minnesota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Nantong Derma Medical Products Co., Ltd.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China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Newdeal SAS</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France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Newdeal,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Texas</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Precise Dental Holding Corp.</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Jersey</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Precise Dental Internacional, S.A. de C.V.</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Mexico</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Precise Dental Products, Ltd.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California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Precision Dental International,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California</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Rebound Therapeutics Corporation</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Spembly Cryosurgery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Spembly Medical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Tarsus Medical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TEI Biosciences (UK) Limited</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United Kingdom</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TEI Biosciences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TEI Medical Inc.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r>
        <w:trPr>
          <w:trHeight w:val="16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TGX Medical Systems, LLC</w:t>
            </w:r>
          </w:p>
        </w:tc>
        <w:tc>
          <w:tcPr>
            <w:tcW w:w="30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Delaware</w:t>
            </w:r>
          </w:p>
        </w:tc>
      </w:tr>
    </w:tbl>
    <w:p>
      <w:pPr>
        <w:sectPr>
          <w:pgSz w:w="11900" w:h="16838" w:orient="portrait"/>
          <w:cols w:equalWidth="0" w:num="1">
            <w:col w:w="10420"/>
          </w:cols>
          <w:pgMar w:left="740" w:top="903" w:right="739" w:bottom="1440" w:gutter="0" w:footer="0" w:header="0"/>
        </w:sectPr>
      </w:pPr>
    </w:p>
    <w:bookmarkStart w:id="113" w:name="page114"/>
    <w:bookmarkEnd w:id="113"/>
    <w:p>
      <w:pPr>
        <w:ind w:left="23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333-231709, 333-221210, 333-216212, 333-170210, 333-155263, 333-127488, 333-109042, 333-73512, 333-46024, 333-82233, 333-58235, 333-06577, and 333-261744) of Integra LifeSciences Holdings</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Corporation of our report dated February 24, 2022 relating to the financial statements, financial statement schedule and the effectiveness of internal control over financial reporting, which appears in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040"/>
          </w:cols>
          <w:pgMar w:left="320" w:top="1011" w:right="5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Jan De Witte, certify that:</w:t>
      </w:r>
    </w:p>
    <w:p>
      <w:pPr>
        <w:spacing w:after="0" w:line="112" w:lineRule="exact"/>
        <w:rPr>
          <w:sz w:val="20"/>
          <w:szCs w:val="20"/>
          <w:color w:val="auto"/>
        </w:rPr>
      </w:pPr>
    </w:p>
    <w:p>
      <w:pPr>
        <w:ind w:left="640" w:hanging="315"/>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1"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640" w:hanging="315"/>
        <w:spacing w:after="0" w:line="295"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280" w:hanging="318"/>
        <w:spacing w:after="0" w:line="366" w:lineRule="auto"/>
        <w:tabs>
          <w:tab w:leader="none" w:pos="1277"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jc w:val="both"/>
        <w:ind w:left="1280" w:hanging="318"/>
        <w:spacing w:after="0" w:line="256"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640" w:hanging="315"/>
        <w:spacing w:after="0" w:line="295" w:lineRule="auto"/>
        <w:tabs>
          <w:tab w:leader="none" w:pos="69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280" w:hanging="318"/>
        <w:spacing w:after="0" w:line="295" w:lineRule="auto"/>
        <w:tabs>
          <w:tab w:leader="none" w:pos="127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280" w:hanging="318"/>
        <w:spacing w:after="0" w:line="265"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Date:   February 24, 2022</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De Witte</w:t>
            </w:r>
          </w:p>
        </w:tc>
      </w:tr>
      <w:tr>
        <w:trPr>
          <w:trHeight w:val="218"/>
        </w:trPr>
        <w:tc>
          <w:tcPr>
            <w:tcW w:w="5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Jan De Witte</w:t>
            </w:r>
          </w:p>
        </w:tc>
      </w:tr>
      <w:tr>
        <w:trPr>
          <w:trHeight w:val="226"/>
        </w:trPr>
        <w:tc>
          <w:tcPr>
            <w:tcW w:w="5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7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2" w:lineRule="exact"/>
        <w:rPr>
          <w:sz w:val="20"/>
          <w:szCs w:val="20"/>
          <w:color w:val="auto"/>
        </w:rPr>
      </w:pPr>
    </w:p>
    <w:p>
      <w:pPr>
        <w:ind w:left="640" w:hanging="315"/>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1"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640" w:hanging="315"/>
        <w:spacing w:after="0" w:line="295"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280" w:hanging="318"/>
        <w:spacing w:after="0" w:line="366" w:lineRule="auto"/>
        <w:tabs>
          <w:tab w:leader="none" w:pos="1277"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jc w:val="both"/>
        <w:ind w:left="1280" w:hanging="318"/>
        <w:spacing w:after="0" w:line="256" w:lineRule="auto"/>
        <w:tabs>
          <w:tab w:leader="none" w:pos="12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640" w:hanging="315"/>
        <w:spacing w:after="0" w:line="295" w:lineRule="auto"/>
        <w:tabs>
          <w:tab w:leader="none" w:pos="6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280" w:hanging="318"/>
        <w:spacing w:after="0" w:line="295" w:lineRule="auto"/>
        <w:tabs>
          <w:tab w:leader="none" w:pos="127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280" w:hanging="318"/>
        <w:spacing w:after="0" w:line="265" w:lineRule="auto"/>
        <w:tabs>
          <w:tab w:leader="none" w:pos="12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24, 2022</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L. Anderson</w:t>
            </w:r>
          </w:p>
        </w:tc>
      </w:tr>
      <w:tr>
        <w:trPr>
          <w:trHeight w:val="218"/>
        </w:trPr>
        <w:tc>
          <w:tcPr>
            <w:tcW w:w="5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Carrie L. Anderson</w:t>
            </w:r>
          </w:p>
        </w:tc>
      </w:tr>
      <w:tr>
        <w:trPr>
          <w:trHeight w:val="226"/>
        </w:trPr>
        <w:tc>
          <w:tcPr>
            <w:tcW w:w="5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87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I, Jan De Witte, President and Chief Executive Officer of Integra LifeSciences Holdings Corporation (the “Company”), hereby certify that, to my knowledge:</w:t>
      </w:r>
    </w:p>
    <w:p>
      <w:pPr>
        <w:spacing w:after="0" w:line="146" w:lineRule="exact"/>
        <w:rPr>
          <w:sz w:val="20"/>
          <w:szCs w:val="20"/>
          <w:color w:val="auto"/>
        </w:rPr>
      </w:pPr>
    </w:p>
    <w:p>
      <w:pPr>
        <w:ind w:left="640" w:hanging="315"/>
        <w:spacing w:after="0" w:line="26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 of Section 13(a) or Section 15(d), as applicable, of the Securities Exchange Act of 1934, as amended; and</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Date:   February 24, 2022</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De Witte</w:t>
            </w:r>
          </w:p>
        </w:tc>
      </w:tr>
      <w:tr>
        <w:trPr>
          <w:trHeight w:val="218"/>
        </w:trPr>
        <w:tc>
          <w:tcPr>
            <w:tcW w:w="54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Jan De Witte</w:t>
            </w:r>
          </w:p>
        </w:tc>
      </w:tr>
      <w:tr>
        <w:trPr>
          <w:trHeight w:val="226"/>
        </w:trPr>
        <w:tc>
          <w:tcPr>
            <w:tcW w:w="54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7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I, Carrie L. Anderson, Executive Vice President and Chief Financial Officer of Integra LifeSciences Holdings Corporation (the “Company”), hereby certify that, to my knowledge:</w:t>
      </w:r>
    </w:p>
    <w:p>
      <w:pPr>
        <w:spacing w:after="0" w:line="74" w:lineRule="exact"/>
        <w:rPr>
          <w:sz w:val="20"/>
          <w:szCs w:val="20"/>
          <w:color w:val="auto"/>
        </w:rPr>
      </w:pPr>
    </w:p>
    <w:p>
      <w:pPr>
        <w:ind w:left="640" w:hanging="315"/>
        <w:spacing w:after="0" w:line="26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 of Section 13(a) or Section 15(d), as applicable, of the Securities Exchange Act of 1934, as amended; and</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24, 2022</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18"/>
        </w:trPr>
        <w:tc>
          <w:tcPr>
            <w:tcW w:w="53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26"/>
        </w:trPr>
        <w:tc>
          <w:tcPr>
            <w:tcW w:w="53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amp;"/>
      <w:numFmt w:val="bullet"/>
      <w:start w:val="1"/>
    </w:lvl>
  </w:abstractNum>
  <w:abstractNum w:abstractNumId="3">
    <w:nsid w:val="62BBD95A"/>
    <w:multiLevelType w:val="hybridMultilevel"/>
    <w:lvl w:ilvl="0">
      <w:lvlJc w:val="left"/>
      <w:lvlText w:val="•"/>
      <w:numFmt w:val="bullet"/>
      <w:start w:val="1"/>
    </w:lvl>
    <w:lvl w:ilvl="1">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amp;"/>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1"/>
    </w:lvl>
    <w:lvl w:ilvl="1">
      <w:lvlJc w:val="left"/>
      <w:lvlText w:val="(%2)"/>
      <w:numFmt w:val="lowerRoman"/>
      <w:start w:val="1"/>
    </w:lvl>
  </w:abstractNum>
  <w:abstractNum w:abstractNumId="21">
    <w:nsid w:val="2901D82"/>
    <w:multiLevelType w:val="hybridMultilevel"/>
    <w:lvl w:ilvl="0">
      <w:lvlJc w:val="left"/>
      <w:lvlText w:val="(%1)"/>
      <w:numFmt w:val="lowerRoman"/>
      <w:start w:val="2"/>
    </w:lvl>
    <w:lvl w:ilvl="1">
      <w:lvlJc w:val="left"/>
      <w:lvlText w:val="%2"/>
      <w:numFmt w:val="lowerRoman"/>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Roman"/>
      <w:start w:val="1"/>
    </w:lvl>
    <w:lvl w:ilvl="1">
      <w:lvlJc w:val="left"/>
      <w:lvlText w:val="%2."/>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84" Type="http://schemas.openxmlformats.org/officeDocument/2006/relationships/image" Target="media/image53.png"/><Relationship Id="rId103" Type="http://schemas.openxmlformats.org/officeDocument/2006/relationships/image" Target="media/image54.png"/><Relationship Id="rId120" Type="http://schemas.openxmlformats.org/officeDocument/2006/relationships/image" Target="media/image55.png"/><Relationship Id="rId142" Type="http://schemas.openxmlformats.org/officeDocument/2006/relationships/image" Target="media/image56.png"/><Relationship Id="rId159" Type="http://schemas.openxmlformats.org/officeDocument/2006/relationships/image" Target="media/image57.png"/><Relationship Id="rId171" Type="http://schemas.openxmlformats.org/officeDocument/2006/relationships/image" Target="media/image58.png"/><Relationship Id="rId184" Type="http://schemas.openxmlformats.org/officeDocument/2006/relationships/image" Target="media/image59.png"/><Relationship Id="rId185" Type="http://schemas.openxmlformats.org/officeDocument/2006/relationships/image" Target="media/image60.png"/><Relationship Id="rId191" Type="http://schemas.openxmlformats.org/officeDocument/2006/relationships/image" Target="media/image61.png"/><Relationship Id="rId192" Type="http://schemas.openxmlformats.org/officeDocument/2006/relationships/image" Target="media/image62.png"/><Relationship Id="rId193" Type="http://schemas.openxmlformats.org/officeDocument/2006/relationships/image" Target="media/image63.png"/><Relationship Id="rId194" Type="http://schemas.openxmlformats.org/officeDocument/2006/relationships/image" Target="media/image64.png"/><Relationship Id="rId195" Type="http://schemas.openxmlformats.org/officeDocument/2006/relationships/image" Target="media/image65.png"/><Relationship Id="rId196" Type="http://schemas.openxmlformats.org/officeDocument/2006/relationships/image" Target="media/image66.png"/><Relationship Id="rId197" Type="http://schemas.openxmlformats.org/officeDocument/2006/relationships/image" Target="media/image67.png"/><Relationship Id="rId198" Type="http://schemas.openxmlformats.org/officeDocument/2006/relationships/image" Target="media/image68.png"/><Relationship Id="rId199" Type="http://schemas.openxmlformats.org/officeDocument/2006/relationships/image" Target="media/image69.png"/><Relationship Id="rId200" Type="http://schemas.openxmlformats.org/officeDocument/2006/relationships/image" Target="media/image70.png"/><Relationship Id="rId201" Type="http://schemas.openxmlformats.org/officeDocument/2006/relationships/image" Target="media/image71.png"/><Relationship Id="rId202" Type="http://schemas.openxmlformats.org/officeDocument/2006/relationships/image" Target="media/image72.png"/><Relationship Id="rId203" Type="http://schemas.openxmlformats.org/officeDocument/2006/relationships/image" Target="media/image73.png"/><Relationship Id="rId204" Type="http://schemas.openxmlformats.org/officeDocument/2006/relationships/image" Target="media/image74.png"/><Relationship Id="rId205" Type="http://schemas.openxmlformats.org/officeDocument/2006/relationships/image" Target="media/image75.png"/><Relationship Id="rId206" Type="http://schemas.openxmlformats.org/officeDocument/2006/relationships/image" Target="media/image76.png"/><Relationship Id="rId207" Type="http://schemas.openxmlformats.org/officeDocument/2006/relationships/image" Target="media/image77.png"/><Relationship Id="rId208" Type="http://schemas.openxmlformats.org/officeDocument/2006/relationships/image" Target="media/image78.png"/><Relationship Id="rId209" Type="http://schemas.openxmlformats.org/officeDocument/2006/relationships/image" Target="media/image79.png"/><Relationship Id="rId210" Type="http://schemas.openxmlformats.org/officeDocument/2006/relationships/image" Target="media/image80.png"/><Relationship Id="rId211" Type="http://schemas.openxmlformats.org/officeDocument/2006/relationships/image" Target="media/image81.png"/><Relationship Id="rId212" Type="http://schemas.openxmlformats.org/officeDocument/2006/relationships/image" Target="media/image82.png"/><Relationship Id="rId213" Type="http://schemas.openxmlformats.org/officeDocument/2006/relationships/image" Target="media/image83.png"/><Relationship Id="rId214" Type="http://schemas.openxmlformats.org/officeDocument/2006/relationships/image" Target="media/image84.png"/><Relationship Id="rId215" Type="http://schemas.openxmlformats.org/officeDocument/2006/relationships/image" Target="media/image85.png"/><Relationship Id="rId216" Type="http://schemas.openxmlformats.org/officeDocument/2006/relationships/image" Target="media/image86.png"/><Relationship Id="rId217" Type="http://schemas.openxmlformats.org/officeDocument/2006/relationships/image" Target="media/image87.png"/><Relationship Id="rId218" Type="http://schemas.openxmlformats.org/officeDocument/2006/relationships/image" Target="media/image88.png"/><Relationship Id="rId219" Type="http://schemas.openxmlformats.org/officeDocument/2006/relationships/image" Target="media/image89.png"/><Relationship Id="rId220" Type="http://schemas.openxmlformats.org/officeDocument/2006/relationships/image" Target="media/image90.png"/><Relationship Id="rId221" Type="http://schemas.openxmlformats.org/officeDocument/2006/relationships/image" Target="media/image91.png"/><Relationship Id="rId222" Type="http://schemas.openxmlformats.org/officeDocument/2006/relationships/image" Target="media/image92.png"/><Relationship Id="rId223" Type="http://schemas.openxmlformats.org/officeDocument/2006/relationships/image" Target="media/image93.png"/><Relationship Id="rId224" Type="http://schemas.openxmlformats.org/officeDocument/2006/relationships/image" Target="media/image94.png"/><Relationship Id="rId225" Type="http://schemas.openxmlformats.org/officeDocument/2006/relationships/image" Target="media/image95.png"/><Relationship Id="rId226" Type="http://schemas.openxmlformats.org/officeDocument/2006/relationships/image" Target="media/image96.png"/><Relationship Id="rId227" Type="http://schemas.openxmlformats.org/officeDocument/2006/relationships/image" Target="media/image97.png"/><Relationship Id="rId228" Type="http://schemas.openxmlformats.org/officeDocument/2006/relationships/image" Target="media/image98.png"/><Relationship Id="rId229" Type="http://schemas.openxmlformats.org/officeDocument/2006/relationships/image" Target="media/image99.png"/><Relationship Id="rId230" Type="http://schemas.openxmlformats.org/officeDocument/2006/relationships/image" Target="media/image100.png"/><Relationship Id="rId231" Type="http://schemas.openxmlformats.org/officeDocument/2006/relationships/image" Target="media/image101.png"/><Relationship Id="rId232" Type="http://schemas.openxmlformats.org/officeDocument/2006/relationships/image" Target="media/image102.png"/><Relationship Id="rId233" Type="http://schemas.openxmlformats.org/officeDocument/2006/relationships/image" Target="media/image103.png"/><Relationship Id="rId234" Type="http://schemas.openxmlformats.org/officeDocument/2006/relationships/image" Target="media/image104.png"/><Relationship Id="rId235" Type="http://schemas.openxmlformats.org/officeDocument/2006/relationships/image" Target="media/image105.png"/><Relationship Id="rId236" Type="http://schemas.openxmlformats.org/officeDocument/2006/relationships/image" Target="media/image106.png"/><Relationship Id="rId237" Type="http://schemas.openxmlformats.org/officeDocument/2006/relationships/image" Target="media/image107.png"/><Relationship Id="rId238" Type="http://schemas.openxmlformats.org/officeDocument/2006/relationships/image" Target="media/image108.png"/><Relationship Id="rId239" Type="http://schemas.openxmlformats.org/officeDocument/2006/relationships/image" Target="media/image109.png"/><Relationship Id="rId240" Type="http://schemas.openxmlformats.org/officeDocument/2006/relationships/image" Target="media/image110.png"/><Relationship Id="rId241" Type="http://schemas.openxmlformats.org/officeDocument/2006/relationships/image" Target="media/image111.png"/><Relationship Id="rId242" Type="http://schemas.openxmlformats.org/officeDocument/2006/relationships/image" Target="media/image112.png"/><Relationship Id="rId243" Type="http://schemas.openxmlformats.org/officeDocument/2006/relationships/image" Target="media/image113.png"/><Relationship Id="rId244" Type="http://schemas.openxmlformats.org/officeDocument/2006/relationships/image" Target="media/image114.png"/><Relationship Id="rId245" Type="http://schemas.openxmlformats.org/officeDocument/2006/relationships/image" Target="media/image115.png"/><Relationship Id="rId59" Type="http://schemas.openxmlformats.org/officeDocument/2006/relationships/hyperlink" Target="http://www.sec.gov/Archives/edgar/data/917520/000119312514012038/d647012dex101.htm" TargetMode="External"/><Relationship Id="rId60" Type="http://schemas.openxmlformats.org/officeDocument/2006/relationships/hyperlink" Target="http://www.sec.gov/Archives/edgar/data/917520/000091752020000047/iart-20200930xexx21.htm" TargetMode="External"/><Relationship Id="rId61" Type="http://schemas.openxmlformats.org/officeDocument/2006/relationships/hyperlink" Target="https://www.sec.gov/Archives/edgar/data/917520/000091752021000018/iart-20201231xexx21b.htm" TargetMode="External"/><Relationship Id="rId62" Type="http://schemas.openxmlformats.org/officeDocument/2006/relationships/hyperlink" Target="http://www.sec.gov/Archives/edgar/data/917520/000119312514383254/d802647dex21.htm" TargetMode="External"/><Relationship Id="rId63" Type="http://schemas.openxmlformats.org/officeDocument/2006/relationships/hyperlink" Target="http://www.sec.gov/Archives/edgar/data/917520/000119312515246787/d85302dex21.htm" TargetMode="External"/><Relationship Id="rId64" Type="http://schemas.openxmlformats.org/officeDocument/2006/relationships/hyperlink" Target="http://www.sec.gov/Archives/edgar/data/917520/000119312515256459/d47708dex21.htm" TargetMode="External"/><Relationship Id="rId65" Type="http://schemas.openxmlformats.org/officeDocument/2006/relationships/hyperlink" Target="http://www.sec.gov/Archives/edgar/data/917520/000119312515256459/d47708dex22.htm" TargetMode="External"/><Relationship Id="rId67" Type="http://schemas.openxmlformats.org/officeDocument/2006/relationships/hyperlink" Target="http://www.sec.gov/Archives/edgar/data/917520/000119312517007393/d316863dex21.htm" TargetMode="External"/><Relationship Id="rId68" Type="http://schemas.openxmlformats.org/officeDocument/2006/relationships/hyperlink" Target="http://www.sec.gov/Archives/edgar/data/917520/000119312517044517/d316120dex21.htm" TargetMode="External"/><Relationship Id="rId69" Type="http://schemas.openxmlformats.org/officeDocument/2006/relationships/hyperlink" Target="http://www.sec.gov/Archives/edgar/data/917520/000119312517170703/d395692dex21.htm" TargetMode="External"/><Relationship Id="rId70" Type="http://schemas.openxmlformats.org/officeDocument/2006/relationships/hyperlink" Target="http://www.sec.gov/Archives/edgar/data/917520/000091752017000049/iart-20170930xexx21.htm" TargetMode="External"/><Relationship Id="rId71" Type="http://schemas.openxmlformats.org/officeDocument/2006/relationships/hyperlink" Target="http://www.sec.gov/Archives/edgar/data/917520/000091752006000066/ex3-1aform10k031406.txt" TargetMode="External"/><Relationship Id="rId72" Type="http://schemas.openxmlformats.org/officeDocument/2006/relationships/hyperlink" Target="http://www.sec.gov/Archives/edgar/data/917520/0000889812-99-001063.txt" TargetMode="External"/><Relationship Id="rId73" Type="http://schemas.openxmlformats.org/officeDocument/2006/relationships/hyperlink" Target="http://www.sec.gov/Archives/edgar/data/917520/000095012305003217/y06769exv3w1wc.txt" TargetMode="External"/><Relationship Id="rId74" Type="http://schemas.openxmlformats.org/officeDocument/2006/relationships/hyperlink" Target="http://www.sec.gov/Archives/edgar/data/917520/000091752016000107/ex_3x1xfileddecember22x2016.htm" TargetMode="External"/><Relationship Id="rId75" Type="http://schemas.openxmlformats.org/officeDocument/2006/relationships/hyperlink" Target="http://www.sec.gov/Archives/edgar/data/917520/000129993312000849/exhibit1.htm" TargetMode="External"/><Relationship Id="rId76" Type="http://schemas.openxmlformats.org/officeDocument/2006/relationships/hyperlink" Target="http://www.sec.gov/Archives/edgar/data/917520/000091752018000042/ex3_1xsecondarbylawsxdec20.htm" TargetMode="External"/><Relationship Id="rId77" Type="http://schemas.openxmlformats.org/officeDocument/2006/relationships/hyperlink" Target="http://www.sec.gov/Archives/edgar/data/917520/000119312520028314/d862844dex41.htm" TargetMode="External"/><Relationship Id="rId78" Type="http://schemas.openxmlformats.org/officeDocument/2006/relationships/hyperlink" Target="http://www.sec.gov/Archives/edgar/data/917520/000091752020000051/exhibit41.htm" TargetMode="External"/><Relationship Id="rId79" Type="http://schemas.openxmlformats.org/officeDocument/2006/relationships/hyperlink" Target="http://www.sec.gov/Archives/edgar/data/917520/000119312519155388/d752260dex44.htm" TargetMode="External"/><Relationship Id="rId80" Type="http://schemas.openxmlformats.org/officeDocument/2006/relationships/hyperlink" Target="http://www.sec.gov/Archives/edgar/data/917520/000091752005000112/ex10-1form8k110105.txt" TargetMode="External"/><Relationship Id="rId81" Type="http://schemas.openxmlformats.org/officeDocument/2006/relationships/hyperlink" Target="http://www.sec.gov/Archives/edgar/data/917520/000129993311000711/exhibit1.htm" TargetMode="External"/><Relationship Id="rId82" Type="http://schemas.openxmlformats.org/officeDocument/2006/relationships/hyperlink" Target="http://www.sec.gov/Archives/edgar/data/917520/000091752017000017/exhibit101_leasemodificati.htm" TargetMode="External"/><Relationship Id="rId83" Type="http://schemas.openxmlformats.org/officeDocument/2006/relationships/hyperlink" Target="http://www.sec.gov/Archives/edgar/data/917520/000136231008008563/c78646exv10w1.htm" TargetMode="External"/><Relationship Id="rId85" Type="http://schemas.openxmlformats.org/officeDocument/2006/relationships/hyperlink" Target="http://www.sec.gov/Archives/edgar/data/917520/000091752019000013/iart-20181231xexx103.htm" TargetMode="External"/><Relationship Id="rId86" Type="http://schemas.openxmlformats.org/officeDocument/2006/relationships/hyperlink" Target="http://www.sec.gov/Archives/edgar/data/917520/0000889812-98-000200.txt" TargetMode="External"/><Relationship Id="rId87" Type="http://schemas.openxmlformats.org/officeDocument/2006/relationships/hyperlink" Target="http://www.sec.gov/Archives/edgar/data/917520/000091752005000123/ex10-3form10q110905.txt" TargetMode="External"/><Relationship Id="rId88" Type="http://schemas.openxmlformats.org/officeDocument/2006/relationships/hyperlink" Target="http://www.sec.gov/Archives/edgar/data/917520/000091752005000123/ex10-4form10q110905.txt" TargetMode="External"/><Relationship Id="rId89" Type="http://schemas.openxmlformats.org/officeDocument/2006/relationships/hyperlink" Target="http://www.sec.gov/Archives/edgar/data/917520/000091752005000099/ex4-1forms8081205.txt" TargetMode="External"/><Relationship Id="rId90" Type="http://schemas.openxmlformats.org/officeDocument/2006/relationships/hyperlink" Target="http://www.sec.gov/Archives/edgar/data/917520/000091752005000110/ex10-1form8k102705.txt" TargetMode="External"/><Relationship Id="rId91" Type="http://schemas.openxmlformats.org/officeDocument/2006/relationships/hyperlink" Target="http://www.sec.gov/Archives/edgar/data/917520/000129993310002081/exhibit1.htm" TargetMode="External"/><Relationship Id="rId92" Type="http://schemas.openxmlformats.org/officeDocument/2006/relationships/hyperlink" Target="http://www.sec.gov/Archives/edgar/data/917520/000119312512326115/d364710dex109.htm" TargetMode="External"/><Relationship Id="rId93" Type="http://schemas.openxmlformats.org/officeDocument/2006/relationships/hyperlink" Target="http://www.sec.gov/Archives/edgar/data/917520/000091752013000041/exhibit104amendmenttosecon.htm" TargetMode="External"/><Relationship Id="rId94" Type="http://schemas.openxmlformats.org/officeDocument/2006/relationships/hyperlink" Target="http://www.sec.gov/Archives/edgar/data/917520/000091752015000025/exhibit101-thirdamendedand.htm" TargetMode="External"/><Relationship Id="rId95" Type="http://schemas.openxmlformats.org/officeDocument/2006/relationships/hyperlink" Target="http://www.sec.gov/Archives/edgar/data/917520/000091752017000025/exhibit_10x1.htm" TargetMode="External"/><Relationship Id="rId96" Type="http://schemas.openxmlformats.org/officeDocument/2006/relationships/hyperlink" Target="http://www.sec.gov/Archives/edgar/data/917520/000091752020000037/iart-20200630xexx101.htm" TargetMode="External"/><Relationship Id="rId97" Type="http://schemas.openxmlformats.org/officeDocument/2006/relationships/hyperlink" Target="https://www.sec.gov/Archives/edgar/data/917520/000091752021000029/ex101.htm" TargetMode="External"/><Relationship Id="rId98" Type="http://schemas.openxmlformats.org/officeDocument/2006/relationships/hyperlink" Target="http://www.sec.gov/Archives/edgar/data/917520/000119312520028314/d862844dex1011.htm" TargetMode="External"/><Relationship Id="rId99" Type="http://schemas.openxmlformats.org/officeDocument/2006/relationships/hyperlink" Target="http://www.sec.gov/Archives/edgar/data/917520/000129993312001435/exhibit1.htm" TargetMode="External"/><Relationship Id="rId100" Type="http://schemas.openxmlformats.org/officeDocument/2006/relationships/hyperlink" Target="http://www.sec.gov/Archives/edgar/data/917520/000091205701000619/a2034717zex-10_2.txt" TargetMode="External"/><Relationship Id="rId101" Type="http://schemas.openxmlformats.org/officeDocument/2006/relationships/hyperlink" Target="http://www.sec.gov/Archives/edgar/data/917520/000091752004000031/0000917520-04-000031.txt" TargetMode="External"/><Relationship Id="rId102" Type="http://schemas.openxmlformats.org/officeDocument/2006/relationships/hyperlink" Target="http://www.sec.gov/Archives/edgar/data/917520/000119312520028314/d862844dex1017.htm" TargetMode="External"/><Relationship Id="rId104" Type="http://schemas.openxmlformats.org/officeDocument/2006/relationships/hyperlink" Target="http://www.sec.gov/Archives/edgar/data/917520/000091752006000149/ex10-3form10q110906.txt" TargetMode="External"/><Relationship Id="rId105" Type="http://schemas.openxmlformats.org/officeDocument/2006/relationships/hyperlink" Target="http://www.sec.gov/Archives/edgar/data/917520/000129993311003262/exhibit1.htm" TargetMode="External"/><Relationship Id="rId106" Type="http://schemas.openxmlformats.org/officeDocument/2006/relationships/hyperlink" Target="http://www.sec.gov/Archives/edgar/data/917520/000119312512183626/d317931dex102.htm" TargetMode="External"/><Relationship Id="rId107" Type="http://schemas.openxmlformats.org/officeDocument/2006/relationships/hyperlink" Target="http://www.sec.gov/Archives/edgar/data/917520/000091205701000619/a2034717zex-4_1.txt" TargetMode="External"/><Relationship Id="rId108" Type="http://schemas.openxmlformats.org/officeDocument/2006/relationships/hyperlink" Target="http://www.sec.gov/Archives/edgar/data/917520/000091205701000619/a2034717zex-4_2.txt" TargetMode="External"/><Relationship Id="rId109" Type="http://schemas.openxmlformats.org/officeDocument/2006/relationships/hyperlink" Target="http://www.sec.gov/Archives/edgar/data/917520/000091205701000619/a2034717zex-4_3.txt" TargetMode="External"/><Relationship Id="rId110" Type="http://schemas.openxmlformats.org/officeDocument/2006/relationships/hyperlink" Target="http://www.sec.gov/Archives/edgar/data/917520/000091752006000137/ex10-1form8k110306.txt" TargetMode="External"/><Relationship Id="rId111" Type="http://schemas.openxmlformats.org/officeDocument/2006/relationships/hyperlink" Target="http://www.sec.gov/Archives/edgar/data/917520/000095012305003217/y06769exv10w30.txt" TargetMode="External"/><Relationship Id="rId112" Type="http://schemas.openxmlformats.org/officeDocument/2006/relationships/hyperlink" Target="http://www.sec.gov/Archives/edgar/data/917520/000095012305003217/y06769exv10w31.txt" TargetMode="External"/><Relationship Id="rId113" Type="http://schemas.openxmlformats.org/officeDocument/2006/relationships/hyperlink" Target="http://www.sec.gov/Archives/edgar/data/917520/000091752006000137/ex10-2form8k110306.txt" TargetMode="External"/><Relationship Id="rId114" Type="http://schemas.openxmlformats.org/officeDocument/2006/relationships/hyperlink" Target="http://www.sec.gov/Archives/edgar/data/917520/000095012308005803/y51439exv10w25wc.htm" TargetMode="External"/><Relationship Id="rId115" Type="http://schemas.openxmlformats.org/officeDocument/2006/relationships/hyperlink" Target="http://www.sec.gov/Archives/edgar/data/917520/000119312511203310/dex106.htm" TargetMode="External"/><Relationship Id="rId116" Type="http://schemas.openxmlformats.org/officeDocument/2006/relationships/hyperlink" Target="http://www.sec.gov/Archives/edgar/data/917520/000129993311001582/exhibit2.htm" TargetMode="External"/><Relationship Id="rId117" Type="http://schemas.openxmlformats.org/officeDocument/2006/relationships/hyperlink" Target="http://www.sec.gov/Archives/edgar/data/917520/000119312511203310/dex105.htm" TargetMode="External"/><Relationship Id="rId118" Type="http://schemas.openxmlformats.org/officeDocument/2006/relationships/hyperlink" Target="http://www.sec.gov/Archives/edgar/data/917520/000095012305003217/y06769exv10w32.txt" TargetMode="External"/><Relationship Id="rId119" Type="http://schemas.openxmlformats.org/officeDocument/2006/relationships/hyperlink" Target="http://www.sec.gov/Archives/edgar/data/917520/000095012308009294/y65047exv10w8.htm" TargetMode="External"/><Relationship Id="rId121" Type="http://schemas.openxmlformats.org/officeDocument/2006/relationships/hyperlink" Target="http://www.sec.gov/Archives/edgar/data/917520/000095012311017602/w80860exv10w28wxby.htm" TargetMode="External"/><Relationship Id="rId122" Type="http://schemas.openxmlformats.org/officeDocument/2006/relationships/hyperlink" Target="http://www.sec.gov/Archives/edgar/data/917520/000119312511203310/dex104.htm" TargetMode="External"/><Relationship Id="rId123" Type="http://schemas.openxmlformats.org/officeDocument/2006/relationships/hyperlink" Target="http://www.sec.gov/Archives/edgar/data/917520/000095012308009294/y65047exv10w9.htm" TargetMode="External"/><Relationship Id="rId124" Type="http://schemas.openxmlformats.org/officeDocument/2006/relationships/hyperlink" Target="http://www.sec.gov/Archives/edgar/data/917520/000129993309001637/exhibit3.htm" TargetMode="External"/><Relationship Id="rId125" Type="http://schemas.openxmlformats.org/officeDocument/2006/relationships/hyperlink" Target="http://www.sec.gov/Archives/edgar/data/917520/000091752013000019/iart-exx102performancestoc.htm" TargetMode="External"/><Relationship Id="rId126" Type="http://schemas.openxmlformats.org/officeDocument/2006/relationships/hyperlink" Target="http://www.sec.gov/Archives/edgar/data/917520/000091752016000075/exhibit10_1formofperforman.htm" TargetMode="External"/><Relationship Id="rId127" Type="http://schemas.openxmlformats.org/officeDocument/2006/relationships/hyperlink" Target="http://www.sec.gov/Archives/edgar/data/917520/000091752016000075/exhibit10_2formofperforman.htm" TargetMode="External"/><Relationship Id="rId128" Type="http://schemas.openxmlformats.org/officeDocument/2006/relationships/hyperlink" Target="http://www.sec.gov/Archives/edgar/data/917520/000091752018000019/iart-20180331xexx101.htm" TargetMode="External"/><Relationship Id="rId129" Type="http://schemas.openxmlformats.org/officeDocument/2006/relationships/hyperlink" Target="http://www.sec.gov/Archives/edgar/data/917520/000091752018000019/iart-20180331xexx102.htm" TargetMode="External"/><Relationship Id="rId130" Type="http://schemas.openxmlformats.org/officeDocument/2006/relationships/hyperlink" Target="http://www.sec.gov/Archives/edgar/data/917520/000091752013000041/exhibit103-performanceince.htm" TargetMode="External"/><Relationship Id="rId131" Type="http://schemas.openxmlformats.org/officeDocument/2006/relationships/hyperlink" Target="http://www.sec.gov/Archives/edgar/data/917520/000091752017000004/exhibit101.htm" TargetMode="External"/><Relationship Id="rId132" Type="http://schemas.openxmlformats.org/officeDocument/2006/relationships/hyperlink" Target="http://www.sec.gov/Archives/edgar/data/917520/000091752017000025/exhibit_10x2.htm" TargetMode="External"/><Relationship Id="rId133" Type="http://schemas.openxmlformats.org/officeDocument/2006/relationships/hyperlink" Target="http://www.sec.gov/Archives/edgar/data/917520/000119312511203310/dex103.htm" TargetMode="External"/><Relationship Id="rId134" Type="http://schemas.openxmlformats.org/officeDocument/2006/relationships/hyperlink" Target="http://www.sec.gov/Archives/edgar/data/917520/000091752005000090/ex10-1form8k72605.txt" TargetMode="External"/><Relationship Id="rId135" Type="http://schemas.openxmlformats.org/officeDocument/2006/relationships/hyperlink" Target="http://www.sec.gov/Archives/edgar/data/917520/000095012305003217/y06769exv10w35.txt" TargetMode="External"/><Relationship Id="rId136" Type="http://schemas.openxmlformats.org/officeDocument/2006/relationships/hyperlink" Target="http://www.sec.gov/Archives/edgar/data/917520/000095012305003217/y06769exv10w36.txt" TargetMode="External"/><Relationship Id="rId137" Type="http://schemas.openxmlformats.org/officeDocument/2006/relationships/hyperlink" Target="http://www.sec.gov/Archives/edgar/data/917520/000095012305003217/y06769exv10w37.txt" TargetMode="External"/><Relationship Id="rId138" Type="http://schemas.openxmlformats.org/officeDocument/2006/relationships/hyperlink" Target="http://www.sec.gov/Archives/edgar/data/917520/000091752015000022/iart-20150331xex101.htm" TargetMode="External"/><Relationship Id="rId139" Type="http://schemas.openxmlformats.org/officeDocument/2006/relationships/hyperlink" Target="http://www.sec.gov/Archives/edgar/data/917520/000091752015000022/iart-20150331xex102.htm" TargetMode="External"/><Relationship Id="rId140" Type="http://schemas.openxmlformats.org/officeDocument/2006/relationships/hyperlink" Target="http://www.sec.gov/Archives/edgar/data/917520/000091752016000065/exhibit10-formcicfebruary2.htm" TargetMode="External"/><Relationship Id="rId141" Type="http://schemas.openxmlformats.org/officeDocument/2006/relationships/hyperlink" Target="http://www.sec.gov/Archives/edgar/data/917520/000119312512326115/d364710dex104.htm" TargetMode="External"/><Relationship Id="rId143" Type="http://schemas.openxmlformats.org/officeDocument/2006/relationships/hyperlink" Target="http://www.sec.gov/Archives/edgar/data/917520/000091752013000023/iart-20121231xexx1038b.htm" TargetMode="External"/><Relationship Id="rId144" Type="http://schemas.openxmlformats.org/officeDocument/2006/relationships/hyperlink" Target="http://www.sec.gov/Archives/edgar/data/917520/000136231009002762/c81593exv10w1.htm" TargetMode="External"/><Relationship Id="rId145" Type="http://schemas.openxmlformats.org/officeDocument/2006/relationships/hyperlink" Target="http://www.sec.gov/Archives/edgar/data/917520/000119312512326115/d364710dex105.htm" TargetMode="External"/><Relationship Id="rId146" Type="http://schemas.openxmlformats.org/officeDocument/2006/relationships/hyperlink" Target="http://www.sec.gov/Archives/edgar/data/917520/000091752013000023/iart-20121231xexx1038e.htm" TargetMode="External"/><Relationship Id="rId147" Type="http://schemas.openxmlformats.org/officeDocument/2006/relationships/hyperlink" Target="http://www.sec.gov/Archives/edgar/data/917520/000136231009006565/c84477exv10w8.htm" TargetMode="External"/><Relationship Id="rId148" Type="http://schemas.openxmlformats.org/officeDocument/2006/relationships/hyperlink" Target="http://www.sec.gov/Archives/edgar/data/917520/000119312512326115/d364710dex106.htm" TargetMode="External"/><Relationship Id="rId149" Type="http://schemas.openxmlformats.org/officeDocument/2006/relationships/hyperlink" Target="http://www.sec.gov/Archives/edgar/data/917520/000091752013000023/iart-20121231xexx1038h.htm" TargetMode="External"/><Relationship Id="rId150" Type="http://schemas.openxmlformats.org/officeDocument/2006/relationships/hyperlink" Target="http://www.sec.gov/Archives/edgar/data/917520/000091752016000104/exhibit_10x2xdecemberx5x20.htm" TargetMode="External"/><Relationship Id="rId151" Type="http://schemas.openxmlformats.org/officeDocument/2006/relationships/hyperlink" Target="http://www.sec.gov/Archives/edgar/data/917520/000091752019000026/form8kfiledjune242019.htm" TargetMode="External"/><Relationship Id="rId152" Type="http://schemas.openxmlformats.org/officeDocument/2006/relationships/hyperlink" Target="http://www.sec.gov/Archives/edgar/data/917520/000091752013000060/exhibit102-summaryofexecut.htm" TargetMode="External"/><Relationship Id="rId153" Type="http://schemas.openxmlformats.org/officeDocument/2006/relationships/hyperlink" Target="http://www.sec.gov/Archives/edgar/data/917520/000095012308005803/y51439exv10w43wc.htm" TargetMode="External"/><Relationship Id="rId154" Type="http://schemas.openxmlformats.org/officeDocument/2006/relationships/hyperlink" Target="http://www.sec.gov/Archives/edgar/data/917520/000095012308009294/y65047exv10w10.htm" TargetMode="External"/><Relationship Id="rId155" Type="http://schemas.openxmlformats.org/officeDocument/2006/relationships/hyperlink" Target="http://www.sec.gov/Archives/edgar/data/917520/000136231009006565/c84477exv10w9.htm" TargetMode="External"/><Relationship Id="rId156" Type="http://schemas.openxmlformats.org/officeDocument/2006/relationships/hyperlink" Target="http://www.sec.gov/Archives/edgar/data/917520/000119312513279558/d559455dex101.htm" TargetMode="External"/><Relationship Id="rId157" Type="http://schemas.openxmlformats.org/officeDocument/2006/relationships/hyperlink" Target="http://www.sec.gov/Archives/edgar/data/917520/000092963818001000/exhibit10-1.htm" TargetMode="External"/><Relationship Id="rId158" Type="http://schemas.openxmlformats.org/officeDocument/2006/relationships/hyperlink" Target="https://www.sec.gov/Archives/edgar/data/917520/000091752021000039/iart-20210630xexx101.htm" TargetMode="External"/><Relationship Id="rId160" Type="http://schemas.openxmlformats.org/officeDocument/2006/relationships/hyperlink" Target="http://www.sec.gov/Archives/edgar/data/917520/000092963818001000/exhibit10-2.htm" TargetMode="External"/><Relationship Id="rId161" Type="http://schemas.openxmlformats.org/officeDocument/2006/relationships/hyperlink" Target="https://www.sec.gov/Archives/edgar/data/917520/000119312520022927/d881437dex101.htm" TargetMode="External"/><Relationship Id="rId162" Type="http://schemas.openxmlformats.org/officeDocument/2006/relationships/hyperlink" Target="http://www.sec.gov/Archives/edgar/data/917520/000091752020000030/amendmentno1sixtharca.htm" TargetMode="External"/><Relationship Id="rId163" Type="http://schemas.openxmlformats.org/officeDocument/2006/relationships/hyperlink" Target="http://www.sec.gov/Archives/edgar/data/917520/000119312520028314/d862844dex101.htm" TargetMode="External"/><Relationship Id="rId164" Type="http://schemas.openxmlformats.org/officeDocument/2006/relationships/hyperlink" Target="http://www.sec.gov/Archives/edgar/data/917520/000119312520022927/d881437dex102.htm" TargetMode="External"/><Relationship Id="rId165" Type="http://schemas.openxmlformats.org/officeDocument/2006/relationships/hyperlink" Target="http://www.sec.gov/Archives/edgar/data/917520/000119312520028314/d862844dex103.htm" TargetMode="External"/><Relationship Id="rId166" Type="http://schemas.openxmlformats.org/officeDocument/2006/relationships/hyperlink" Target="http://www.sec.gov/Archives/edgar/data/917520/000119312520028314/d862844dex104.htm" TargetMode="External"/><Relationship Id="rId167" Type="http://schemas.openxmlformats.org/officeDocument/2006/relationships/hyperlink" Target="http://www.sec.gov/Archives/edgar/data/917520/000119312520028314/d862844dex105.htm" TargetMode="External"/><Relationship Id="rId168" Type="http://schemas.openxmlformats.org/officeDocument/2006/relationships/hyperlink" Target="http://www.sec.gov/Archives/edgar/data/917520/000119312520028314/d862844dex106.htm" TargetMode="External"/><Relationship Id="rId169" Type="http://schemas.openxmlformats.org/officeDocument/2006/relationships/hyperlink" Target="http://www.sec.gov/Archives/edgar/data/917520/000119312520028314/d862844dex107.htm" TargetMode="External"/><Relationship Id="rId170" Type="http://schemas.openxmlformats.org/officeDocument/2006/relationships/hyperlink" Target="http://www.sec.gov/Archives/edgar/data/917520/000119312520028314/d862844dex108.htm" TargetMode="External"/><Relationship Id="rId172" Type="http://schemas.openxmlformats.org/officeDocument/2006/relationships/hyperlink" Target="http://www.sec.gov/Archives/edgar/data/917520/000119312520028314/d862844dex109.htm" TargetMode="External"/><Relationship Id="rId173" Type="http://schemas.openxmlformats.org/officeDocument/2006/relationships/hyperlink" Target="http://www.sec.gov/Archives/edgar/data/917520/000119312520028314/d862844dex1010.htm" TargetMode="External"/><Relationship Id="rId174" Type="http://schemas.openxmlformats.org/officeDocument/2006/relationships/hyperlink" Target="http://www.sec.gov/Archives/edgar/data/917520/000119312520028314/d862844dex1012.htm" TargetMode="External"/><Relationship Id="rId175" Type="http://schemas.openxmlformats.org/officeDocument/2006/relationships/hyperlink" Target="http://www.sec.gov/Archives/edgar/data/917520/000119312520028314/d862844dex1013.htm" TargetMode="External"/><Relationship Id="rId176" Type="http://schemas.openxmlformats.org/officeDocument/2006/relationships/hyperlink" Target="http://www.sec.gov/Archives/edgar/data/917520/000119312520028314/d862844dex1014.htm" TargetMode="External"/><Relationship Id="rId177" Type="http://schemas.openxmlformats.org/officeDocument/2006/relationships/hyperlink" Target="http://www.sec.gov/Archives/edgar/data/917520/000119312520028314/d862844dex1015.htm" TargetMode="External"/><Relationship Id="rId178" Type="http://schemas.openxmlformats.org/officeDocument/2006/relationships/hyperlink" Target="http://www.sec.gov/Archives/edgar/data/917520/000119312520028314/d862844dex1016.htm" TargetMode="External"/><Relationship Id="rId179" Type="http://schemas.openxmlformats.org/officeDocument/2006/relationships/hyperlink" Target="https://www.sec.gov/Archives/edgar/data/917520/000091752021000043/ex10_1xintegraemployment.htm" TargetMode="External"/><Relationship Id="rId180" Type="http://schemas.openxmlformats.org/officeDocument/2006/relationships/hyperlink" Target="http://www.sec.gov/Archives/edgar/data/917520/000119312512003597/d276820dex991.htm" TargetMode="External"/><Relationship Id="rId181" Type="http://schemas.openxmlformats.org/officeDocument/2006/relationships/hyperlink" Target="http://www.sec.gov/Archives/edgar/data/917520/000119312512326115/d364710dex991.htm" TargetMode="External"/><Relationship Id="rId182" Type="http://schemas.openxmlformats.org/officeDocument/2006/relationships/hyperlink" Target="http://www.sec.gov/Archives/edgar/data/917520/000119312512465243/d434963dex991.htm" TargetMode="External"/><Relationship Id="rId183" Type="http://schemas.openxmlformats.org/officeDocument/2006/relationships/hyperlink" Target="http://www.sec.gov/Archives/edgar/data/917520/000119312513065171/d487711dex991.htm" TargetMode="External"/><Relationship Id="rId186" Type="http://schemas.openxmlformats.org/officeDocument/2006/relationships/hyperlink" Target="http://www.sec.gov/Archives/edgar/data/917520/000119312513381070/d606108dex991.htm" TargetMode="External"/><Relationship Id="rId187" Type="http://schemas.openxmlformats.org/officeDocument/2006/relationships/hyperlink" Target="http://www.sec.gov/Archives/edgar/data/917520/000119312513459946/d637741dex991.htm" TargetMode="External"/><Relationship Id="rId188" Type="http://schemas.openxmlformats.org/officeDocument/2006/relationships/hyperlink" Target="http://www.sec.gov/Archives/edgar/data/917520/000119312515014048/d854281dex991.htm" TargetMode="External"/><Relationship Id="rId189" Type="http://schemas.openxmlformats.org/officeDocument/2006/relationships/hyperlink" Target="http://www.sec.gov/Archives/edgar/data/917520/000091752015000033/iart-20150630xex991.htm" TargetMode="External"/><Relationship Id="rId190" Type="http://schemas.openxmlformats.org/officeDocument/2006/relationships/hyperlink" Target="http://www.sec.gov/Archives/edgar/data/917520/000091752015000033/iart-20150630x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2022-02-24T15:46:09Z</dcterms:created>
  <dcterms:modified xsi:type="dcterms:W3CDTF">2022-02-24T15:46:09Z</dcterms:modified>
</cp:coreProperties>
</file>