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spacing w:after="0" w:line="18" w:lineRule="exact"/>
        <w:rPr>
          <w:sz w:val="24"/>
          <w:szCs w:val="24"/>
          <w:color w:val="auto"/>
        </w:rPr>
      </w:pPr>
    </w:p>
    <w:p>
      <w:pPr>
        <w:ind w:left="720" w:hanging="462"/>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spacing w:after="0" w:line="18" w:lineRule="exact"/>
        <w:rPr>
          <w:sz w:val="24"/>
          <w:szCs w:val="24"/>
          <w:color w:val="auto"/>
        </w:rPr>
      </w:pPr>
    </w:p>
    <w:p>
      <w:pPr>
        <w:ind w:left="720" w:hanging="462"/>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244"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3"/>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c>
          <w:tcPr>
            <w:tcW w:w="0" w:type="dxa"/>
            <w:vAlign w:val="bottom"/>
          </w:tcPr>
          <w:p>
            <w:pPr>
              <w:spacing w:after="0"/>
              <w:rPr>
                <w:sz w:val="1"/>
                <w:szCs w:val="1"/>
                <w:color w:val="auto"/>
              </w:rPr>
            </w:pP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79"/>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1"/>
              </w:rPr>
              <w:t>311 Enterprise Drive</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c>
          <w:tcPr>
            <w:tcW w:w="0" w:type="dxa"/>
            <w:vAlign w:val="bottom"/>
          </w:tcPr>
          <w:p>
            <w:pPr>
              <w:spacing w:after="0"/>
              <w:rPr>
                <w:sz w:val="1"/>
                <w:szCs w:val="1"/>
                <w:color w:val="auto"/>
              </w:rPr>
            </w:pPr>
          </w:p>
        </w:tc>
      </w:tr>
      <w:tr>
        <w:trPr>
          <w:trHeight w:val="270"/>
        </w:trPr>
        <w:tc>
          <w:tcPr>
            <w:tcW w:w="5080" w:type="dxa"/>
            <w:vAlign w:val="bottom"/>
          </w:tcPr>
          <w:p>
            <w:pPr>
              <w:jc w:val="center"/>
              <w:ind w:right="1559"/>
              <w:spacing w:after="0"/>
              <w:rPr>
                <w:sz w:val="20"/>
                <w:szCs w:val="20"/>
                <w:color w:val="auto"/>
              </w:rPr>
            </w:pPr>
            <w:r>
              <w:rPr>
                <w:rFonts w:ascii="Arial" w:cs="Arial" w:eastAsia="Arial" w:hAnsi="Arial"/>
                <w:sz w:val="18"/>
                <w:szCs w:val="18"/>
                <w:b w:val="1"/>
                <w:bCs w:val="1"/>
                <w:color w:val="auto"/>
                <w:w w:val="90"/>
              </w:rPr>
              <w:t>Plainsboro , New Jersey</w:t>
            </w:r>
          </w:p>
        </w:tc>
        <w:tc>
          <w:tcPr>
            <w:tcW w:w="3260" w:type="dxa"/>
            <w:vAlign w:val="bottom"/>
            <w:vMerge w:val="restart"/>
          </w:tcPr>
          <w:p>
            <w:pPr>
              <w:jc w:val="center"/>
              <w:ind w:left="164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83"/>
        </w:trPr>
        <w:tc>
          <w:tcPr>
            <w:tcW w:w="5080" w:type="dxa"/>
            <w:vAlign w:val="bottom"/>
            <w:vMerge w:val="restart"/>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080" w:type="dxa"/>
            <w:vAlign w:val="bottom"/>
            <w:vMerge w:val="continue"/>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269" w:right="239" w:bottom="1440" w:gutter="0" w:footer="0" w:header="0"/>
        </w:sectPr>
      </w:pPr>
    </w:p>
    <w:p>
      <w:pPr>
        <w:spacing w:after="0" w:line="275"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TITLE OF EACH CLASS</w:t>
      </w:r>
    </w:p>
    <w:p>
      <w:pPr>
        <w:spacing w:after="0" w:line="73"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73"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IART</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3"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NASDAQ</w:t>
      </w:r>
    </w:p>
    <w:p>
      <w:pPr>
        <w:spacing w:after="0" w:line="200" w:lineRule="exact"/>
        <w:rPr>
          <w:sz w:val="24"/>
          <w:szCs w:val="24"/>
          <w:color w:val="auto"/>
        </w:rPr>
      </w:pPr>
    </w:p>
    <w:p>
      <w:pPr>
        <w:sectPr>
          <w:pgSz w:w="11900" w:h="16838" w:orient="portrait"/>
          <w:cols w:equalWidth="0" w:num="3">
            <w:col w:w="3340" w:space="720"/>
            <w:col w:w="1780" w:space="720"/>
            <w:col w:w="4860"/>
          </w:cols>
          <w:pgMar w:left="240" w:top="269" w:right="239" w:bottom="1440" w:gutter="0" w:footer="0" w:header="0"/>
          <w:type w:val="continuous"/>
        </w:sectPr>
      </w:pPr>
    </w:p>
    <w:p>
      <w:pPr>
        <w:spacing w:after="0" w:line="6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20"/>
          </w:cols>
          <w:pgMar w:left="240" w:top="269" w:right="239" w:bottom="1440" w:gutter="0" w:footer="0" w:header="0"/>
          <w:type w:val="continuous"/>
        </w:sectPr>
      </w:pPr>
    </w:p>
    <w:p>
      <w:pPr>
        <w:spacing w:after="0" w:line="75"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6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46"/>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6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59"/>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type w:val="continuous"/>
        </w:sectPr>
      </w:pPr>
    </w:p>
    <w:bookmarkStart w:id="1" w:name="page2"/>
    <w:bookmarkEnd w:id="1"/>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0"/>
          <w:szCs w:val="20"/>
          <w:color w:val="auto"/>
        </w:rPr>
      </w:pPr>
    </w:p>
    <w:p>
      <w:pPr>
        <w:spacing w:after="0" w:line="184" w:lineRule="exact"/>
        <w:tabs>
          <w:tab w:leader="none" w:pos="6820" w:val="left"/>
          <w:tab w:leader="none" w:pos="7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July 23, 2019 was 85,534,454.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6"/>
            <w:vMerge w:val="restart"/>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6"/>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5"/>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Condensed Consolidated Statements of Operations and Comprehensive Income for the three and six months ended June 30, 2019 and 2018 (Unaudited)</w:t>
              </w:r>
            </w:hyperlink>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40" w:type="dxa"/>
            <w:vAlign w:val="bottom"/>
            <w:gridSpan w:val="15"/>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Condensed Consolidated Balance Sheets as of June 30, 2019 and December 31, 2018 (Unaudited)</w:t>
              </w:r>
            </w:hyperlink>
          </w:p>
        </w:tc>
        <w:tc>
          <w:tcPr>
            <w:tcW w:w="30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3"/>
          </w:tcPr>
          <w:p>
            <w:pPr>
              <w:spacing w:after="0"/>
              <w:rPr>
                <w:rFonts w:ascii="Arial" w:cs="Arial" w:eastAsia="Arial" w:hAnsi="Arial"/>
                <w:sz w:val="16"/>
                <w:szCs w:val="16"/>
                <w:color w:val="0000EE"/>
                <w:w w:val="90"/>
              </w:rPr>
            </w:pPr>
            <w:hyperlink w:anchor="page1">
              <w:r>
                <w:rPr>
                  <w:rFonts w:ascii="Arial" w:cs="Arial" w:eastAsia="Arial" w:hAnsi="Arial"/>
                  <w:sz w:val="16"/>
                  <w:szCs w:val="16"/>
                  <w:color w:val="0000EE"/>
                  <w:w w:val="90"/>
                </w:rPr>
                <w:t>Condensed Consolidated Statements of Cash Flows for the six months ended June 30, 2019 and 2018 (Unaudited)</w:t>
              </w:r>
            </w:hyperlink>
          </w:p>
        </w:tc>
        <w:tc>
          <w:tcPr>
            <w:tcW w:w="274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tcBorders>
              <w:left w:val="single" w:sz="8" w:color="0000EE"/>
            </w:tcBorders>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6"/>
          </w:tcPr>
          <w:p>
            <w:pPr>
              <w:spacing w:after="0"/>
              <w:rPr>
                <w:rFonts w:ascii="Arial" w:cs="Arial" w:eastAsia="Arial" w:hAnsi="Arial"/>
                <w:sz w:val="16"/>
                <w:szCs w:val="16"/>
                <w:color w:val="0000EE"/>
                <w:w w:val="97"/>
              </w:rPr>
            </w:pPr>
            <w:hyperlink w:anchor="page7">
              <w:r>
                <w:rPr>
                  <w:rFonts w:ascii="Arial" w:cs="Arial" w:eastAsia="Arial" w:hAnsi="Arial"/>
                  <w:sz w:val="16"/>
                  <w:szCs w:val="16"/>
                  <w:color w:val="0000EE"/>
                  <w:w w:val="97"/>
                </w:rPr>
                <w:t>Condensed Consolidated Statements of Changes in Shareholder's Equity for the three and six months ended June 30, 2019 and 2018 (Unaudited)</w:t>
              </w:r>
            </w:hyperlink>
          </w:p>
        </w:tc>
        <w:tc>
          <w:tcPr>
            <w:tcW w:w="1240" w:type="dxa"/>
            <w:vAlign w:val="bottom"/>
            <w:gridSpan w:val="4"/>
          </w:tcPr>
          <w:p>
            <w:pPr>
              <w:jc w:val="right"/>
              <w:ind w:right="20"/>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3060" w:type="dxa"/>
            <w:vAlign w:val="bottom"/>
            <w:tcBorders>
              <w:left w:val="single" w:sz="8" w:color="0000EE"/>
            </w:tcBorders>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380" w:type="dxa"/>
            <w:vAlign w:val="bottom"/>
            <w:gridSpan w:val="14"/>
          </w:tcPr>
          <w:p>
            <w:pPr>
              <w:spacing w:after="0"/>
              <w:rPr>
                <w:rFonts w:ascii="Arial" w:cs="Arial" w:eastAsia="Arial" w:hAnsi="Arial"/>
                <w:sz w:val="16"/>
                <w:szCs w:val="16"/>
                <w:color w:val="0000FF"/>
              </w:rPr>
            </w:pPr>
            <w:hyperlink w:anchor="page9">
              <w:r>
                <w:rPr>
                  <w:rFonts w:ascii="Arial" w:cs="Arial" w:eastAsia="Arial" w:hAnsi="Arial"/>
                  <w:sz w:val="16"/>
                  <w:szCs w:val="16"/>
                  <w:color w:val="0000FF"/>
                </w:rPr>
                <w:t>Notes to Unaudited Condensed Consolidated Financial Statements</w:t>
              </w:r>
            </w:hyperlink>
          </w:p>
        </w:tc>
        <w:tc>
          <w:tcPr>
            <w:tcW w:w="7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9">
              <w:r>
                <w:rPr>
                  <w:rFonts w:ascii="Arial" w:cs="Arial" w:eastAsia="Arial" w:hAnsi="Arial"/>
                  <w:sz w:val="16"/>
                  <w:szCs w:val="16"/>
                  <w:color w:val="0000FF"/>
                </w:rPr>
                <w:t>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2"/>
          </w:tcPr>
          <w:p>
            <w:pPr>
              <w:spacing w:after="0"/>
              <w:rPr>
                <w:rFonts w:ascii="Arial" w:cs="Arial" w:eastAsia="Arial" w:hAnsi="Arial"/>
                <w:sz w:val="16"/>
                <w:szCs w:val="16"/>
                <w:color w:val="0000FF"/>
                <w:w w:val="91"/>
              </w:rPr>
            </w:pPr>
            <w:hyperlink w:anchor="page29">
              <w:r>
                <w:rPr>
                  <w:rFonts w:ascii="Arial" w:cs="Arial" w:eastAsia="Arial" w:hAnsi="Arial"/>
                  <w:sz w:val="16"/>
                  <w:szCs w:val="16"/>
                  <w:color w:val="0000FF"/>
                  <w:w w:val="91"/>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w w:val="92"/>
              </w:rPr>
            </w:pPr>
            <w:hyperlink w:anchor="page39">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8"/>
          </w:tcPr>
          <w:p>
            <w:pPr>
              <w:spacing w:after="0"/>
              <w:rPr>
                <w:rFonts w:ascii="Arial" w:cs="Arial" w:eastAsia="Arial" w:hAnsi="Arial"/>
                <w:sz w:val="16"/>
                <w:szCs w:val="16"/>
                <w:color w:val="0000FF"/>
                <w:w w:val="96"/>
              </w:rPr>
            </w:pPr>
            <w:hyperlink w:anchor="page41">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5"/>
          </w:tcPr>
          <w:p>
            <w:pPr>
              <w:spacing w:after="0"/>
              <w:rPr>
                <w:rFonts w:ascii="Arial" w:cs="Arial" w:eastAsia="Arial" w:hAnsi="Arial"/>
                <w:sz w:val="16"/>
                <w:szCs w:val="16"/>
                <w:color w:val="0000FF"/>
                <w:w w:val="88"/>
              </w:rPr>
            </w:pPr>
            <w:hyperlink w:anchor="page41">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6"/>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Arial" w:cs="Arial" w:eastAsia="Arial" w:hAnsi="Arial"/>
                <w:sz w:val="16"/>
                <w:szCs w:val="16"/>
                <w:color w:val="0000EE"/>
                <w:w w:val="92"/>
              </w:rPr>
            </w:pPr>
            <w:hyperlink w:anchor="page41">
              <w:r>
                <w:rPr>
                  <w:rFonts w:ascii="Arial" w:cs="Arial" w:eastAsia="Arial" w:hAnsi="Arial"/>
                  <w:sz w:val="16"/>
                  <w:szCs w:val="16"/>
                  <w:color w:val="0000EE"/>
                  <w:w w:val="92"/>
                </w:rPr>
                <w:t>Item 5. Other Information</w:t>
              </w:r>
            </w:hyperlink>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6. Exhibits</w:t>
              </w:r>
            </w:hyperlink>
          </w:p>
        </w:tc>
        <w:tc>
          <w:tcPr>
            <w:tcW w:w="700" w:type="dxa"/>
            <w:vAlign w:val="bottom"/>
            <w:gridSpan w:val="3"/>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3">
              <w:r>
                <w:rPr>
                  <w:rFonts w:ascii="Arial" w:cs="Arial" w:eastAsia="Arial" w:hAnsi="Arial"/>
                  <w:sz w:val="16"/>
                  <w:szCs w:val="16"/>
                  <w:color w:val="0000FF"/>
                  <w:w w:val="90"/>
                </w:rPr>
                <w:t>SIGNATURES</w:t>
              </w:r>
            </w:hyperlink>
          </w:p>
        </w:tc>
        <w:tc>
          <w:tcPr>
            <w:tcW w:w="9160" w:type="dxa"/>
            <w:vAlign w:val="bottom"/>
            <w:gridSpan w:val="1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5"/>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Exhibit 10.1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900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9800" w:type="dxa"/>
            <w:vAlign w:val="bottom"/>
            <w:gridSpan w:val="15"/>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Exhibit 10.2</w:t>
              </w:r>
            </w:hyperlink>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8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Exhibit 31.1</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2">
        <w:r>
          <w:rPr>
            <w:rFonts w:ascii="Arial" w:cs="Arial" w:eastAsia="Arial" w:hAnsi="Arial"/>
            <w:sz w:val="16"/>
            <w:szCs w:val="16"/>
            <w:u w:val="single" w:color="auto"/>
            <w:color w:val="0000FF"/>
          </w:rPr>
          <w:t>Exhibit 31.2</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Exhibit 32.1</w:t>
        </w:r>
      </w:hyperlink>
    </w:p>
    <w:p>
      <w:pPr>
        <w:spacing w:after="0" w:line="86" w:lineRule="exact"/>
        <w:rPr>
          <w:sz w:val="20"/>
          <w:szCs w:val="20"/>
          <w:color w:val="auto"/>
        </w:rPr>
      </w:pPr>
    </w:p>
    <w:p>
      <w:pPr>
        <w:ind w:left="38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Exhibit 32.2</w:t>
        </w:r>
      </w:hyperlink>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562"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0219"/>
          </w:cols>
          <w:pgMar w:left="240" w:top="125"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6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26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383,645</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366,190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743,335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723,272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143,671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137,565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272,583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281,787</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17,633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19,108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35,954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37,433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165,378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176,597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340,247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340,163</w:t>
            </w:r>
          </w:p>
        </w:tc>
      </w:tr>
      <w:tr>
        <w:trPr>
          <w:trHeight w:val="243"/>
        </w:trPr>
        <w:tc>
          <w:tcPr>
            <w:tcW w:w="526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11,004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5,286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16,284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10,676</w:t>
            </w: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337,686</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338,556</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665,068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670,059</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45,959</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27,634</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78,267</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53,213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2,710</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(13,384)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(17,504)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(26,533)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(36,272)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1,098</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4,334</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4,672</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36,383</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12,731</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61,206</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21,863</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6,647</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r>
      <w:tr>
        <w:trPr>
          <w:trHeight w:val="297"/>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29,736</w:t>
            </w:r>
          </w:p>
        </w:tc>
        <w:tc>
          <w:tcPr>
            <w:tcW w:w="2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11,376</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62,492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22,368</w:t>
            </w:r>
          </w:p>
        </w:tc>
      </w:tr>
      <w:tr>
        <w:trPr>
          <w:trHeight w:val="311"/>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0.72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0.27</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52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w w:val="98"/>
              </w:rPr>
              <w:t>Weighted average common shares outstanding (See Note 13):</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85,577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82,423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85,460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80,491</w:t>
            </w:r>
          </w:p>
        </w:tc>
      </w:tr>
      <w:tr>
        <w:trPr>
          <w:trHeight w:val="243"/>
        </w:trPr>
        <w:tc>
          <w:tcPr>
            <w:tcW w:w="5260" w:type="dxa"/>
            <w:vAlign w:val="bottom"/>
          </w:tcPr>
          <w:p>
            <w:pPr>
              <w:ind w:left="54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86,257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83,513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86,407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81,702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14)</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17,714</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39,235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21,401</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2019</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4"/>
                <w:szCs w:val="14"/>
                <w:b w:val="1"/>
                <w:bCs w:val="1"/>
                <w:color w:val="auto"/>
                <w:w w:val="95"/>
              </w:rPr>
              <w:t>December 31, 2018</w:t>
            </w:r>
          </w:p>
        </w:tc>
      </w:tr>
      <w:tr>
        <w:trPr>
          <w:trHeight w:val="250"/>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176,084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138,838</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Trade accounts receivable, net of allowances of $4,394 and $3,719</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296,507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265,737</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296,505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280,347</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99,576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90,160</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868,672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775,082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316,445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300,112</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Right of use asset -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97,783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1,041,620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1,079,496</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926,475</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22,438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6,805</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19,917</w:t>
            </w:r>
          </w:p>
        </w:tc>
      </w:tr>
      <w:tr>
        <w:trPr>
          <w:trHeight w:val="28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3,290,410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3,107,887</w:t>
            </w:r>
          </w:p>
        </w:tc>
      </w:tr>
      <w:tr>
        <w:trPr>
          <w:trHeight w:val="237"/>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Current portion of borrowings under senior credit facility</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22,500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Current portion of lease liability - operating leases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13,448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Accounts payable, trade</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76,050</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3,507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3,764</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75,693</w:t>
            </w:r>
          </w:p>
        </w:tc>
      </w:tr>
      <w:tr>
        <w:trPr>
          <w:trHeight w:val="237"/>
        </w:trPr>
        <w:tc>
          <w:tcPr>
            <w:tcW w:w="786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81,693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84,545</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315,111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262,552</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1,204,537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1,210,513</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securitization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121,200</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Lease liability - operating leases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94,197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57,778</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100,128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80,048</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1,869,459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1,732,091</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Commitments and contingencies (Refer to Note 16)</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8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8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Common stock; $0.01 par value; 240,000 authorized shares; 88,351 and 88,044 issued at June 30, 2019 and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December 31, 2018,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880</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1,198,010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1,192,601</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5"/>
              </w:rPr>
              <w:t>Treasury stock, at cost; 2,869 shares and 2,881 shares at June 30, 2019 and December 31, 2018,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(120,615)</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(68,700)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(45,443)</w:t>
            </w:r>
          </w:p>
        </w:tc>
      </w:tr>
      <w:tr>
        <w:trPr>
          <w:trHeight w:val="3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410,865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348,373</w:t>
            </w:r>
          </w:p>
        </w:tc>
      </w:tr>
      <w:tr>
        <w:trPr>
          <w:trHeight w:val="217"/>
        </w:trPr>
        <w:tc>
          <w:tcPr>
            <w:tcW w:w="786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1,420,951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1,375,796</w:t>
            </w:r>
          </w:p>
        </w:tc>
      </w:tr>
      <w:tr>
        <w:trPr>
          <w:trHeight w:val="33"/>
        </w:trPr>
        <w:tc>
          <w:tcPr>
            <w:tcW w:w="7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3,290,410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3,107,887</w:t>
            </w: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gridSpan w:val="4"/>
          </w:tcPr>
          <w:p>
            <w:pPr>
              <w:jc w:val="right"/>
              <w:ind w:right="710"/>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78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6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6"/>
                <w:szCs w:val="16"/>
                <w:b w:val="1"/>
                <w:bCs w:val="1"/>
                <w:color w:val="auto"/>
              </w:rPr>
              <w:t>2018</w:t>
            </w:r>
          </w:p>
        </w:tc>
      </w:tr>
      <w:tr>
        <w:trPr>
          <w:trHeight w:val="33"/>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62,492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22,368</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53,985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54,002</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impairment charges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(9,077)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Loss on disposal of property and equipment</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127</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9,859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10,214</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 net of business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(8,420)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(1,959)</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non-current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Accounts payable, accrued expenses and other current liabilities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16,410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(3,405)</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4,792</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78,008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77,744</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(35,387)</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note receivable</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Cash provided by business acquisitions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26,704</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(8,032)</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borrowings of long-term indebtedness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Payments on debt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(415,000)</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the issuance of common stock, net of issuance costs</w:t>
            </w:r>
          </w:p>
        </w:tc>
        <w:tc>
          <w:tcPr>
            <w:tcW w:w="4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349,599</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 for financing liabilities from business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(33,843)</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exercised stock options</w:t>
            </w: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3,727</w:t>
            </w:r>
          </w:p>
        </w:tc>
      </w:tr>
      <w:tr>
        <w:trPr>
          <w:trHeight w:val="27"/>
        </w:trPr>
        <w:tc>
          <w:tcPr>
            <w:tcW w:w="7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taxes paid in net equity settlement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(7,240)</w:t>
            </w: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(56,978)</w:t>
            </w:r>
          </w:p>
        </w:tc>
      </w:tr>
      <w:tr>
        <w:trPr>
          <w:trHeight w:val="27"/>
        </w:trPr>
        <w:tc>
          <w:tcPr>
            <w:tcW w:w="7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r>
      <w:tr>
        <w:trPr>
          <w:trHeight w:val="20"/>
        </w:trPr>
        <w:tc>
          <w:tcPr>
            <w:tcW w:w="78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5" w:right="2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40005</wp:posOffset>
            </wp:positionV>
            <wp:extent cx="722947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1100"/>
        <w:spacing w:after="0"/>
        <w:tabs>
          <w:tab w:leader="none" w:pos="2980" w:val="left"/>
        </w:tabs>
        <w:rPr>
          <w:sz w:val="20"/>
          <w:szCs w:val="20"/>
          <w:color w:val="auto"/>
        </w:rPr>
      </w:pPr>
      <w:r>
        <w:rPr>
          <w:rFonts w:ascii="Arial" w:cs="Arial" w:eastAsia="Arial" w:hAnsi="Arial"/>
          <w:sz w:val="18"/>
          <w:szCs w:val="18"/>
          <w:color w:val="auto"/>
        </w:rPr>
        <w:t>37,246</w:t>
      </w:r>
      <w:r>
        <w:rPr>
          <w:sz w:val="20"/>
          <w:szCs w:val="20"/>
          <w:color w:val="auto"/>
        </w:rPr>
        <w:tab/>
      </w:r>
      <w:r>
        <w:rPr>
          <w:rFonts w:ascii="Arial" w:cs="Arial" w:eastAsia="Arial" w:hAnsi="Arial"/>
          <w:sz w:val="18"/>
          <w:szCs w:val="18"/>
          <w:color w:val="auto"/>
        </w:rPr>
        <w:t>8,836</w:t>
      </w:r>
    </w:p>
    <w:p>
      <w:pPr>
        <w:spacing w:after="0" w:line="63" w:lineRule="exact"/>
        <w:rPr>
          <w:sz w:val="20"/>
          <w:szCs w:val="20"/>
          <w:color w:val="auto"/>
        </w:rPr>
      </w:pPr>
    </w:p>
    <w:p>
      <w:pPr>
        <w:jc w:val="both"/>
        <w:ind w:left="1000"/>
        <w:spacing w:after="0"/>
        <w:tabs>
          <w:tab w:leader="none" w:pos="2800" w:val="left"/>
        </w:tabs>
        <w:rPr>
          <w:sz w:val="20"/>
          <w:szCs w:val="20"/>
          <w:color w:val="auto"/>
        </w:rPr>
      </w:pPr>
      <w:r>
        <w:rPr>
          <w:rFonts w:ascii="Arial" w:cs="Arial" w:eastAsia="Arial" w:hAnsi="Arial"/>
          <w:sz w:val="18"/>
          <w:szCs w:val="18"/>
          <w:color w:val="auto"/>
        </w:rPr>
        <w:t>138,838</w:t>
      </w:r>
      <w:r>
        <w:rPr>
          <w:sz w:val="20"/>
          <w:szCs w:val="20"/>
          <w:color w:val="auto"/>
        </w:rPr>
        <w:tab/>
      </w:r>
      <w:r>
        <w:rPr>
          <w:rFonts w:ascii="Arial" w:cs="Arial" w:eastAsia="Arial" w:hAnsi="Arial"/>
          <w:sz w:val="18"/>
          <w:szCs w:val="18"/>
          <w:color w:val="auto"/>
        </w:rPr>
        <w:t>174,935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383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57" w:lineRule="exact"/>
        <w:rPr>
          <w:sz w:val="20"/>
          <w:szCs w:val="20"/>
          <w:color w:val="auto"/>
        </w:rPr>
      </w:pPr>
    </w:p>
    <w:p>
      <w:pPr>
        <w:spacing w:after="0"/>
        <w:tabs>
          <w:tab w:leader="none" w:pos="980" w:val="left"/>
          <w:tab w:leader="none" w:pos="1820" w:val="left"/>
          <w:tab w:leader="none" w:pos="2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176,084</w:t>
        <w:tab/>
        <w:t>$</w:t>
      </w:r>
      <w:r>
        <w:rPr>
          <w:sz w:val="20"/>
          <w:szCs w:val="20"/>
          <w:color w:val="auto"/>
        </w:rPr>
        <w:tab/>
      </w:r>
      <w:r>
        <w:rPr>
          <w:rFonts w:ascii="Arial" w:cs="Arial" w:eastAsia="Arial" w:hAnsi="Arial"/>
          <w:sz w:val="16"/>
          <w:szCs w:val="16"/>
          <w:color w:val="auto"/>
        </w:rPr>
        <w:t>183,771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3837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3837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180" w:space="720"/>
            <w:col w:w="3500"/>
          </w:cols>
          <w:pgMar w:left="240" w:top="125" w:right="259" w:bottom="1440" w:gutter="0" w:footer="0" w:header="0"/>
          <w:type w:val="continuous"/>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ectPr>
          <w:pgSz w:w="11900" w:h="16838" w:orient="portrait"/>
          <w:cols w:equalWidth="0" w:num="1">
            <w:col w:w="11400"/>
          </w:cols>
          <w:pgMar w:left="240" w:top="125" w:right="259" w:bottom="1440" w:gutter="0" w:footer="0" w:header="0"/>
          <w:type w:val="continuous"/>
        </w:sect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5" w:right="25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60" w:right="174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06" w:lineRule="exact"/>
        <w:rPr>
          <w:sz w:val="20"/>
          <w:szCs w:val="20"/>
          <w:color w:val="auto"/>
        </w:rPr>
      </w:pPr>
    </w:p>
    <w:p>
      <w:pPr>
        <w:ind w:left="6520"/>
        <w:spacing w:after="0"/>
        <w:rPr>
          <w:sz w:val="20"/>
          <w:szCs w:val="20"/>
          <w:color w:val="auto"/>
        </w:rPr>
      </w:pPr>
      <w:r>
        <w:rPr>
          <w:rFonts w:ascii="Arial" w:cs="Arial" w:eastAsia="Arial" w:hAnsi="Arial"/>
          <w:sz w:val="13"/>
          <w:szCs w:val="13"/>
          <w:b w:val="1"/>
          <w:bCs w:val="1"/>
          <w:color w:val="auto"/>
        </w:rPr>
        <w:t>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45085</wp:posOffset>
            </wp:positionV>
            <wp:extent cx="51371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9" w:lineRule="exact"/>
        <w:rPr>
          <w:sz w:val="20"/>
          <w:szCs w:val="20"/>
          <w:color w:val="auto"/>
        </w:rPr>
      </w:pPr>
    </w:p>
    <w:tbl>
      <w:tblPr>
        <w:tblLayout w:type="fixed"/>
        <w:tblInd w:w="3340" w:type="dxa"/>
        <w:tblCellMar>
          <w:top w:w="0" w:type="dxa"/>
          <w:left w:w="0" w:type="dxa"/>
          <w:bottom w:w="0" w:type="dxa"/>
          <w:right w:w="0" w:type="dxa"/>
        </w:tblCellMar>
      </w:tblPr>
      <w:tr>
        <w:trPr>
          <w:trHeight w:val="149"/>
        </w:trPr>
        <w:tc>
          <w:tcPr>
            <w:tcW w:w="1860" w:type="dxa"/>
            <w:vAlign w:val="bottom"/>
            <w:gridSpan w:val="3"/>
          </w:tcPr>
          <w:p>
            <w:pPr>
              <w:ind w:left="460"/>
              <w:spacing w:after="0"/>
              <w:rPr>
                <w:sz w:val="20"/>
                <w:szCs w:val="20"/>
                <w:color w:val="auto"/>
              </w:rPr>
            </w:pPr>
            <w:r>
              <w:rPr>
                <w:rFonts w:ascii="Arial" w:cs="Arial" w:eastAsia="Arial" w:hAnsi="Arial"/>
                <w:sz w:val="13"/>
                <w:szCs w:val="13"/>
                <w:b w:val="1"/>
                <w:bCs w:val="1"/>
                <w:color w:val="auto"/>
              </w:rPr>
              <w:t>Common Stock</w:t>
            </w:r>
          </w:p>
        </w:tc>
        <w:tc>
          <w:tcPr>
            <w:tcW w:w="1860" w:type="dxa"/>
            <w:vAlign w:val="bottom"/>
            <w:gridSpan w:val="2"/>
          </w:tcPr>
          <w:p>
            <w:pPr>
              <w:ind w:left="540"/>
              <w:spacing w:after="0"/>
              <w:rPr>
                <w:sz w:val="20"/>
                <w:szCs w:val="20"/>
                <w:color w:val="auto"/>
              </w:rPr>
            </w:pPr>
            <w:r>
              <w:rPr>
                <w:rFonts w:ascii="Arial" w:cs="Arial" w:eastAsia="Arial" w:hAnsi="Arial"/>
                <w:sz w:val="13"/>
                <w:szCs w:val="13"/>
                <w:b w:val="1"/>
                <w:bCs w:val="1"/>
                <w:color w:val="auto"/>
              </w:rPr>
              <w:t>Treasury Stock</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Additional Paid-</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8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Retained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180" w:type="dxa"/>
            <w:vAlign w:val="bottom"/>
            <w:vMerge w:val="continue"/>
          </w:tcPr>
          <w:p>
            <w:pPr>
              <w:spacing w:after="0"/>
              <w:rPr>
                <w:sz w:val="3"/>
                <w:szCs w:val="3"/>
                <w:color w:val="auto"/>
              </w:rPr>
            </w:pPr>
          </w:p>
        </w:tc>
        <w:tc>
          <w:tcPr>
            <w:tcW w:w="13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40" w:type="dxa"/>
            <w:vAlign w:val="bottom"/>
            <w:vMerge w:val="continue"/>
          </w:tcPr>
          <w:p>
            <w:pPr>
              <w:spacing w:after="0"/>
              <w:rPr>
                <w:sz w:val="3"/>
                <w:szCs w:val="3"/>
                <w:color w:val="auto"/>
              </w:rPr>
            </w:pPr>
          </w:p>
        </w:tc>
        <w:tc>
          <w:tcPr>
            <w:tcW w:w="840" w:type="dxa"/>
            <w:vAlign w:val="bottom"/>
            <w:vMerge w:val="restart"/>
          </w:tcPr>
          <w:p>
            <w:pPr>
              <w:ind w:left="180"/>
              <w:spacing w:after="0" w:line="135" w:lineRule="exact"/>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70"/>
        </w:trPr>
        <w:tc>
          <w:tcPr>
            <w:tcW w:w="80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6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Amount</w:t>
            </w:r>
          </w:p>
        </w:tc>
        <w:tc>
          <w:tcPr>
            <w:tcW w:w="88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98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Amount</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In Capital</w:t>
            </w:r>
          </w:p>
        </w:tc>
        <w:tc>
          <w:tcPr>
            <w:tcW w:w="1380" w:type="dxa"/>
            <w:vAlign w:val="bottom"/>
            <w:vMerge w:val="continue"/>
          </w:tcPr>
          <w:p>
            <w:pPr>
              <w:spacing w:after="0"/>
              <w:rPr>
                <w:sz w:val="6"/>
                <w:szCs w:val="6"/>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Earnings</w:t>
            </w: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80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19050</wp:posOffset>
            </wp:positionV>
            <wp:extent cx="51371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9" w:lineRule="exact"/>
        <w:rPr>
          <w:sz w:val="20"/>
          <w:szCs w:val="20"/>
          <w:color w:val="auto"/>
        </w:rPr>
      </w:pPr>
    </w:p>
    <w:p>
      <w:pPr>
        <w:ind w:left="700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82" w:lineRule="exact"/>
        <w:rPr>
          <w:sz w:val="20"/>
          <w:szCs w:val="20"/>
          <w:color w:val="auto"/>
        </w:rPr>
      </w:pPr>
    </w:p>
    <w:p>
      <w:pPr>
        <w:ind w:left="40" w:right="10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88,044</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880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(2,881)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   (120,615)</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1,192,601</w:t>
            </w:r>
          </w:p>
        </w:tc>
        <w:tc>
          <w:tcPr>
            <w:tcW w:w="4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(45,443)</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  348,373</w:t>
            </w:r>
          </w:p>
        </w:tc>
        <w:tc>
          <w:tcPr>
            <w:tcW w:w="920" w:type="dxa"/>
            <w:vAlign w:val="bottom"/>
          </w:tcPr>
          <w:p>
            <w:pPr>
              <w:jc w:val="right"/>
              <w:spacing w:after="0"/>
              <w:rPr>
                <w:sz w:val="20"/>
                <w:szCs w:val="20"/>
                <w:color w:val="auto"/>
              </w:rPr>
            </w:pPr>
            <w:r>
              <w:rPr>
                <w:rFonts w:ascii="Arial" w:cs="Arial" w:eastAsia="Arial" w:hAnsi="Arial"/>
                <w:sz w:val="14"/>
                <w:szCs w:val="14"/>
                <w:color w:val="auto"/>
              </w:rPr>
              <w:t>$  1,375,796</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32,756</w:t>
            </w:r>
          </w:p>
        </w:tc>
        <w:tc>
          <w:tcPr>
            <w:tcW w:w="920" w:type="dxa"/>
            <w:vAlign w:val="bottom"/>
          </w:tcPr>
          <w:p>
            <w:pPr>
              <w:jc w:val="right"/>
              <w:spacing w:after="0"/>
              <w:rPr>
                <w:sz w:val="20"/>
                <w:szCs w:val="20"/>
                <w:color w:val="auto"/>
              </w:rPr>
            </w:pPr>
            <w:r>
              <w:rPr>
                <w:rFonts w:ascii="Arial" w:cs="Arial" w:eastAsia="Arial" w:hAnsi="Arial"/>
                <w:sz w:val="14"/>
                <w:szCs w:val="14"/>
                <w:color w:val="auto"/>
              </w:rPr>
              <w:t>32,756</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(11,236)</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(11,236)</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46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716</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716</w:t>
            </w:r>
          </w:p>
        </w:tc>
      </w:tr>
      <w:tr>
        <w:trPr>
          <w:trHeight w:val="35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243</w:t>
            </w:r>
          </w:p>
        </w:tc>
        <w:tc>
          <w:tcPr>
            <w:tcW w:w="46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2</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12</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506</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(5,629)</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(5,121)</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4,119</w:t>
            </w:r>
          </w:p>
        </w:tc>
        <w:tc>
          <w:tcPr>
            <w:tcW w:w="46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-926465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-583565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-137795</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3080" w:space="440"/>
            <w:col w:w="79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340" w:type="dxa"/>
            <w:vAlign w:val="bottom"/>
          </w:tcPr>
          <w:p>
            <w:pPr>
              <w:ind w:left="40"/>
              <w:spacing w:after="0"/>
              <w:rPr>
                <w:sz w:val="20"/>
                <w:szCs w:val="20"/>
                <w:color w:val="auto"/>
              </w:rPr>
            </w:pPr>
            <w:r>
              <w:rPr>
                <w:rFonts w:ascii="Arial" w:cs="Arial" w:eastAsia="Arial" w:hAnsi="Arial"/>
                <w:sz w:val="14"/>
                <w:szCs w:val="14"/>
                <w:color w:val="auto"/>
              </w:rPr>
              <w:t>Balance, March 31, 2019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88,304</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(2,869)</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   (120,109)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1,191,807</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(56,679)</w:t>
            </w:r>
          </w:p>
        </w:tc>
        <w:tc>
          <w:tcPr>
            <w:tcW w:w="12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381,129</w:t>
            </w:r>
          </w:p>
        </w:tc>
        <w:tc>
          <w:tcPr>
            <w:tcW w:w="10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1,397,030</w:t>
            </w:r>
          </w:p>
        </w:tc>
      </w:tr>
      <w:tr>
        <w:trPr>
          <w:trHeight w:val="79"/>
        </w:trPr>
        <w:tc>
          <w:tcPr>
            <w:tcW w:w="334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185"/>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29,736</w:t>
            </w:r>
          </w:p>
        </w:tc>
      </w:tr>
      <w:tr>
        <w:trPr>
          <w:trHeight w:val="39"/>
        </w:trPr>
        <w:tc>
          <w:tcPr>
            <w:tcW w:w="33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r>
    </w:tbl>
    <w:p>
      <w:pPr>
        <w:spacing w:after="0" w:line="35"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8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for vesting of share based awards, net of shares withheld for taxes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June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(12,021)</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(12,021)</w:t>
            </w:r>
          </w:p>
        </w:tc>
      </w:tr>
      <w:tr>
        <w:trPr>
          <w:trHeight w:val="311"/>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405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408</w:t>
            </w:r>
          </w:p>
        </w:tc>
      </w:tr>
      <w:tr>
        <w:trPr>
          <w:trHeight w:val="311"/>
        </w:trPr>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5,798</w:t>
            </w:r>
          </w:p>
        </w:tc>
      </w:tr>
      <w:tr>
        <w:trPr>
          <w:trHeight w:val="53"/>
        </w:trPr>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98"/>
        </w:trPr>
        <w:tc>
          <w:tcPr>
            <w:tcW w:w="700" w:type="dxa"/>
            <w:vAlign w:val="bottom"/>
          </w:tcPr>
          <w:p>
            <w:pPr>
              <w:jc w:val="right"/>
              <w:ind w:right="48"/>
              <w:spacing w:after="0"/>
              <w:rPr>
                <w:sz w:val="20"/>
                <w:szCs w:val="20"/>
                <w:color w:val="auto"/>
              </w:rPr>
            </w:pPr>
            <w:r>
              <w:rPr>
                <w:rFonts w:ascii="Arial" w:cs="Arial" w:eastAsia="Arial" w:hAnsi="Arial"/>
                <w:sz w:val="14"/>
                <w:szCs w:val="14"/>
                <w:color w:val="auto"/>
              </w:rPr>
              <w:t>88,351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883</w:t>
            </w:r>
          </w:p>
        </w:tc>
        <w:tc>
          <w:tcPr>
            <w:tcW w:w="1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(2,869)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   (120,107)</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1,198,010</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(68,700)</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w w:val="99"/>
              </w:rPr>
              <w:t>$  410,865</w:t>
            </w:r>
          </w:p>
        </w:tc>
        <w:tc>
          <w:tcPr>
            <w:tcW w:w="100" w:type="dxa"/>
            <w:vAlign w:val="bottom"/>
          </w:tcPr>
          <w:p>
            <w:pPr>
              <w:spacing w:after="0"/>
              <w:rPr>
                <w:sz w:val="17"/>
                <w:szCs w:val="17"/>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1,420,951</w:t>
            </w:r>
          </w:p>
        </w:tc>
      </w:tr>
      <w:tr>
        <w:trPr>
          <w:trHeight w:val="39"/>
        </w:trPr>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-582295</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-187960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260"/>
            <w:col w:w="8080"/>
          </w:cols>
          <w:pgMar w:left="240" w:top="125" w:right="2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60" w:right="1740"/>
        <w:spacing w:after="0" w:line="275" w:lineRule="auto"/>
        <w:rPr>
          <w:sz w:val="20"/>
          <w:szCs w:val="20"/>
          <w:color w:val="auto"/>
        </w:rPr>
      </w:pPr>
      <w:r>
        <w:rPr>
          <w:rFonts w:ascii="Arial" w:cs="Arial" w:eastAsia="Arial" w:hAnsi="Arial"/>
          <w:sz w:val="18"/>
          <w:szCs w:val="18"/>
          <w:b w:val="1"/>
          <w:bCs w:val="1"/>
          <w:color w:val="auto"/>
        </w:rPr>
        <w:t>INTEGRA LIFESCIENCES HOLDINGS CORPORATION CONDENSED CONSOLIDATED STATEMENTS OF CHANGES IN SHAREHOLDER'S EQUITY (UNAUDITED)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379" w:lineRule="exact"/>
        <w:rPr>
          <w:sz w:val="20"/>
          <w:szCs w:val="20"/>
          <w:color w:val="auto"/>
        </w:rPr>
      </w:pPr>
    </w:p>
    <w:p>
      <w:pPr>
        <w:ind w:left="6400"/>
        <w:spacing w:after="0"/>
        <w:rPr>
          <w:sz w:val="20"/>
          <w:szCs w:val="20"/>
          <w:color w:val="auto"/>
        </w:rPr>
      </w:pPr>
      <w:r>
        <w:rPr>
          <w:rFonts w:ascii="Arial" w:cs="Arial" w:eastAsia="Arial" w:hAnsi="Arial"/>
          <w:sz w:val="13"/>
          <w:szCs w:val="13"/>
          <w:b w:val="1"/>
          <w:bCs w:val="1"/>
          <w:color w:val="auto"/>
        </w:rPr>
        <w:t>Six Months Ended 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45085</wp:posOffset>
            </wp:positionV>
            <wp:extent cx="52825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9" w:lineRule="exact"/>
        <w:rPr>
          <w:sz w:val="20"/>
          <w:szCs w:val="20"/>
          <w:color w:val="auto"/>
        </w:rPr>
      </w:pPr>
    </w:p>
    <w:tbl>
      <w:tblPr>
        <w:tblLayout w:type="fixed"/>
        <w:tblInd w:w="3100" w:type="dxa"/>
        <w:tblCellMar>
          <w:top w:w="0" w:type="dxa"/>
          <w:left w:w="0" w:type="dxa"/>
          <w:bottom w:w="0" w:type="dxa"/>
          <w:right w:w="0" w:type="dxa"/>
        </w:tblCellMar>
      </w:tblPr>
      <w:tr>
        <w:trPr>
          <w:trHeight w:val="149"/>
        </w:trPr>
        <w:tc>
          <w:tcPr>
            <w:tcW w:w="2100" w:type="dxa"/>
            <w:vAlign w:val="bottom"/>
            <w:gridSpan w:val="3"/>
          </w:tcPr>
          <w:p>
            <w:pPr>
              <w:ind w:left="600"/>
              <w:spacing w:after="0"/>
              <w:rPr>
                <w:sz w:val="20"/>
                <w:szCs w:val="20"/>
                <w:color w:val="auto"/>
              </w:rPr>
            </w:pPr>
            <w:r>
              <w:rPr>
                <w:rFonts w:ascii="Arial" w:cs="Arial" w:eastAsia="Arial" w:hAnsi="Arial"/>
                <w:sz w:val="13"/>
                <w:szCs w:val="13"/>
                <w:b w:val="1"/>
                <w:bCs w:val="1"/>
                <w:color w:val="auto"/>
              </w:rPr>
              <w:t>Common Stock</w:t>
            </w:r>
          </w:p>
        </w:tc>
        <w:tc>
          <w:tcPr>
            <w:tcW w:w="1740" w:type="dxa"/>
            <w:vAlign w:val="bottom"/>
            <w:gridSpan w:val="2"/>
          </w:tcPr>
          <w:p>
            <w:pPr>
              <w:ind w:left="480"/>
              <w:spacing w:after="0"/>
              <w:rPr>
                <w:sz w:val="20"/>
                <w:szCs w:val="20"/>
                <w:color w:val="auto"/>
              </w:rPr>
            </w:pPr>
            <w:r>
              <w:rPr>
                <w:rFonts w:ascii="Arial" w:cs="Arial" w:eastAsia="Arial" w:hAnsi="Arial"/>
                <w:sz w:val="13"/>
                <w:szCs w:val="13"/>
                <w:b w:val="1"/>
                <w:bCs w:val="1"/>
                <w:color w:val="auto"/>
              </w:rPr>
              <w:t>Treasury Stock</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Additional Paid-</w:t>
            </w:r>
          </w:p>
        </w:tc>
        <w:tc>
          <w:tcPr>
            <w:tcW w:w="140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Accumulated Other</w:t>
            </w: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Retained</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9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0" w:type="dxa"/>
            <w:vAlign w:val="bottom"/>
            <w:vMerge w:val="continue"/>
          </w:tcPr>
          <w:p>
            <w:pPr>
              <w:spacing w:after="0"/>
              <w:rPr>
                <w:sz w:val="3"/>
                <w:szCs w:val="3"/>
                <w:color w:val="auto"/>
              </w:rPr>
            </w:pPr>
          </w:p>
        </w:tc>
        <w:tc>
          <w:tcPr>
            <w:tcW w:w="1400" w:type="dxa"/>
            <w:vAlign w:val="bottom"/>
            <w:vMerge w:val="restart"/>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80" w:type="dxa"/>
            <w:vAlign w:val="bottom"/>
            <w:vMerge w:val="continue"/>
          </w:tcPr>
          <w:p>
            <w:pPr>
              <w:spacing w:after="0"/>
              <w:rPr>
                <w:sz w:val="3"/>
                <w:szCs w:val="3"/>
                <w:color w:val="auto"/>
              </w:rPr>
            </w:pPr>
          </w:p>
        </w:tc>
        <w:tc>
          <w:tcPr>
            <w:tcW w:w="880" w:type="dxa"/>
            <w:vAlign w:val="bottom"/>
            <w:vMerge w:val="restart"/>
          </w:tcPr>
          <w:p>
            <w:pPr>
              <w:ind w:left="220"/>
              <w:spacing w:after="0" w:line="135" w:lineRule="exact"/>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70"/>
        </w:trPr>
        <w:tc>
          <w:tcPr>
            <w:tcW w:w="98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Amount</w:t>
            </w:r>
          </w:p>
        </w:tc>
        <w:tc>
          <w:tcPr>
            <w:tcW w:w="80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Shares</w:t>
            </w:r>
          </w:p>
        </w:tc>
        <w:tc>
          <w:tcPr>
            <w:tcW w:w="9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Amount</w:t>
            </w:r>
          </w:p>
        </w:tc>
        <w:tc>
          <w:tcPr>
            <w:tcW w:w="12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In Capital</w:t>
            </w:r>
          </w:p>
        </w:tc>
        <w:tc>
          <w:tcPr>
            <w:tcW w:w="1400" w:type="dxa"/>
            <w:vAlign w:val="bottom"/>
            <w:vMerge w:val="continue"/>
          </w:tcPr>
          <w:p>
            <w:pPr>
              <w:spacing w:after="0"/>
              <w:rPr>
                <w:sz w:val="6"/>
                <w:szCs w:val="6"/>
                <w:color w:val="auto"/>
              </w:rPr>
            </w:pPr>
          </w:p>
        </w:tc>
        <w:tc>
          <w:tcPr>
            <w:tcW w:w="880" w:type="dxa"/>
            <w:vAlign w:val="bottom"/>
            <w:vMerge w:val="restart"/>
          </w:tcPr>
          <w:p>
            <w:pPr>
              <w:ind w:left="200"/>
              <w:spacing w:after="0"/>
              <w:rPr>
                <w:sz w:val="20"/>
                <w:szCs w:val="20"/>
                <w:color w:val="auto"/>
              </w:rPr>
            </w:pPr>
            <w:r>
              <w:rPr>
                <w:rFonts w:ascii="Arial" w:cs="Arial" w:eastAsia="Arial" w:hAnsi="Arial"/>
                <w:sz w:val="13"/>
                <w:szCs w:val="13"/>
                <w:b w:val="1"/>
                <w:bCs w:val="1"/>
                <w:color w:val="auto"/>
              </w:rPr>
              <w:t>Earnings</w:t>
            </w: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9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400" w:type="dxa"/>
            <w:vAlign w:val="bottom"/>
          </w:tcPr>
          <w:p>
            <w:pPr>
              <w:jc w:val="center"/>
              <w:ind w:right="17"/>
              <w:spacing w:after="0"/>
              <w:rPr>
                <w:sz w:val="20"/>
                <w:szCs w:val="20"/>
                <w:color w:val="auto"/>
              </w:rPr>
            </w:pPr>
            <w:r>
              <w:rPr>
                <w:rFonts w:ascii="Arial" w:cs="Arial" w:eastAsia="Arial" w:hAnsi="Arial"/>
                <w:sz w:val="13"/>
                <w:szCs w:val="13"/>
                <w:b w:val="1"/>
                <w:bCs w:val="1"/>
                <w:color w:val="auto"/>
                <w:w w:val="86"/>
              </w:rPr>
              <w:t>Income (Loss)</w:t>
            </w:r>
          </w:p>
        </w:tc>
        <w:tc>
          <w:tcPr>
            <w:tcW w:w="88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19050</wp:posOffset>
            </wp:positionV>
            <wp:extent cx="52825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p>
      <w:pPr>
        <w:spacing w:after="0" w:line="59" w:lineRule="exact"/>
        <w:rPr>
          <w:sz w:val="20"/>
          <w:szCs w:val="20"/>
          <w:color w:val="auto"/>
        </w:rPr>
      </w:pPr>
    </w:p>
    <w:p>
      <w:pPr>
        <w:ind w:left="6880"/>
        <w:spacing w:after="0"/>
        <w:rPr>
          <w:sz w:val="20"/>
          <w:szCs w:val="20"/>
          <w:color w:val="auto"/>
        </w:rPr>
      </w:pPr>
      <w:r>
        <w:rPr>
          <w:rFonts w:ascii="Arial" w:cs="Arial" w:eastAsia="Arial" w:hAnsi="Arial"/>
          <w:sz w:val="13"/>
          <w:szCs w:val="13"/>
          <w:b w:val="1"/>
          <w:bCs w:val="1"/>
          <w:color w:val="auto"/>
        </w:rPr>
        <w:t>(In thousands)</w:t>
      </w:r>
    </w:p>
    <w:p>
      <w:pPr>
        <w:sectPr>
          <w:pgSz w:w="11900" w:h="16838" w:orient="portrait"/>
          <w:cols w:equalWidth="0" w:num="1">
            <w:col w:w="11420"/>
          </w:cols>
          <w:pgMar w:left="240" w:top="125" w:right="23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December 31, 2017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Adoption of Update No. 2014-09</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 of common stock</w:t>
      </w:r>
    </w:p>
    <w:p>
      <w:pPr>
        <w:spacing w:after="0" w:line="82"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Issuance of common stock through employee stock purchase plan</w:t>
      </w:r>
    </w:p>
    <w:p>
      <w:pPr>
        <w:spacing w:after="0" w:line="12" w:lineRule="exact"/>
        <w:rPr>
          <w:sz w:val="20"/>
          <w:szCs w:val="20"/>
          <w:color w:val="auto"/>
        </w:rPr>
      </w:pPr>
    </w:p>
    <w:p>
      <w:pPr>
        <w:ind w:left="40" w:right="260"/>
        <w:spacing w:after="0" w:line="328" w:lineRule="auto"/>
        <w:rPr>
          <w:sz w:val="20"/>
          <w:szCs w:val="20"/>
          <w:color w:val="auto"/>
        </w:rPr>
      </w:pPr>
      <w:r>
        <w:rPr>
          <w:rFonts w:ascii="Arial" w:cs="Arial" w:eastAsia="Arial" w:hAnsi="Arial"/>
          <w:sz w:val="12"/>
          <w:szCs w:val="12"/>
          <w:color w:val="auto"/>
        </w:rPr>
        <w:t>Issuance of common stock for vesting of share based awards, net of shares withheld for taxes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Share-based compensation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81,306</w:t>
            </w:r>
          </w:p>
        </w:tc>
        <w:tc>
          <w:tcPr>
            <w:tcW w:w="4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813</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(2,927)</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   (121,644)</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821,758</w:t>
            </w:r>
          </w:p>
        </w:tc>
        <w:tc>
          <w:tcPr>
            <w:tcW w:w="4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(23,807)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285,186</w:t>
            </w:r>
          </w:p>
        </w:tc>
        <w:tc>
          <w:tcPr>
            <w:tcW w:w="900" w:type="dxa"/>
            <w:vAlign w:val="bottom"/>
          </w:tcPr>
          <w:p>
            <w:pPr>
              <w:jc w:val="right"/>
              <w:spacing w:after="0"/>
              <w:rPr>
                <w:sz w:val="20"/>
                <w:szCs w:val="20"/>
                <w:color w:val="auto"/>
              </w:rPr>
            </w:pPr>
            <w:r>
              <w:rPr>
                <w:rFonts w:ascii="Arial" w:cs="Arial" w:eastAsia="Arial" w:hAnsi="Arial"/>
                <w:sz w:val="14"/>
                <w:szCs w:val="14"/>
                <w:color w:val="auto"/>
              </w:rPr>
              <w:t>$   962,306</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10,992</w:t>
            </w:r>
          </w:p>
        </w:tc>
        <w:tc>
          <w:tcPr>
            <w:tcW w:w="900" w:type="dxa"/>
            <w:vAlign w:val="bottom"/>
          </w:tcPr>
          <w:p>
            <w:pPr>
              <w:jc w:val="right"/>
              <w:spacing w:after="0"/>
              <w:rPr>
                <w:sz w:val="20"/>
                <w:szCs w:val="20"/>
                <w:color w:val="auto"/>
              </w:rPr>
            </w:pPr>
            <w:r>
              <w:rPr>
                <w:rFonts w:ascii="Arial" w:cs="Arial" w:eastAsia="Arial" w:hAnsi="Arial"/>
                <w:sz w:val="14"/>
                <w:szCs w:val="14"/>
                <w:color w:val="auto"/>
              </w:rPr>
              <w:t>10,992</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1,854</w:t>
            </w:r>
          </w:p>
        </w:tc>
        <w:tc>
          <w:tcPr>
            <w:tcW w:w="900" w:type="dxa"/>
            <w:vAlign w:val="bottom"/>
          </w:tcPr>
          <w:p>
            <w:pPr>
              <w:jc w:val="right"/>
              <w:spacing w:after="0"/>
              <w:rPr>
                <w:sz w:val="20"/>
                <w:szCs w:val="20"/>
                <w:color w:val="auto"/>
              </w:rPr>
            </w:pPr>
            <w:r>
              <w:rPr>
                <w:rFonts w:ascii="Arial" w:cs="Arial" w:eastAsia="Arial" w:hAnsi="Arial"/>
                <w:sz w:val="14"/>
                <w:szCs w:val="14"/>
                <w:color w:val="auto"/>
              </w:rPr>
              <w:t>1,854</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22,144</w:t>
            </w:r>
          </w:p>
        </w:tc>
        <w:tc>
          <w:tcPr>
            <w:tcW w:w="28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(532)</w:t>
            </w:r>
          </w:p>
        </w:tc>
        <w:tc>
          <w:tcPr>
            <w:tcW w:w="900" w:type="dxa"/>
            <w:vAlign w:val="bottom"/>
          </w:tcPr>
          <w:p>
            <w:pPr>
              <w:jc w:val="right"/>
              <w:spacing w:after="0"/>
              <w:rPr>
                <w:sz w:val="20"/>
                <w:szCs w:val="20"/>
                <w:color w:val="auto"/>
              </w:rPr>
            </w:pPr>
            <w:r>
              <w:rPr>
                <w:rFonts w:ascii="Arial" w:cs="Arial" w:eastAsia="Arial" w:hAnsi="Arial"/>
                <w:sz w:val="14"/>
                <w:szCs w:val="14"/>
                <w:color w:val="auto"/>
              </w:rPr>
              <w:t>21,612</w:t>
            </w:r>
          </w:p>
        </w:tc>
      </w:tr>
      <w:tr>
        <w:trPr>
          <w:trHeight w:val="270"/>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460" w:type="dxa"/>
            <w:vAlign w:val="bottom"/>
          </w:tcPr>
          <w:p>
            <w:pPr>
              <w:spacing w:after="0"/>
              <w:rPr>
                <w:sz w:val="23"/>
                <w:szCs w:val="23"/>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3,107</w:t>
            </w:r>
          </w:p>
        </w:tc>
        <w:tc>
          <w:tcPr>
            <w:tcW w:w="480" w:type="dxa"/>
            <w:vAlign w:val="bottom"/>
          </w:tcPr>
          <w:p>
            <w:pPr>
              <w:spacing w:after="0"/>
              <w:rPr>
                <w:sz w:val="23"/>
                <w:szCs w:val="23"/>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3,110</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553</w:t>
            </w:r>
          </w:p>
        </w:tc>
        <w:tc>
          <w:tcPr>
            <w:tcW w:w="4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35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460" w:type="dxa"/>
            <w:vAlign w:val="bottom"/>
          </w:tcPr>
          <w:p>
            <w:pPr>
              <w:spacing w:after="0"/>
              <w:rPr>
                <w:sz w:val="24"/>
                <w:szCs w:val="2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37</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910</w:t>
            </w:r>
          </w:p>
        </w:tc>
        <w:tc>
          <w:tcPr>
            <w:tcW w:w="3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(7,643)</w:t>
            </w:r>
          </w:p>
        </w:tc>
        <w:tc>
          <w:tcPr>
            <w:tcW w:w="4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(6,732)</w:t>
            </w:r>
          </w:p>
        </w:tc>
      </w:tr>
      <w:tr>
        <w:trPr>
          <w:trHeight w:val="311"/>
        </w:trPr>
        <w:tc>
          <w:tcPr>
            <w:tcW w:w="5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4"/>
                <w:szCs w:val="2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4,745</w:t>
            </w:r>
          </w:p>
        </w:tc>
        <w:tc>
          <w:tcPr>
            <w:tcW w:w="480" w:type="dxa"/>
            <w:vAlign w:val="bottom"/>
          </w:tcPr>
          <w:p>
            <w:pPr>
              <w:spacing w:after="0"/>
              <w:rPr>
                <w:sz w:val="24"/>
                <w:szCs w:val="2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-1269365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-926465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-583565</wp:posOffset>
            </wp:positionV>
            <wp:extent cx="724662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-137795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2980" w:space="540"/>
            <w:col w:w="790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3100" w:type="dxa"/>
            <w:vAlign w:val="bottom"/>
          </w:tcPr>
          <w:p>
            <w:pPr>
              <w:ind w:left="40"/>
              <w:spacing w:after="0"/>
              <w:rPr>
                <w:sz w:val="20"/>
                <w:szCs w:val="20"/>
                <w:color w:val="auto"/>
              </w:rPr>
            </w:pPr>
            <w:r>
              <w:rPr>
                <w:rFonts w:ascii="Arial" w:cs="Arial" w:eastAsia="Arial" w:hAnsi="Arial"/>
                <w:sz w:val="14"/>
                <w:szCs w:val="14"/>
                <w:color w:val="auto"/>
              </w:rPr>
              <w:t>Balance, March 31, 2018</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81,711</w:t>
            </w:r>
          </w:p>
        </w:tc>
        <w:tc>
          <w:tcPr>
            <w:tcW w:w="120" w:type="dxa"/>
            <w:vAlign w:val="bottom"/>
          </w:tcPr>
          <w:p>
            <w:pPr>
              <w:spacing w:after="0"/>
              <w:rPr>
                <w:sz w:val="15"/>
                <w:szCs w:val="15"/>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(2,890)</w:t>
            </w:r>
          </w:p>
        </w:tc>
        <w:tc>
          <w:tcPr>
            <w:tcW w:w="1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(120,734)</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822,520</w:t>
            </w:r>
          </w:p>
        </w:tc>
        <w:tc>
          <w:tcPr>
            <w:tcW w:w="10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297,500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998,440</w:t>
            </w:r>
          </w:p>
        </w:tc>
        <w:tc>
          <w:tcPr>
            <w:tcW w:w="0" w:type="dxa"/>
            <w:vAlign w:val="bottom"/>
          </w:tcPr>
          <w:p>
            <w:pPr>
              <w:spacing w:after="0"/>
              <w:rPr>
                <w:sz w:val="1"/>
                <w:szCs w:val="1"/>
                <w:color w:val="auto"/>
              </w:rPr>
            </w:pPr>
          </w:p>
        </w:tc>
      </w:tr>
      <w:tr>
        <w:trPr>
          <w:trHeight w:val="79"/>
        </w:trPr>
        <w:tc>
          <w:tcPr>
            <w:tcW w:w="310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11,376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11,376</w:t>
            </w: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(22,578)</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7"/>
        </w:trPr>
        <w:tc>
          <w:tcPr>
            <w:tcW w:w="3100" w:type="dxa"/>
            <w:vAlign w:val="bottom"/>
          </w:tcPr>
          <w:p>
            <w:pPr>
              <w:ind w:left="40"/>
              <w:spacing w:after="0" w:line="157" w:lineRule="exact"/>
              <w:rPr>
                <w:sz w:val="20"/>
                <w:szCs w:val="20"/>
                <w:color w:val="auto"/>
              </w:rPr>
            </w:pPr>
            <w:r>
              <w:rPr>
                <w:rFonts w:ascii="Arial" w:cs="Arial" w:eastAsia="Arial" w:hAnsi="Arial"/>
                <w:sz w:val="14"/>
                <w:szCs w:val="14"/>
                <w:color w:val="auto"/>
              </w:rPr>
              <w:t>Issuance of common stock for vesting of share</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(467)</w:t>
            </w:r>
          </w:p>
        </w:tc>
        <w:tc>
          <w:tcPr>
            <w:tcW w:w="0" w:type="dxa"/>
            <w:vAlign w:val="bottom"/>
          </w:tcPr>
          <w:p>
            <w:pPr>
              <w:spacing w:after="0"/>
              <w:rPr>
                <w:sz w:val="1"/>
                <w:szCs w:val="1"/>
                <w:color w:val="auto"/>
              </w:rPr>
            </w:pPr>
          </w:p>
        </w:tc>
      </w:tr>
      <w:tr>
        <w:trPr>
          <w:trHeight w:val="101"/>
        </w:trPr>
        <w:tc>
          <w:tcPr>
            <w:tcW w:w="3100" w:type="dxa"/>
            <w:vAlign w:val="bottom"/>
            <w:vMerge w:val="restart"/>
          </w:tcPr>
          <w:p>
            <w:pPr>
              <w:ind w:left="40"/>
              <w:spacing w:after="0"/>
              <w:rPr>
                <w:sz w:val="20"/>
                <w:szCs w:val="20"/>
                <w:color w:val="auto"/>
              </w:rPr>
            </w:pPr>
            <w:r>
              <w:rPr>
                <w:rFonts w:ascii="Arial" w:cs="Arial" w:eastAsia="Arial" w:hAnsi="Arial"/>
                <w:sz w:val="14"/>
                <w:szCs w:val="14"/>
                <w:color w:val="auto"/>
              </w:rPr>
              <w:t>based awards, net of shares withheld for taxes</w:t>
            </w: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3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Equity offering</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6,038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349,538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349,598</w:t>
            </w:r>
          </w:p>
        </w:tc>
        <w:tc>
          <w:tcPr>
            <w:tcW w:w="0" w:type="dxa"/>
            <w:vAlign w:val="bottom"/>
          </w:tcPr>
          <w:p>
            <w:pPr>
              <w:spacing w:after="0"/>
              <w:rPr>
                <w:sz w:val="1"/>
                <w:szCs w:val="1"/>
                <w:color w:val="auto"/>
              </w:rPr>
            </w:pPr>
          </w:p>
        </w:tc>
      </w:tr>
      <w:tr>
        <w:trPr>
          <w:trHeight w:val="218"/>
        </w:trPr>
        <w:tc>
          <w:tcPr>
            <w:tcW w:w="310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5,471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5,471</w:t>
            </w:r>
          </w:p>
        </w:tc>
        <w:tc>
          <w:tcPr>
            <w:tcW w:w="0" w:type="dxa"/>
            <w:vAlign w:val="bottom"/>
          </w:tcPr>
          <w:p>
            <w:pPr>
              <w:spacing w:after="0"/>
              <w:rPr>
                <w:sz w:val="1"/>
                <w:szCs w:val="1"/>
                <w:color w:val="auto"/>
              </w:rPr>
            </w:pPr>
          </w:p>
        </w:tc>
      </w:tr>
      <w:tr>
        <w:trPr>
          <w:trHeight w:val="53"/>
        </w:trPr>
        <w:tc>
          <w:tcPr>
            <w:tcW w:w="3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June 30, 2018</w:t>
            </w:r>
          </w:p>
        </w:tc>
        <w:tc>
          <w:tcPr>
            <w:tcW w:w="9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87,772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877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(2,890)</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(120,732)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1,177,125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309,941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1,341,905</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unaudited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June 30, 2019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2018 included in the Company’s Annual Report on Form 10-K. The December 31, 2018 consolidated balance sheet was derived from audited financial statements, but does not include all disclosures required by accounting principles generally accepted in the United States. Operating results for the three and six month period ended June 30, 2019 are not necessarily indicative of the results to be expected for the entire year.</w:t>
      </w:r>
    </w:p>
    <w:p>
      <w:pPr>
        <w:spacing w:after="0" w:line="1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preparation of consolidated financial statements is in conformity with generally accepted accounting principles in the United States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Offering</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 (the New Lease Standard)</w:t>
      </w:r>
      <w:r>
        <w:rPr>
          <w:rFonts w:ascii="Arial" w:cs="Arial" w:eastAsia="Arial" w:hAnsi="Arial"/>
          <w:sz w:val="17"/>
          <w:szCs w:val="17"/>
          <w:color w:val="auto"/>
        </w:rPr>
        <w:t>. The New Lease Standard requires that lessees recognize virtually all of its leases on the balance sheet by recording a right-of-use asset and lease liability (other than leases that meet the definition of a "short-term lease"). This update became effective for all annual periods and interim reporting periods beginning after December 15, 2018.</w:t>
      </w:r>
    </w:p>
    <w:p>
      <w:pPr>
        <w:spacing w:after="0" w:line="166"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Company adopted the New Lease Standard as of January 1, 2019 using a modified retrospective transition. Under this method, financial results reported in periods prior to January 1, 2019 are unchanged. The Company elected the ‘package of practical expedients’ which permits us not to reassess our prior conclusions about lease identification, lease classification and initial direct costs under the new standard. The Company also elected the use-of-hindsight practical expedient. As most of the leases do not provide an implicit rate, the Company used our collateralized incremental borrowing rate based on the information available at the lease implementation date in determining the present value of the lease payments. The adoption of the New Lease Standard had an initial impact on the consolidated balance sheet due to the recognition of $76.4 million of lease liabilities with corresponding right-of-use assets ("ROU") of $67.3 million for operating leases. The difference between lease liabilities and right-of-use assets is primarily attributed to unamortized lease incentives which will be amortized over the term of each respective lease.</w:t>
      </w:r>
    </w:p>
    <w:p>
      <w:pPr>
        <w:spacing w:after="0" w:line="1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is intended to improve financial reporting by requiring timelier recording of credit losses on loans and other financial instruments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fiscal years, and interim periods within those fiscal years, beginning after December 15, 2019. The Company is evaluating the impact, if any, that this pronouncement will have on our financial position and results of operations.</w:t>
      </w:r>
    </w:p>
    <w:p>
      <w:pPr>
        <w:spacing w:after="0" w:line="17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Framework-Changes to the Disclosure Requirements for Defined Benefit Plans. </w:t>
      </w:r>
      <w:r>
        <w:rPr>
          <w:rFonts w:ascii="Arial" w:cs="Arial" w:eastAsia="Arial" w:hAnsi="Arial"/>
          <w:sz w:val="18"/>
          <w:szCs w:val="18"/>
          <w:color w:val="auto"/>
        </w:rPr>
        <w:t>The new guidance modifies the disclosure requirements for employers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 interim periods within those fiscal years. Early adoption is permitted. The adoption is not expected to have a material impact on the Condensed and Consolidated Financial Statements.</w:t>
      </w:r>
    </w:p>
    <w:p>
      <w:pPr>
        <w:spacing w:after="0" w:line="19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 - Goodwill and Other - Internal-Use Software (Subtopic 350-40)</w:t>
      </w:r>
      <w:r>
        <w:rPr>
          <w:rFonts w:ascii="Arial" w:cs="Arial" w:eastAsia="Arial" w:hAnsi="Arial"/>
          <w:sz w:val="17"/>
          <w:szCs w:val="17"/>
          <w:color w:val="auto"/>
        </w:rPr>
        <w:t>, relating to a customer's accounting for implementation, set-up, and other upfront costs incurred in a cloud computing arrangement that is hosted by a vendor (e.g.,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can choose to adopt the new guidance (1) prospectively to eligible costs incurred on or after the date this guidance is first applied or (2) retrospectively. The Company is evaluating the impact, if any, that this pronouncement will have on our financial position and results of operations.</w:t>
      </w:r>
    </w:p>
    <w:p>
      <w:pPr>
        <w:spacing w:after="0" w:line="1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any significant effect on the Company's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DEVELOPMENT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Integrated Shoulder Collaboration, Inc.</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thresholds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 FROM CONTRACTS WITH CUSTOMERS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Summary of Accounting Policies on Revenue Recognition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revenue, net, includes product sales, product royalties and other revenues, such as fees received for services.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portion of the Company's product revenue is generated from consigned inventory maintained at hospitals and distributors, and also from inventory physically held by field sales representatives. For these types of product sales, the Company retains control until the product has been used or implanted, at which time revenue is recognized.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w:t>
      </w:r>
    </w:p>
    <w:p>
      <w:pPr>
        <w:sectPr>
          <w:pgSz w:w="11900" w:h="16838" w:orient="portrait"/>
          <w:cols w:equalWidth="0" w:num="1">
            <w:col w:w="11420"/>
          </w:cols>
          <w:pgMar w:left="240" w:top="121"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ind w:right="1440"/>
        <w:spacing w:after="0" w:line="438" w:lineRule="auto"/>
        <w:rPr>
          <w:sz w:val="20"/>
          <w:szCs w:val="20"/>
          <w:color w:val="auto"/>
        </w:rPr>
      </w:pPr>
      <w:r>
        <w:rPr>
          <w:rFonts w:ascii="Arial" w:cs="Arial" w:eastAsia="Arial" w:hAnsi="Arial"/>
          <w:sz w:val="18"/>
          <w:szCs w:val="18"/>
          <w:color w:val="auto"/>
        </w:rPr>
        <w:t xml:space="preserve">to pay prior to acceptance as a customer. Further, the Company performs periodic reviews of its customers' creditworthiness prospectively. </w:t>
      </w:r>
      <w:r>
        <w:rPr>
          <w:rFonts w:ascii="Arial" w:cs="Arial" w:eastAsia="Arial" w:hAnsi="Arial"/>
          <w:sz w:val="18"/>
          <w:szCs w:val="18"/>
          <w:u w:val="single" w:color="auto"/>
          <w:color w:val="auto"/>
        </w:rPr>
        <w:t>Performance Obligations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 Company's performance obligations consist mainly of transferring control of goods and services identified in the contracts, purchase orders, or invoices.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significant multi-element contracts with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1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ninety days.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 and Liability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contract asset and liability balances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asset, January 1, 2019</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4,193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8,185</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asset, June 30, 2019</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8,185</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Arial" w:cs="Arial" w:eastAsia="Arial" w:hAnsi="Arial"/>
                <w:sz w:val="18"/>
                <w:szCs w:val="18"/>
                <w:color w:val="auto"/>
              </w:rPr>
              <w:t>Contract liability, January 1, 2019</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12,716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(3,665)</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Arial" w:cs="Arial" w:eastAsia="Arial" w:hAnsi="Arial"/>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1,509</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Contract liability, June 30, 2019</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10,560</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the short-term portion of the contract liability of $3.5 million and the long-term portion of $7.1 million were included in accrued expenses and other current liabilities and other liabilities in the consolidated balance sheet.</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 Company is expected to recognize approximately 46.0% of our unsatisfied (or partially unsatisfied) performance obligations as revenue through 2020, with the remaining balance to be recognized in 2021 and thereafter.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Shipping and Handling Fees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Warranties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 Collected from Customers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Disaggregated Revenue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revenues disaggregated by the major sources of revenues for the three and six months ended June 30, 2019 and 2018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 June</w:t>
            </w:r>
          </w:p>
        </w:tc>
        <w:tc>
          <w:tcPr>
            <w:tcW w:w="2080" w:type="dxa"/>
            <w:vAlign w:val="bottom"/>
            <w:gridSpan w:val="3"/>
          </w:tcPr>
          <w:p>
            <w:pPr>
              <w:ind w:left="120"/>
              <w:spacing w:after="0"/>
              <w:rPr>
                <w:sz w:val="20"/>
                <w:szCs w:val="20"/>
                <w:color w:val="auto"/>
              </w:rPr>
            </w:pPr>
            <w:r>
              <w:rPr>
                <w:rFonts w:ascii="Arial" w:cs="Arial" w:eastAsia="Arial" w:hAnsi="Arial"/>
                <w:sz w:val="14"/>
                <w:szCs w:val="14"/>
                <w:b w:val="1"/>
                <w:bCs w:val="1"/>
                <w:color w:val="auto"/>
              </w:rPr>
              <w:t>Three Months Ended June</w:t>
            </w: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92"/>
        </w:trPr>
        <w:tc>
          <w:tcPr>
            <w:tcW w:w="39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30, 2019</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30, 2018</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6"/>
        </w:trPr>
        <w:tc>
          <w:tcPr>
            <w:tcW w:w="39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(amounts in thousands)</w:t>
            </w: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Neurosurgery</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177,411</w:t>
            </w:r>
          </w:p>
        </w:tc>
        <w:tc>
          <w:tcPr>
            <w:tcW w:w="42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170,589</w:t>
            </w:r>
          </w:p>
        </w:tc>
        <w:tc>
          <w:tcPr>
            <w:tcW w:w="220" w:type="dxa"/>
            <w:vAlign w:val="bottom"/>
          </w:tcPr>
          <w:p>
            <w:pPr>
              <w:spacing w:after="0"/>
              <w:rPr>
                <w:sz w:val="21"/>
                <w:szCs w:val="21"/>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343,826</w:t>
            </w:r>
          </w:p>
        </w:tc>
        <w:tc>
          <w:tcPr>
            <w:tcW w:w="460" w:type="dxa"/>
            <w:vAlign w:val="bottom"/>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337,487</w:t>
            </w: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Precision Tools and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71,847</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68,915</w:t>
            </w: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140,000</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138,132</w:t>
            </w:r>
          </w:p>
        </w:tc>
      </w:tr>
      <w:tr>
        <w:trPr>
          <w:trHeight w:val="237"/>
        </w:trPr>
        <w:tc>
          <w:tcPr>
            <w:tcW w:w="3900" w:type="dxa"/>
            <w:vAlign w:val="bottom"/>
          </w:tcPr>
          <w:p>
            <w:pPr>
              <w:ind w:left="280"/>
              <w:spacing w:after="0"/>
              <w:rPr>
                <w:sz w:val="20"/>
                <w:szCs w:val="20"/>
                <w:color w:val="auto"/>
              </w:rPr>
            </w:pPr>
            <w:r>
              <w:rPr>
                <w:rFonts w:ascii="Arial" w:cs="Arial" w:eastAsia="Arial" w:hAnsi="Arial"/>
                <w:sz w:val="18"/>
                <w:szCs w:val="18"/>
                <w:color w:val="auto"/>
              </w:rPr>
              <w:t>Total Codman Specialty Surgical</w:t>
            </w:r>
          </w:p>
        </w:tc>
        <w:tc>
          <w:tcPr>
            <w:tcW w:w="3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249,258</w:t>
            </w:r>
          </w:p>
        </w:tc>
        <w:tc>
          <w:tcPr>
            <w:tcW w:w="4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239,504</w:t>
            </w:r>
          </w:p>
        </w:tc>
        <w:tc>
          <w:tcPr>
            <w:tcW w:w="2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483,826</w:t>
            </w:r>
          </w:p>
        </w:tc>
        <w:tc>
          <w:tcPr>
            <w:tcW w:w="4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475,619</w:t>
            </w: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39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Wound Reconstruction and Care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82,282</w:t>
            </w:r>
          </w:p>
        </w:tc>
        <w:tc>
          <w:tcPr>
            <w:tcW w:w="42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78,311</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157,245</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150,598</w:t>
            </w:r>
          </w:p>
        </w:tc>
      </w:tr>
      <w:tr>
        <w:trPr>
          <w:trHeight w:val="27"/>
        </w:trPr>
        <w:tc>
          <w:tcPr>
            <w:tcW w:w="3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Extremity Orthopedics</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21,762</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22,017</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44,447</w:t>
            </w: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44,652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Private Label</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30,343</w:t>
            </w:r>
          </w:p>
        </w:tc>
        <w:tc>
          <w:tcPr>
            <w:tcW w:w="42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26,358</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57,817</w:t>
            </w:r>
          </w:p>
        </w:tc>
        <w:tc>
          <w:tcPr>
            <w:tcW w:w="46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52,403</w:t>
            </w:r>
          </w:p>
        </w:tc>
      </w:tr>
      <w:tr>
        <w:trPr>
          <w:trHeight w:val="27"/>
        </w:trPr>
        <w:tc>
          <w:tcPr>
            <w:tcW w:w="3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Orthopedics and Tissue Technologies</w:t>
            </w:r>
          </w:p>
        </w:tc>
        <w:tc>
          <w:tcPr>
            <w:tcW w:w="3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134,387</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126,686</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259,509</w:t>
            </w:r>
          </w:p>
        </w:tc>
        <w:tc>
          <w:tcPr>
            <w:tcW w:w="4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247,653</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383,645</w:t>
            </w:r>
          </w:p>
        </w:tc>
        <w:tc>
          <w:tcPr>
            <w:tcW w:w="4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366,190</w:t>
            </w:r>
          </w:p>
        </w:tc>
        <w:tc>
          <w:tcPr>
            <w:tcW w:w="22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743,335</w:t>
            </w:r>
          </w:p>
        </w:tc>
        <w:tc>
          <w:tcPr>
            <w:tcW w:w="46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723,272</w:t>
            </w:r>
          </w:p>
        </w:tc>
      </w:tr>
      <w:tr>
        <w:trPr>
          <w:trHeight w:val="20"/>
        </w:trPr>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Prior period amounts were reclassified between categories within the Orthopedics and Tissue Technologies segment to conform to the current period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and Geographical Information</w:t>
      </w:r>
      <w:r>
        <w:rPr>
          <w:rFonts w:ascii="Arial" w:cs="Arial" w:eastAsia="Arial" w:hAnsi="Arial"/>
          <w:sz w:val="18"/>
          <w:szCs w:val="18"/>
          <w:color w:val="auto"/>
        </w:rPr>
        <w:t>, for details of revenues based on the location of the customer.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Adoption of ASC Topic 606</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adoption in the year of implementation of Topic 606 to the Company's consolidated statement of operations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 was as follows: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40" w:lineRule="exact"/>
        <w:rPr>
          <w:sz w:val="20"/>
          <w:szCs w:val="20"/>
          <w:color w:val="auto"/>
        </w:rPr>
      </w:pPr>
    </w:p>
    <w:tbl>
      <w:tblPr>
        <w:tblLayout w:type="fixed"/>
        <w:tblInd w:w="5500" w:type="dxa"/>
        <w:tblCellMar>
          <w:top w:w="0" w:type="dxa"/>
          <w:left w:w="0" w:type="dxa"/>
          <w:bottom w:w="0" w:type="dxa"/>
          <w:right w:w="0" w:type="dxa"/>
        </w:tblCellMar>
      </w:tblPr>
      <w:tr>
        <w:trPr>
          <w:trHeight w:val="192"/>
        </w:trPr>
        <w:tc>
          <w:tcPr>
            <w:tcW w:w="31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Three Months Ended June 30, 2018</w:t>
            </w:r>
          </w:p>
        </w:tc>
        <w:tc>
          <w:tcPr>
            <w:tcW w:w="28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Six Months Ended June 30, 2018</w:t>
            </w:r>
          </w:p>
        </w:tc>
        <w:tc>
          <w:tcPr>
            <w:tcW w:w="0" w:type="dxa"/>
            <w:vAlign w:val="bottom"/>
          </w:tcPr>
          <w:p>
            <w:pPr>
              <w:spacing w:after="0"/>
              <w:rPr>
                <w:sz w:val="1"/>
                <w:szCs w:val="1"/>
                <w:color w:val="auto"/>
              </w:rPr>
            </w:pPr>
          </w:p>
        </w:tc>
      </w:tr>
      <w:tr>
        <w:trPr>
          <w:trHeight w:val="152"/>
        </w:trPr>
        <w:tc>
          <w:tcPr>
            <w:tcW w:w="13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As Reported</w:t>
            </w:r>
          </w:p>
        </w:tc>
        <w:tc>
          <w:tcPr>
            <w:tcW w:w="17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Excluding Impact of</w:t>
            </w:r>
          </w:p>
        </w:tc>
        <w:tc>
          <w:tcPr>
            <w:tcW w:w="12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As Reported</w:t>
            </w:r>
          </w:p>
        </w:tc>
        <w:tc>
          <w:tcPr>
            <w:tcW w:w="160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94"/>
              </w:rPr>
              <w:t>Excluding Impact of</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Topic 606</w:t>
            </w:r>
          </w:p>
        </w:tc>
        <w:tc>
          <w:tcPr>
            <w:tcW w:w="122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2"/>
              </w:rPr>
              <w:t>Topic 606</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ind w:left="280"/>
              <w:spacing w:after="0"/>
              <w:rPr>
                <w:sz w:val="20"/>
                <w:szCs w:val="20"/>
                <w:color w:val="auto"/>
              </w:rPr>
            </w:pPr>
            <w:r>
              <w:rPr>
                <w:rFonts w:ascii="Arial" w:cs="Arial" w:eastAsia="Arial" w:hAnsi="Arial"/>
                <w:sz w:val="18"/>
                <w:szCs w:val="18"/>
                <w:color w:val="auto"/>
              </w:rPr>
              <w:t>Total revenue, net</w:t>
            </w:r>
          </w:p>
        </w:tc>
        <w:tc>
          <w:tcPr>
            <w:tcW w:w="1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366,190</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363,381</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723,272</w:t>
            </w:r>
          </w:p>
        </w:tc>
        <w:tc>
          <w:tcPr>
            <w:tcW w:w="48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719,420</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goods sold</w:t>
            </w:r>
          </w:p>
        </w:tc>
        <w:tc>
          <w:tcPr>
            <w:tcW w:w="1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137,565</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137,032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281,787</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281,051</w:t>
            </w:r>
          </w:p>
        </w:tc>
      </w:tr>
      <w:tr>
        <w:trPr>
          <w:trHeight w:val="243"/>
        </w:trPr>
        <w:tc>
          <w:tcPr>
            <w:tcW w:w="4300" w:type="dxa"/>
            <w:vAlign w:val="bottom"/>
          </w:tcPr>
          <w:p>
            <w:pPr>
              <w:ind w:left="280"/>
              <w:spacing w:after="0"/>
              <w:rPr>
                <w:sz w:val="20"/>
                <w:szCs w:val="20"/>
                <w:color w:val="auto"/>
              </w:rPr>
            </w:pPr>
            <w:r>
              <w:rPr>
                <w:rFonts w:ascii="Arial" w:cs="Arial" w:eastAsia="Arial" w:hAnsi="Arial"/>
                <w:sz w:val="18"/>
                <w:szCs w:val="18"/>
                <w:color w:val="auto"/>
              </w:rPr>
              <w:t>Income tax benefit</w:t>
            </w:r>
          </w:p>
        </w:tc>
        <w:tc>
          <w:tcPr>
            <w:tcW w:w="1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1,355</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5"/>
              </w:rPr>
              <w:t>(505)</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(1,135)</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11,376</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22,368</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19,882</w:t>
            </w:r>
          </w:p>
        </w:tc>
      </w:tr>
      <w:tr>
        <w:trPr>
          <w:trHeight w:val="729"/>
        </w:trPr>
        <w:tc>
          <w:tcPr>
            <w:tcW w:w="430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430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4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4"/>
                <w:szCs w:val="14"/>
                <w:b w:val="1"/>
                <w:bCs w:val="1"/>
                <w:color w:val="auto"/>
                <w:w w:val="90"/>
              </w:rPr>
              <w:t>December 31, 2018</w:t>
            </w:r>
          </w:p>
        </w:tc>
      </w:tr>
      <w:tr>
        <w:trPr>
          <w:trHeight w:val="196"/>
        </w:trPr>
        <w:tc>
          <w:tcPr>
            <w:tcW w:w="4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r>
      <w:tr>
        <w:trPr>
          <w:trHeight w:val="256"/>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6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189,737</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179,885</w:t>
            </w: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48,986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47,715</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6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57,782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52,747</w:t>
            </w:r>
          </w:p>
        </w:tc>
      </w:tr>
      <w:tr>
        <w:trPr>
          <w:trHeight w:val="237"/>
        </w:trPr>
        <w:tc>
          <w:tcPr>
            <w:tcW w:w="4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296,505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280,347</w:t>
            </w:r>
          </w:p>
        </w:tc>
      </w:tr>
      <w:tr>
        <w:trPr>
          <w:trHeight w:val="27"/>
        </w:trPr>
        <w:tc>
          <w:tcPr>
            <w:tcW w:w="4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3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six-month period ended June 30, 2019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Codman Specialty</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Surgical</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625,760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300,715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926,475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June 30,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625,934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300,798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926,732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0"/>
              </w:rPr>
              <w:t>June 30, 2019</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7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856,730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(190,219)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666,511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222,784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(111,617)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111,167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104,041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77,353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720" w:type="dxa"/>
            <w:vAlign w:val="bottom"/>
          </w:tcPr>
          <w:p>
            <w:pPr>
              <w:jc w:val="center"/>
              <w:ind w:right="135"/>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162,466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162,466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(17,233)</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17,488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10,913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(4,278)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1,391,655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(350,035)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1,041,620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2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19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855,679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(167,384)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688,295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6"/>
              </w:rPr>
              <w:t>13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231,448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(106,859)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124,589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104,061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(24,764)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79,297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Codman trade name</w:t>
            </w:r>
          </w:p>
        </w:tc>
        <w:tc>
          <w:tcPr>
            <w:tcW w:w="162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162,054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162,054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All other</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10,958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1,398,921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(319,425)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1,079,496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quarter-end exchange rates, amortization expense (including amounts reported in cost of product revenues) is expected to be approximately $32.6 million for the remainder of 2019, $65.2 million in 2020, $64.1 million in 2021, $60.6 million in 2022, $59.8 million in 2023, $58.9 million in 2024 and $535.6 million thereafter.</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2019, a contract manufacturing customer of our Private Label product line received a notification from the FDA ordering them to remove their product from the market. During the second quarter of 2019, the Company recorded an impairment charge of $5.8 million in intangible asset amortization in the consolidated statement of operations related to the customer relationship intangible asset acquired from TEI Biosciences, Inc. and TEI Medical Inc. (collectively "TEI") due to revised future projections based on a pending contract termination.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$900.0 million Term Loan facility;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$1.3 billion revolving credit facility, which includes a $60.0 million sublimit for the issuance of standby letters of credit and a $60.0 million sublimit for swingline loans.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Fiscal Quarter</w:t>
            </w:r>
          </w:p>
        </w:tc>
        <w:tc>
          <w:tcPr>
            <w:tcW w:w="570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Consolidated Total Leverage Ratio</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358"/>
        </w:trPr>
        <w:tc>
          <w:tcPr>
            <w:tcW w:w="57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Execution of May 2018 Amendment through March 31, 2019</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5.50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June 30, 2019 through March 31, 2020</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5.00 : 1.00</w:t>
            </w:r>
          </w:p>
        </w:tc>
      </w:tr>
      <w:tr>
        <w:trPr>
          <w:trHeight w:val="243"/>
        </w:trPr>
        <w:tc>
          <w:tcPr>
            <w:tcW w:w="57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June 30, 2020 through March 31, 2021</w:t>
            </w: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4.50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June 30, 2021 and thereafter</w:t>
            </w: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4.00 : 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Eurodollar Rate (as defined in the Senior Credit Facility) in effect from time to time plus the applicable rate (ranging from 1.00% to 1.75%), or</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plus the applicable rate (ranging from 0% to 0.75%),</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prime lending rate of Bank of America, N.A. plus the applicable rate (ranging from 0% to 0.75%),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one-month Eurodollar Rate plus 1.00% plus the applicable rate (ranging from 0% to 0.75%).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2019, the Company was in compliance with all such covenants. In connection with the May 2018 Amendment, the Company capitalized $4.2 million of financing costs and wrote off $0.8 million of previously capitalized financing costs during the second quarter of 2018.</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June 30, 2019 and December 31, 2018, there was $360.0 million and $345.0 million outstanding, respectively, under the revolving credit component of the Senior Credit Facility at weighted average interest rates of 3.8% and 4.0%, respectively. At June 30, 2019 and December 31, 2018, there was $900.0 million outstanding under the Term Loan component of the Senior Credit Facility at a weighted average interest rate of 3.8% and 3.9%, respectively. At June 30, 2019, $45.0 million of the Term Loan component of the Senior Credit Facility is classified as current on the consolidated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is for an initial three-year term and may be extended. The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June 30, 2019, the Company was in compliance with the covenants and none of the termination events had occurred. At June 30, 2019, the Company had $102.4 million of outstanding borrowings under its Securitization Facility at a weighted average interest rate of 3.3%.</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outstanding borrowings of the Senior Credit Facility's revolving credit and Term Loan components at June 30, 2019 were approximately $349.3 million and, $881.8 million, respectively. The fair value of the outstanding borrowing of the Securitization facility at June 30, 2019 was approximately $101.1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June 30, 2019 and December 31, 2018 totaled $0.6 million. There were no amounts drawn as of June 30,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69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2020</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45,000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56,250</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67,500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708,750</w:t>
            </w:r>
          </w:p>
        </w:tc>
      </w:tr>
      <w:tr>
        <w:trPr>
          <w:trHeight w:val="237"/>
        </w:trPr>
        <w:tc>
          <w:tcPr>
            <w:tcW w:w="2520" w:type="dxa"/>
            <w:vAlign w:val="bottom"/>
          </w:tcPr>
          <w:p>
            <w:pPr>
              <w:spacing w:after="0"/>
              <w:rPr>
                <w:sz w:val="20"/>
                <w:szCs w:val="20"/>
                <w:color w:val="auto"/>
              </w:rPr>
            </w:pPr>
          </w:p>
        </w:tc>
        <w:tc>
          <w:tcPr>
            <w:tcW w:w="662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900,000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the revolving credit component of the Senior Credit Facility is due on May 3,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June 30, 2019 and December 31, 2018 (amounts in thousands):</w:t>
      </w: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Current</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Notional</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Fixed</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Estimated Fair</w:t>
            </w:r>
          </w:p>
        </w:tc>
        <w:tc>
          <w:tcPr>
            <w:tcW w:w="0" w:type="dxa"/>
            <w:vAlign w:val="bottom"/>
          </w:tcPr>
          <w:p>
            <w:pPr>
              <w:spacing w:after="0"/>
              <w:rPr>
                <w:sz w:val="1"/>
                <w:szCs w:val="1"/>
                <w:color w:val="auto"/>
              </w:rPr>
            </w:pPr>
          </w:p>
        </w:tc>
      </w:tr>
      <w:tr>
        <w:trPr>
          <w:trHeight w:val="182"/>
        </w:trPr>
        <w:tc>
          <w:tcPr>
            <w:tcW w:w="248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Hedged Item</w:t>
            </w:r>
          </w:p>
        </w:tc>
        <w:tc>
          <w:tcPr>
            <w:tcW w:w="14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Designation Date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Effective Date</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Termination Date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Interest Rate</w:t>
            </w:r>
          </w:p>
        </w:tc>
        <w:tc>
          <w:tcPr>
            <w:tcW w:w="140" w:type="dxa"/>
            <w:vAlign w:val="bottom"/>
          </w:tcPr>
          <w:p>
            <w:pPr>
              <w:spacing w:after="0"/>
              <w:rPr>
                <w:sz w:val="15"/>
                <w:szCs w:val="15"/>
                <w:color w:val="auto"/>
              </w:rPr>
            </w:pPr>
          </w:p>
        </w:tc>
        <w:tc>
          <w:tcPr>
            <w:tcW w:w="84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5"/>
                <w:szCs w:val="15"/>
                <w:color w:val="auto"/>
              </w:rPr>
            </w:pPr>
          </w:p>
        </w:tc>
        <w:tc>
          <w:tcPr>
            <w:tcW w:w="86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63"/>
        </w:trPr>
        <w:tc>
          <w:tcPr>
            <w:tcW w:w="2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78"/>
              </w:rPr>
              <w:t>Assets</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182"/>
        </w:trPr>
        <w:tc>
          <w:tcPr>
            <w:tcW w:w="23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5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1"/>
              </w:rPr>
              <w:t>(Liabilities)</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1"/>
              </w:rPr>
              <w:t>(Liabilities)</w:t>
            </w:r>
          </w:p>
        </w:tc>
        <w:tc>
          <w:tcPr>
            <w:tcW w:w="0" w:type="dxa"/>
            <w:vAlign w:val="bottom"/>
          </w:tcPr>
          <w:p>
            <w:pPr>
              <w:spacing w:after="0"/>
              <w:rPr>
                <w:sz w:val="1"/>
                <w:szCs w:val="1"/>
                <w:color w:val="auto"/>
              </w:rPr>
            </w:pPr>
          </w:p>
        </w:tc>
      </w:tr>
      <w:tr>
        <w:trPr>
          <w:trHeight w:val="25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22, 2016</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415</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July 12, 2016</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2019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820" w:type="dxa"/>
            <w:vAlign w:val="bottom"/>
          </w:tcPr>
          <w:p>
            <w:pPr>
              <w:jc w:val="right"/>
              <w:spacing w:after="0"/>
              <w:rPr>
                <w:sz w:val="20"/>
                <w:szCs w:val="20"/>
                <w:color w:val="auto"/>
              </w:rPr>
            </w:pPr>
            <w:r>
              <w:rPr>
                <w:rFonts w:ascii="Arial" w:cs="Arial" w:eastAsia="Arial" w:hAnsi="Arial"/>
                <w:sz w:val="14"/>
                <w:szCs w:val="14"/>
                <w:color w:val="auto"/>
              </w:rPr>
              <w:t>1.834%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71</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February 6, 2017</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5"/>
              </w:rPr>
              <w:t>June 30, 2017</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204</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1,287</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8"/>
              </w:rPr>
              <w:t>March 27, 2017</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31, 2017</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2021</w:t>
            </w:r>
          </w:p>
        </w:tc>
        <w:tc>
          <w:tcPr>
            <w:tcW w:w="820" w:type="dxa"/>
            <w:vAlign w:val="bottom"/>
          </w:tcPr>
          <w:p>
            <w:pPr>
              <w:jc w:val="right"/>
              <w:spacing w:after="0"/>
              <w:rPr>
                <w:sz w:val="20"/>
                <w:szCs w:val="20"/>
                <w:color w:val="auto"/>
              </w:rPr>
            </w:pPr>
            <w:r>
              <w:rPr>
                <w:rFonts w:ascii="Arial" w:cs="Arial" w:eastAsia="Arial" w:hAnsi="Arial"/>
                <w:sz w:val="14"/>
                <w:szCs w:val="14"/>
                <w:color w:val="auto"/>
              </w:rPr>
              <w:t>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(608)</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1,246</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2022</w:t>
            </w:r>
          </w:p>
        </w:tc>
        <w:tc>
          <w:tcPr>
            <w:tcW w:w="820" w:type="dxa"/>
            <w:vAlign w:val="bottom"/>
          </w:tcPr>
          <w:p>
            <w:pPr>
              <w:jc w:val="right"/>
              <w:spacing w:after="0"/>
              <w:rPr>
                <w:sz w:val="20"/>
                <w:szCs w:val="20"/>
                <w:color w:val="auto"/>
              </w:rPr>
            </w:pPr>
            <w:r>
              <w:rPr>
                <w:rFonts w:ascii="Arial" w:cs="Arial" w:eastAsia="Arial" w:hAnsi="Arial"/>
                <w:sz w:val="14"/>
                <w:szCs w:val="14"/>
                <w:color w:val="auto"/>
              </w:rPr>
              <w:t>2.201%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(2,873)</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2019</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2024</w:t>
            </w:r>
          </w:p>
        </w:tc>
        <w:tc>
          <w:tcPr>
            <w:tcW w:w="820" w:type="dxa"/>
            <w:vAlign w:val="bottom"/>
          </w:tcPr>
          <w:p>
            <w:pPr>
              <w:jc w:val="right"/>
              <w:spacing w:after="0"/>
              <w:rPr>
                <w:sz w:val="20"/>
                <w:szCs w:val="20"/>
                <w:color w:val="auto"/>
              </w:rPr>
            </w:pPr>
            <w:r>
              <w:rPr>
                <w:rFonts w:ascii="Arial" w:cs="Arial" w:eastAsia="Arial" w:hAnsi="Arial"/>
                <w:sz w:val="14"/>
                <w:szCs w:val="14"/>
                <w:color w:val="auto"/>
              </w:rPr>
              <w:t>2.423%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(1,787)</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January 1, 2018</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2024</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(6,363)</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Pr>
          <w:p>
            <w:pPr>
              <w:jc w:val="right"/>
              <w:spacing w:after="0"/>
              <w:rPr>
                <w:sz w:val="20"/>
                <w:szCs w:val="20"/>
                <w:color w:val="auto"/>
              </w:rPr>
            </w:pPr>
            <w:r>
              <w:rPr>
                <w:rFonts w:ascii="Arial" w:cs="Arial" w:eastAsia="Arial" w:hAnsi="Arial"/>
                <w:sz w:val="14"/>
                <w:szCs w:val="14"/>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(5,583)</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(2,594)</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(5,600)</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October 10, 2018</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July 1, 2020</w:t>
            </w: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w w:val="85"/>
              </w:rPr>
              <w:t>June 30, 2025</w:t>
            </w:r>
          </w:p>
        </w:tc>
        <w:tc>
          <w:tcPr>
            <w:tcW w:w="820" w:type="dxa"/>
            <w:vAlign w:val="bottom"/>
          </w:tcPr>
          <w:p>
            <w:pPr>
              <w:jc w:val="right"/>
              <w:spacing w:after="0"/>
              <w:rPr>
                <w:sz w:val="20"/>
                <w:szCs w:val="20"/>
                <w:color w:val="auto"/>
              </w:rPr>
            </w:pPr>
            <w:r>
              <w:rPr>
                <w:rFonts w:ascii="Arial" w:cs="Arial" w:eastAsia="Arial" w:hAnsi="Arial"/>
                <w:sz w:val="14"/>
                <w:szCs w:val="14"/>
                <w:color w:val="auto"/>
              </w:rPr>
              <w:t>3.209%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(5,632)</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(2,568)</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6"/>
              </w:rPr>
              <w:t>December 31, 2027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Arial" w:cs="Arial" w:eastAsia="Arial" w:hAnsi="Arial"/>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18, 2018</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6"/>
              </w:rPr>
              <w:t>December 30, 2022</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 2027</w:t>
            </w:r>
          </w:p>
        </w:tc>
        <w:tc>
          <w:tcPr>
            <w:tcW w:w="820" w:type="dxa"/>
            <w:vAlign w:val="bottom"/>
          </w:tcPr>
          <w:p>
            <w:pPr>
              <w:jc w:val="right"/>
              <w:spacing w:after="0"/>
              <w:rPr>
                <w:sz w:val="20"/>
                <w:szCs w:val="20"/>
                <w:color w:val="auto"/>
              </w:rPr>
            </w:pPr>
            <w:r>
              <w:rPr>
                <w:rFonts w:ascii="Arial" w:cs="Arial" w:eastAsia="Arial" w:hAnsi="Arial"/>
                <w:sz w:val="14"/>
                <w:szCs w:val="14"/>
                <w:color w:val="auto"/>
              </w:rPr>
              <w:t>2.867%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(4,264)</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(873)</w:t>
            </w:r>
          </w:p>
        </w:tc>
        <w:tc>
          <w:tcPr>
            <w:tcW w:w="0" w:type="dxa"/>
            <w:vAlign w:val="bottom"/>
          </w:tcPr>
          <w:p>
            <w:pPr>
              <w:spacing w:after="0"/>
              <w:rPr>
                <w:sz w:val="1"/>
                <w:szCs w:val="1"/>
                <w:color w:val="auto"/>
              </w:rPr>
            </w:pPr>
          </w:p>
        </w:tc>
      </w:tr>
      <w:tr>
        <w:trPr>
          <w:trHeight w:val="55"/>
        </w:trPr>
        <w:tc>
          <w:tcPr>
            <w:tcW w:w="2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480" w:type="dxa"/>
            <w:vAlign w:val="bottom"/>
            <w:gridSpan w:val="2"/>
            <w:shd w:val="clear" w:color="auto" w:fill="CCEEFF"/>
          </w:tcPr>
          <w:p>
            <w:pPr>
              <w:ind w:left="20"/>
              <w:spacing w:after="0" w:line="145" w:lineRule="exact"/>
              <w:rPr>
                <w:sz w:val="20"/>
                <w:szCs w:val="20"/>
                <w:color w:val="auto"/>
              </w:rPr>
            </w:pPr>
            <w:r>
              <w:rPr>
                <w:rFonts w:ascii="Arial" w:cs="Arial" w:eastAsia="Arial" w:hAnsi="Arial"/>
                <w:sz w:val="14"/>
                <w:szCs w:val="14"/>
                <w:color w:val="auto"/>
                <w:w w:val="96"/>
              </w:rPr>
              <w:t>Total interest rate derivatives designated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1,475,000</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(43,161)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91"/>
        </w:trPr>
        <w:tc>
          <w:tcPr>
            <w:tcW w:w="24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as cash flow hedge</w:t>
            </w:r>
          </w:p>
        </w:tc>
        <w:tc>
          <w:tcPr>
            <w:tcW w:w="140" w:type="dxa"/>
            <w:vAlign w:val="bottom"/>
            <w:vMerge w:val="continue"/>
            <w:shd w:val="clear" w:color="auto" w:fill="CCEEFF"/>
          </w:tcPr>
          <w:p>
            <w:pPr>
              <w:spacing w:after="0"/>
              <w:rPr>
                <w:sz w:val="7"/>
                <w:szCs w:val="7"/>
                <w:color w:val="auto"/>
              </w:rPr>
            </w:pPr>
          </w:p>
        </w:tc>
        <w:tc>
          <w:tcPr>
            <w:tcW w:w="7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8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tcBorders>
              <w:bottom w:val="single" w:sz="8" w:color="CCEEFF"/>
            </w:tcBorders>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2019, interest rate swaps with an aggregate notional amount of $150 million matured.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Rate Swaps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June 30, 2019 (dollar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1680" w:type="dxa"/>
            <w:vAlign w:val="bottom"/>
            <w:gridSpan w:val="2"/>
          </w:tcPr>
          <w:p>
            <w:pPr>
              <w:jc w:val="right"/>
              <w:ind w:right="210"/>
              <w:spacing w:after="0" w:line="153" w:lineRule="exact"/>
              <w:rPr>
                <w:sz w:val="20"/>
                <w:szCs w:val="20"/>
                <w:color w:val="auto"/>
              </w:rPr>
            </w:pPr>
            <w:r>
              <w:rPr>
                <w:rFonts w:ascii="Arial" w:cs="Arial" w:eastAsia="Arial" w:hAnsi="Arial"/>
                <w:sz w:val="14"/>
                <w:szCs w:val="14"/>
                <w:b w:val="1"/>
                <w:bCs w:val="1"/>
                <w:color w:val="auto"/>
              </w:rPr>
              <w:t>Aggregate Notional</w:t>
            </w:r>
          </w:p>
        </w:tc>
        <w:tc>
          <w:tcPr>
            <w:tcW w:w="240" w:type="dxa"/>
            <w:vAlign w:val="bottom"/>
          </w:tcPr>
          <w:p>
            <w:pPr>
              <w:spacing w:after="0"/>
              <w:rPr>
                <w:sz w:val="13"/>
                <w:szCs w:val="13"/>
                <w:color w:val="auto"/>
              </w:rPr>
            </w:pPr>
          </w:p>
        </w:tc>
        <w:tc>
          <w:tcPr>
            <w:tcW w:w="1460" w:type="dxa"/>
            <w:vAlign w:val="bottom"/>
          </w:tcPr>
          <w:p>
            <w:pPr>
              <w:jc w:val="center"/>
              <w:ind w:right="158"/>
              <w:spacing w:after="0" w:line="153"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80" w:type="dxa"/>
            <w:vAlign w:val="bottom"/>
            <w:gridSpan w:val="2"/>
          </w:tcPr>
          <w:p>
            <w:pPr>
              <w:jc w:val="right"/>
              <w:ind w:right="5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460" w:type="dxa"/>
            <w:vAlign w:val="bottom"/>
          </w:tcPr>
          <w:p>
            <w:pPr>
              <w:jc w:val="center"/>
              <w:ind w:right="158"/>
              <w:spacing w:after="0"/>
              <w:rPr>
                <w:sz w:val="20"/>
                <w:szCs w:val="20"/>
                <w:color w:val="auto"/>
              </w:rPr>
            </w:pPr>
            <w:r>
              <w:rPr>
                <w:rFonts w:ascii="Arial" w:cs="Arial" w:eastAsia="Arial" w:hAnsi="Arial"/>
                <w:sz w:val="14"/>
                <w:szCs w:val="14"/>
                <w:b w:val="1"/>
                <w:bCs w:val="1"/>
                <w:color w:val="auto"/>
                <w:w w:val="93"/>
              </w:rPr>
              <w:t>Asset (Liability)</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64,710</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4.38%</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66,667</w:t>
            </w:r>
          </w:p>
        </w:tc>
        <w:tc>
          <w:tcPr>
            <w:tcW w:w="24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48,533</w:t>
            </w:r>
          </w:p>
        </w:tc>
        <w:tc>
          <w:tcPr>
            <w:tcW w:w="240" w:type="dxa"/>
            <w:vAlign w:val="bottom"/>
            <w:shd w:val="clear" w:color="auto" w:fill="CCEEFF"/>
          </w:tcPr>
          <w:p>
            <w:pPr>
              <w:spacing w:after="0"/>
              <w:rPr>
                <w:sz w:val="23"/>
                <w:szCs w:val="2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4.46%</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2,</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145,598</w:t>
            </w:r>
          </w:p>
        </w:tc>
        <w:tc>
          <w:tcPr>
            <w:tcW w:w="240" w:type="dxa"/>
            <w:vAlign w:val="bottom"/>
            <w:shd w:val="clear" w:color="auto" w:fill="CCEEFF"/>
          </w:tcPr>
          <w:p>
            <w:pPr>
              <w:spacing w:after="0"/>
              <w:rPr>
                <w:sz w:val="23"/>
                <w:szCs w:val="23"/>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4.52%</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150,000</w:t>
            </w:r>
          </w:p>
        </w:tc>
        <w:tc>
          <w:tcPr>
            <w:tcW w:w="24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six months ended June 30, 2019, the Company settled a cross-currency swap designated as a cash flow hedge of an intercompany loan with an aggregate notional amount of $33.3 million. The original maturity date was October 2, 2020, however, as the intercompany loan settlement was consummated, the cross-currency swap was settled simultaneously. As a result of the settlement, the Company recorded a loss of $0.4 million in other income, net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held the following cross-currency rate swaps as of December 31, 2018 (dollar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Fixed Rate</w:t>
            </w:r>
          </w:p>
        </w:tc>
        <w:tc>
          <w:tcPr>
            <w:tcW w:w="17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Aggregate Notional</w:t>
            </w:r>
          </w:p>
        </w:tc>
        <w:tc>
          <w:tcPr>
            <w:tcW w:w="180" w:type="dxa"/>
            <w:vAlign w:val="bottom"/>
          </w:tcPr>
          <w:p>
            <w:pPr>
              <w:spacing w:after="0"/>
              <w:rPr>
                <w:sz w:val="13"/>
                <w:szCs w:val="13"/>
                <w:color w:val="auto"/>
              </w:rPr>
            </w:pPr>
          </w:p>
        </w:tc>
        <w:tc>
          <w:tcPr>
            <w:tcW w:w="142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05"/>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7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9"/>
                <w:szCs w:val="9"/>
                <w:color w:val="auto"/>
              </w:rPr>
            </w:pPr>
          </w:p>
        </w:tc>
        <w:tc>
          <w:tcPr>
            <w:tcW w:w="1420" w:type="dxa"/>
            <w:vAlign w:val="bottom"/>
            <w:vMerge w:val="restart"/>
          </w:tcPr>
          <w:p>
            <w:pPr>
              <w:jc w:val="center"/>
              <w:ind w:right="98"/>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87"/>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97,065</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4.38%</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4.46%</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 2017</w:t>
            </w:r>
          </w:p>
        </w:tc>
        <w:tc>
          <w:tcPr>
            <w:tcW w:w="1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October 2, 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145,598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4.52%</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cross-currency swaps are carried on the consolidated balance sheet at fair value, and changes in the fair values are recorded as unrealized gains or losses in AOCI. For the three and six months ended June 30, 2019, the Company recorded losses of $5.1 million and $1.8 million, respectively, in other income, net for the foreign currency rate translation to offset the gains recognized on the intercompany loans. For the three and six months ended June 30, 2018, the Company recorded gains of $11.3 million and $4.9 million in other income, net for the foreign currency rate translation to offset the losses recognized on the intercompany loans.</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and six months ended June 30, 2019, the Company recorded a loss of $1.7 million and gain of $5.8 million, respectively, in AOCI related to the change in fair value of the cross-currency swaps. For the three and six months ended June 30, 2018, the Company recorded gains of $13.0 million and $6.1 million in AOCI related to the change in fair value of the cross-currency swaps.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2019, the Company recorded gains of $1.7 million and $3.7 million in other income, net included in the consolidated statements of operations related to the interest rate differential of the cross-currency swaps. For the three and six months ended June 30, 2018, the Company recorded gains of $2.0 million and $3.9 million in other income, net included in the consolidated statements of operations related to the interest rate differential of the cross-currency swap.</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June 30, 2019, an estimated gain of $6.8 million is expected to be reclassified within the next twelve months to other income, net from AOCI. As of June 30, 2019, the Company does not expect any gains or losses will be reclassified into earnings as a result of the discontinuance of these cash flow hedges because the original forecasted transaction will not occur.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On October 1, 2018, the Company entered into cross-currency swap agreements designated as net investment hedges to partially offset the effects of foreign currency on foreign subsidiaries.</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held the following cross-currency rate swaps designated as net investment hedges as of June 30, 2019 and December 31, 2018, respectively (dollar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0"/>
              </w:rPr>
              <w:t>June 30,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Effective Date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Termination Date</w:t>
            </w:r>
          </w:p>
        </w:tc>
        <w:tc>
          <w:tcPr>
            <w:tcW w:w="120" w:type="dxa"/>
            <w:vAlign w:val="bottom"/>
          </w:tcPr>
          <w:p>
            <w:pPr>
              <w:spacing w:after="0"/>
              <w:rPr>
                <w:sz w:val="13"/>
                <w:szCs w:val="13"/>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Fixed Rate</w:t>
            </w:r>
          </w:p>
        </w:tc>
        <w:tc>
          <w:tcPr>
            <w:tcW w:w="1800" w:type="dxa"/>
            <w:vAlign w:val="bottom"/>
            <w:gridSpan w:val="2"/>
          </w:tcPr>
          <w:p>
            <w:pPr>
              <w:jc w:val="right"/>
              <w:ind w:right="270"/>
              <w:spacing w:after="0" w:line="153" w:lineRule="exact"/>
              <w:rPr>
                <w:sz w:val="20"/>
                <w:szCs w:val="20"/>
                <w:color w:val="auto"/>
              </w:rPr>
            </w:pPr>
            <w:r>
              <w:rPr>
                <w:rFonts w:ascii="Arial" w:cs="Arial" w:eastAsia="Arial" w:hAnsi="Arial"/>
                <w:sz w:val="14"/>
                <w:szCs w:val="14"/>
                <w:b w:val="1"/>
                <w:bCs w:val="1"/>
                <w:color w:val="auto"/>
              </w:rPr>
              <w:t>Aggregate Notional</w:t>
            </w:r>
          </w:p>
        </w:tc>
        <w:tc>
          <w:tcPr>
            <w:tcW w:w="200" w:type="dxa"/>
            <w:vAlign w:val="bottom"/>
          </w:tcPr>
          <w:p>
            <w:pPr>
              <w:spacing w:after="0"/>
              <w:rPr>
                <w:sz w:val="13"/>
                <w:szCs w:val="13"/>
                <w:color w:val="auto"/>
              </w:rPr>
            </w:pPr>
          </w:p>
        </w:tc>
        <w:tc>
          <w:tcPr>
            <w:tcW w:w="138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142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380" w:type="dxa"/>
            <w:vAlign w:val="bottom"/>
          </w:tcPr>
          <w:p>
            <w:pPr>
              <w:jc w:val="center"/>
              <w:ind w:right="116"/>
              <w:spacing w:after="0"/>
              <w:rPr>
                <w:sz w:val="20"/>
                <w:szCs w:val="20"/>
                <w:color w:val="auto"/>
              </w:rPr>
            </w:pPr>
            <w:r>
              <w:rPr>
                <w:rFonts w:ascii="Arial" w:cs="Arial" w:eastAsia="Arial" w:hAnsi="Arial"/>
                <w:sz w:val="14"/>
                <w:szCs w:val="14"/>
                <w:b w:val="1"/>
                <w:bCs w:val="1"/>
                <w:color w:val="auto"/>
                <w:w w:val="93"/>
              </w:rPr>
              <w:t>Asset (Liability)</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Arial" w:cs="Arial" w:eastAsia="Arial" w:hAnsi="Arial"/>
                <w:sz w:val="14"/>
                <w:szCs w:val="14"/>
                <w:b w:val="1"/>
                <w:bCs w:val="1"/>
                <w:color w:val="auto"/>
                <w:w w:val="95"/>
              </w:rPr>
              <w:t>Asset (Liability)</w:t>
            </w: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70,738</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2,683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3.01%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82,000</w:t>
            </w:r>
          </w:p>
        </w:tc>
        <w:tc>
          <w:tcPr>
            <w:tcW w:w="20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51,760</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1,838</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2.57%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38,820</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773</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2.19%</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45,000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GBP</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6,462</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2,360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2.71%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167,500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 CHF</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3, 2018</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165,172</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Receive GBP</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1.67%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rPr>
              <w:t>GBP</w:t>
            </w:r>
          </w:p>
        </w:tc>
        <w:tc>
          <w:tcPr>
            <w:tcW w:w="9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128,284</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cross-currency swaps were carried on the consolidated balance sheet at fair value and changes in the fair values were recorded as unrealized gains or losses in AOCI. For the three and six months ended June 30, 2019, the Company recorded a loss of $0.8 million and gain of $9.4 million in AOCI related to the change in fair value of the cross-currency swaps.</w:t>
      </w:r>
    </w:p>
    <w:p>
      <w:pPr>
        <w:spacing w:after="0" w:line="18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the three and six months ended June 30, 2019, the Company recorded gains of $2.4 million and $4.7 million in interest income included in the consolidated statements of operations related to the interest rate differential of the cross-currency swaps.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estimated gain that is expected to be reclassified to interest income from AOCI as of June 30, 2019 within the next twelve months is $9.0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terms of the derivative instruments. The fair value of the interest rate swaps and the cross-currency swaps was developed using a market approach based on publicly available market yield curves and the terms of the related swap. The Company performs ongoing assessments of counterparty credit risk.</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the fair value for derivatives designated as hedging instruments in the condensed consolidated balance sheets as of June 30, 2019 and December 31, 2018:</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3"/>
          </w:tcPr>
          <w:p>
            <w:pPr>
              <w:jc w:val="right"/>
              <w:ind w:right="1171"/>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5"/>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1440" w:type="dxa"/>
            <w:vAlign w:val="bottom"/>
          </w:tcPr>
          <w:p>
            <w:pPr>
              <w:jc w:val="right"/>
              <w:ind w:right="354"/>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22"/>
                <w:szCs w:val="22"/>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2018</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3240" w:type="dxa"/>
            <w:vAlign w:val="bottom"/>
            <w:tcBorders>
              <w:top w:val="single" w:sz="8" w:color="auto"/>
            </w:tcBorders>
            <w:gridSpan w:val="3"/>
          </w:tcPr>
          <w:p>
            <w:pPr>
              <w:jc w:val="right"/>
              <w:ind w:right="121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276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4,654</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6,800</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7,615</w:t>
            </w: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Net Investment Hedges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9,047</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8,888</w:t>
            </w: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5,350</w:t>
            </w: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5,042</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1,774</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21,165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28,281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5"/>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3,024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788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Arial" w:cs="Arial" w:eastAsia="Arial" w:hAnsi="Arial"/>
                <w:sz w:val="16"/>
                <w:szCs w:val="16"/>
                <w:color w:val="auto"/>
              </w:rPr>
              <w:t>Cash Flow Hedges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7600" w:type="dxa"/>
            <w:vAlign w:val="bottom"/>
            <w:gridSpan w:val="4"/>
            <w:shd w:val="clear" w:color="auto" w:fill="CCEEFF"/>
          </w:tcPr>
          <w:p>
            <w:pPr>
              <w:ind w:left="100"/>
              <w:spacing w:after="0" w:line="270" w:lineRule="exact"/>
              <w:rPr>
                <w:sz w:val="20"/>
                <w:szCs w:val="20"/>
                <w:color w:val="auto"/>
              </w:rPr>
            </w:pPr>
            <w:r>
              <w:rPr>
                <w:rFonts w:ascii="Arial" w:cs="Arial" w:eastAsia="Arial" w:hAnsi="Arial"/>
                <w:sz w:val="18"/>
                <w:szCs w:val="18"/>
                <w:color w:val="auto"/>
              </w:rPr>
              <w:t>Interest rate swap</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40,410</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9,385</w:t>
            </w: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7,546</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10,445</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Arial" w:cs="Arial" w:eastAsia="Arial" w:hAnsi="Arial"/>
                <w:sz w:val="18"/>
                <w:szCs w:val="18"/>
                <w:color w:val="auto"/>
              </w:rPr>
              <w:t>Cross-currency swap</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10,037</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11,294</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31,124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At June 30, 2019 and December 31, 2018, the notional amount related to the Company’s interest rate swaps were $1.3 billion.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and six months ended June 30, 2019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2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5"/>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(43,161)</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(2,284)</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7,261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4,054</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(41,391)</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8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16,188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6,306</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22,344</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13,029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13,244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8,511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19,335</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13,394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14,452</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Balance in AOCI</w:t>
            </w: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 of</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of Gain (Loss)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160" w:type="dxa"/>
            <w:vAlign w:val="bottom"/>
          </w:tcPr>
          <w:p>
            <w:pPr>
              <w:spacing w:after="0"/>
              <w:rPr>
                <w:sz w:val="12"/>
                <w:szCs w:val="12"/>
                <w:color w:val="auto"/>
              </w:rPr>
            </w:pPr>
          </w:p>
        </w:tc>
        <w:tc>
          <w:tcPr>
            <w:tcW w:w="132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7"/>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7"/>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18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8"/>
              </w:rPr>
              <w:t>Year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7"/>
              </w:rPr>
              <w:t>End of Quarter</w:t>
            </w:r>
          </w:p>
        </w:tc>
        <w:tc>
          <w:tcPr>
            <w:tcW w:w="226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202"/>
        </w:trPr>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w w:val="97"/>
              </w:rPr>
              <w:t>(In thousands)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8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Cash Flow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35"/>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(41,053)</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(43,161)</w:t>
            </w:r>
          </w:p>
        </w:tc>
        <w:tc>
          <w:tcPr>
            <w:tcW w:w="226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Net Investment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9,422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4,054</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income</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9,314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(41,391)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18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226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880" w:type="dxa"/>
            <w:vAlign w:val="bottom"/>
            <w:gridSpan w:val="4"/>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Arial" w:cs="Arial" w:eastAsia="Arial" w:hAnsi="Arial"/>
                <w:sz w:val="16"/>
                <w:szCs w:val="16"/>
                <w:color w:val="auto"/>
              </w:rPr>
              <w:t>Cash Flow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22,344</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8,856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(7,892)</w:t>
            </w:r>
          </w:p>
        </w:tc>
        <w:tc>
          <w:tcPr>
            <w:tcW w:w="2260" w:type="dxa"/>
            <w:vAlign w:val="bottom"/>
          </w:tcPr>
          <w:p>
            <w:pPr>
              <w:ind w:left="120"/>
              <w:spacing w:after="0"/>
              <w:rPr>
                <w:sz w:val="20"/>
                <w:szCs w:val="20"/>
                <w:color w:val="auto"/>
              </w:rPr>
            </w:pPr>
            <w:r>
              <w:rPr>
                <w:rFonts w:ascii="Arial" w:cs="Arial" w:eastAsia="Arial" w:hAnsi="Arial"/>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14,452</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2019, there were approximately $6.2 million of total unrecognized compensation costs related to unvested stock options. These costs are expected to be recognized over a weighted-average period of approximately three years. There were 202,752 stock options granted during the six months ended June 30, 2019. For the six months ended June 30, 2019, the weighted average grant date fair value for stock options was $18.74 per option.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and restricted stock awards generally have requisite service periods of three years. Performance stock units are subject to graded vesting conditions based on revenue goals of the Company. The Company expenses their fair value over the requisite service period. The Company expenses the fair value of restricted stock awards on a straight-line basis over the requisite service period. As of June 30, 2019, there were approximately $29.8 million of total unrecognized compensation costs related to these unvested awards. The Company expects to recognize these costs over a weighted-average period of approximately two years. The Company granted 254,268 restricted stock awards and 118,903 performance stock awards during the six months ended June 30, 2019. For the six months ended June 30, 2019, the weighted average grant date fair value for restricted stock awards and performance stock units was $54.72 and $55.91 per award,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stock for the purpose of satisfying stock-based compensation obligations.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DEFINED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maintains defined benefit pension plans that cover certain employees in Austria, France, Japan, Germany and Switzerland.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six months ended June 30, 2019 were $0.5 million and $1.0 million, respectively. The components of the net periodic benefit costs other than the service cost component of $0.7 million and $1.3 million for the three and six months ended June 30, 2019, respectively, are included in other income, net in the consolidated statements of operations.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periodic benefit costs for the Company’s defined benefit pension plans for the three and six months ended June 30, 2018 were $0.6 million and $1.1 million, respectively. The components of the net periodic benefit costs other than the service cost component of $0.7 million and $1.4 million for the three and six months ended June 30, 2018, respectively, are included in other income, net in the consolidated statements of operations.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estimated fair values of plan assets were $31.2 million and $31.1 million as of June 30, 2019 and December 31, 2018, respectively. The net plan assets of the pension plans are invested in common trusts as of June 30, 2019 and December 31, 2018.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 AND RELATED PARTY LEASES</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leases administrative, manufacturing, research and distribution facilities and vehicles through operating lease agreements. The Company has no finance leases as of June 30, 2019. Many of the Company's leases include both lease (e.g., fixed payments including rent) and non-lease components (e.g., common-area or other maintenance costs). For vehicles, the Company has elected the practical expedient to group lease and non-lease components.</w:t>
      </w:r>
    </w:p>
    <w:p>
      <w:pPr>
        <w:spacing w:after="0" w:line="3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Most facility leases include one or more options to renew. The exercise of lease renewal options is typically at the Company's sole discretion, therefore, the majority of renewals to extend the lease terms are not included in the ROU assets and lease liabilities as they are not reasonably certain of exercise. The Company regularly evaluates renewal options and when they are reasonably certain of exercise, the renewal period is included in the lease term.</w:t>
      </w:r>
    </w:p>
    <w:p>
      <w:pPr>
        <w:spacing w:after="0" w:line="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most of the Company's leases do not provide an implicit rate, the Company uses a collateralized incremental borrowing rate based on the information available at the lease commencement date in determining the present value of the lease payments.</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operating lease expense for the six months ended June 30, 2019 and June 30, 2018, was $9.0 million and $6.5 million respectively, which includes $0.1 million, in related party operating lease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at June 30, 2019 were as follows: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297180</wp:posOffset>
            </wp:positionV>
            <wp:extent cx="14236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2"/>
              </w:rPr>
              <w:t>June 30, 2019</w:t>
            </w:r>
          </w:p>
        </w:tc>
      </w:tr>
      <w:tr>
        <w:trPr>
          <w:trHeight w:val="152"/>
        </w:trPr>
        <w:tc>
          <w:tcPr>
            <w:tcW w:w="9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90"/>
              </w:rPr>
              <w:t>(In thousands, except lease term</w:t>
            </w:r>
          </w:p>
        </w:tc>
      </w:tr>
      <w:tr>
        <w:trPr>
          <w:trHeight w:val="192"/>
        </w:trPr>
        <w:tc>
          <w:tcPr>
            <w:tcW w:w="9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860" w:type="dxa"/>
            <w:vAlign w:val="bottom"/>
            <w:tcBorders>
              <w:bottom w:val="single" w:sz="8" w:color="auto"/>
            </w:tcBorders>
            <w:shd w:val="clear" w:color="auto" w:fill="CCEEFF"/>
          </w:tcPr>
          <w:p>
            <w:pPr>
              <w:jc w:val="center"/>
              <w:ind w:right="295"/>
              <w:spacing w:after="0"/>
              <w:rPr>
                <w:sz w:val="20"/>
                <w:szCs w:val="20"/>
                <w:color w:val="auto"/>
              </w:rPr>
            </w:pPr>
            <w:r>
              <w:rPr>
                <w:rFonts w:ascii="Arial" w:cs="Arial" w:eastAsia="Arial" w:hAnsi="Arial"/>
                <w:sz w:val="14"/>
                <w:szCs w:val="14"/>
                <w:b w:val="1"/>
                <w:bCs w:val="1"/>
                <w:color w:val="auto"/>
                <w:w w:val="92"/>
              </w:rPr>
              <w:t>and discount rate)</w:t>
            </w: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ROU assets</w:t>
            </w:r>
          </w:p>
        </w:tc>
        <w:tc>
          <w:tcPr>
            <w:tcW w:w="38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95"/>
              <w:spacing w:after="0"/>
              <w:rPr>
                <w:sz w:val="20"/>
                <w:szCs w:val="20"/>
                <w:color w:val="auto"/>
              </w:rPr>
            </w:pPr>
            <w:r>
              <w:rPr>
                <w:rFonts w:ascii="Arial" w:cs="Arial" w:eastAsia="Arial" w:hAnsi="Arial"/>
                <w:sz w:val="18"/>
                <w:szCs w:val="18"/>
                <w:color w:val="auto"/>
              </w:rPr>
              <w:t>97,783</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Current lease liabilities</w:t>
            </w:r>
          </w:p>
        </w:tc>
        <w:tc>
          <w:tcPr>
            <w:tcW w:w="380" w:type="dxa"/>
            <w:vAlign w:val="bottom"/>
            <w:gridSpan w:val="2"/>
          </w:tcPr>
          <w:p>
            <w:pPr>
              <w:jc w:val="right"/>
              <w:ind w:right="188"/>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95"/>
              <w:spacing w:after="0"/>
              <w:rPr>
                <w:sz w:val="20"/>
                <w:szCs w:val="20"/>
                <w:color w:val="auto"/>
              </w:rPr>
            </w:pPr>
            <w:r>
              <w:rPr>
                <w:rFonts w:ascii="Arial" w:cs="Arial" w:eastAsia="Arial" w:hAnsi="Arial"/>
                <w:sz w:val="18"/>
                <w:szCs w:val="18"/>
                <w:color w:val="auto"/>
              </w:rPr>
              <w:t>13,448</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lease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94,197</w:t>
            </w:r>
          </w:p>
        </w:tc>
      </w:tr>
      <w:tr>
        <w:trPr>
          <w:trHeight w:val="297"/>
        </w:trPr>
        <w:tc>
          <w:tcPr>
            <w:tcW w:w="91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lease liabilities</w:t>
            </w:r>
          </w:p>
        </w:tc>
        <w:tc>
          <w:tcPr>
            <w:tcW w:w="380" w:type="dxa"/>
            <w:vAlign w:val="bottom"/>
            <w:tcBorders>
              <w:top w:val="single" w:sz="8" w:color="auto"/>
              <w:bottom w:val="single" w:sz="8" w:color="auto"/>
            </w:tcBorders>
            <w:gridSpan w:val="2"/>
          </w:tcPr>
          <w:p>
            <w:pPr>
              <w:jc w:val="right"/>
              <w:ind w:right="188"/>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8"/>
                <w:szCs w:val="18"/>
                <w:color w:val="auto"/>
              </w:rPr>
              <w:t>107,645</w:t>
            </w:r>
          </w:p>
        </w:tc>
      </w:tr>
      <w:tr>
        <w:trPr>
          <w:trHeight w:val="311"/>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13.0</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95"/>
              <w:spacing w:after="0"/>
              <w:rPr>
                <w:sz w:val="20"/>
                <w:szCs w:val="20"/>
                <w:color w:val="auto"/>
              </w:rPr>
            </w:pPr>
            <w:r>
              <w:rPr>
                <w:rFonts w:ascii="Arial" w:cs="Arial" w:eastAsia="Arial" w:hAnsi="Arial"/>
                <w:sz w:val="18"/>
                <w:szCs w:val="18"/>
                <w:color w:val="auto"/>
              </w:rPr>
              <w:t>3.1</w:t>
            </w: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Leased facilities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Leased vehicles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567"/>
        </w:trPr>
        <w:tc>
          <w:tcPr>
            <w:tcW w:w="9180" w:type="dxa"/>
            <w:vAlign w:val="bottom"/>
          </w:tcPr>
          <w:p>
            <w:pPr>
              <w:spacing w:after="0"/>
              <w:rPr>
                <w:sz w:val="20"/>
                <w:szCs w:val="20"/>
                <w:color w:val="auto"/>
              </w:rPr>
            </w:pPr>
            <w:r>
              <w:rPr>
                <w:rFonts w:ascii="Arial" w:cs="Arial" w:eastAsia="Arial" w:hAnsi="Arial"/>
                <w:sz w:val="18"/>
                <w:szCs w:val="18"/>
                <w:color w:val="auto"/>
                <w:w w:val="92"/>
              </w:rPr>
              <w:t>Supplemental cash flow information related to leases was as follows for the six months ended June 30, 2019 (in thousands):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51"/>
        </w:trPr>
        <w:tc>
          <w:tcPr>
            <w:tcW w:w="9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44"/>
        </w:trPr>
        <w:tc>
          <w:tcPr>
            <w:tcW w:w="9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June 30, 2019</w:t>
            </w:r>
          </w:p>
        </w:tc>
      </w:tr>
      <w:tr>
        <w:trPr>
          <w:trHeight w:val="256"/>
        </w:trPr>
        <w:tc>
          <w:tcPr>
            <w:tcW w:w="9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4"/>
                <w:szCs w:val="14"/>
                <w:b w:val="1"/>
                <w:bCs w:val="1"/>
                <w:color w:val="auto"/>
              </w:rPr>
              <w:t>(In thousands)</w:t>
            </w:r>
          </w:p>
        </w:tc>
      </w:tr>
      <w:tr>
        <w:trPr>
          <w:trHeight w:val="237"/>
        </w:trPr>
        <w:tc>
          <w:tcPr>
            <w:tcW w:w="9180" w:type="dxa"/>
            <w:vAlign w:val="bottom"/>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9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7,771</w:t>
            </w:r>
          </w:p>
        </w:tc>
      </w:tr>
      <w:tr>
        <w:trPr>
          <w:trHeight w:val="324"/>
        </w:trPr>
        <w:tc>
          <w:tcPr>
            <w:tcW w:w="9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0"/>
        </w:trPr>
        <w:tc>
          <w:tcPr>
            <w:tcW w:w="9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 obtained in exchange for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5"/>
              <w:spacing w:after="0"/>
              <w:rPr>
                <w:sz w:val="20"/>
                <w:szCs w:val="20"/>
                <w:color w:val="auto"/>
              </w:rPr>
            </w:pPr>
            <w:r>
              <w:rPr>
                <w:rFonts w:ascii="Arial" w:cs="Arial" w:eastAsia="Arial" w:hAnsi="Arial"/>
                <w:sz w:val="18"/>
                <w:szCs w:val="18"/>
                <w:color w:val="auto"/>
              </w:rPr>
              <w:t>37,646</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June 30, 2019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8,791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13,308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13,604</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11,316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100,293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102,017</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3,056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152,970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156,026</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48,381</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107,645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Less: Current lease liabilities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13,448</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lease liabilities</w:t>
            </w: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94,197</w:t>
            </w:r>
          </w:p>
        </w:tc>
      </w:tr>
      <w:tr>
        <w:trPr>
          <w:trHeight w:val="27"/>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2018, the Company entered into an operating lease with a term of 18 years for a new corporate headquarters in Princeton, NJ. The lease commenced during the second quarter of 2019 and the Company recorded a ROU asset and lease liability of $35.6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operating leases at December 31, 2018 were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16,768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13,806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12,493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100,675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102,399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166,498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169,702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0"/>
        <w:spacing w:after="0" w:line="522" w:lineRule="auto"/>
        <w:rPr>
          <w:sz w:val="20"/>
          <w:szCs w:val="20"/>
          <w:color w:val="auto"/>
        </w:rPr>
      </w:pPr>
      <w:r>
        <w:rPr>
          <w:rFonts w:ascii="Arial" w:cs="Arial" w:eastAsia="Arial" w:hAnsi="Arial"/>
          <w:sz w:val="18"/>
          <w:szCs w:val="18"/>
          <w:color w:val="auto"/>
        </w:rPr>
        <w:t xml:space="preserve">Total operating lease expense for the year ended December 31, 2018 was $16.3 million and included $0.3 million, in related party lease expense. There were no future minimum lease payments under capital leases at December 31, 2018. </w:t>
      </w:r>
      <w:r>
        <w:rPr>
          <w:rFonts w:ascii="Arial" w:cs="Arial" w:eastAsia="Arial" w:hAnsi="Arial"/>
          <w:sz w:val="18"/>
          <w:szCs w:val="18"/>
          <w:b w:val="1"/>
          <w:bCs w:val="1"/>
          <w:i w:val="1"/>
          <w:iCs w:val="1"/>
          <w:color w:val="auto"/>
        </w:rPr>
        <w:t>Related Party Leases</w:t>
      </w:r>
    </w:p>
    <w:p>
      <w:pPr>
        <w:spacing w:after="0" w:line="2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2032 at an annual rate of approximately $0.3 million per year. The current lease agreement also provides (i) a 5-year renewal option for the Company to extend the lease from November 1, 2032 through October 31, 2037 at the fair market rental rate of the premises, and (ii) another 5-year renewal option to extend the lease from November 1, 2037 through October 31, 2042 at the fair market rental rate of the premises.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TREASURY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and December 31, 2018, there were 2.9 million shares of treasury stock outstanding with a cost of $120.1 million and $120.6 million, respectively, at a weighted average cost per share of $41.86 and $41.87, respectively.</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As of June 30, 2019, there remained $225.0 million available for repurchase under this authorization. This stock repurchase authorization replaces the previous $150.0 million stock repurchase authorization, approved by the Board in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six months ended June 30, 2019 and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2018</w:t>
            </w:r>
          </w:p>
        </w:tc>
      </w:tr>
      <w:tr>
        <w:trPr>
          <w:trHeight w:val="275"/>
        </w:trPr>
        <w:tc>
          <w:tcPr>
            <w:tcW w:w="4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960" w:type="dxa"/>
            <w:vAlign w:val="bottom"/>
            <w:tcBorders>
              <w:top w:val="single" w:sz="8" w:color="auto"/>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10.6%</w:t>
            </w:r>
          </w:p>
        </w:tc>
        <w:tc>
          <w:tcPr>
            <w:tcW w:w="2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effective income tax rates for the three months ended June 30, 2019 and 2018 were 18.3% and 10.6%, respectively. For the three months ended June 30, 2019, the increase in the rate is primarily driven by an increase in taxable income within U.S. jurisdictions.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effective income tax rates for the six months ended June 30, 2019 and 2018 were (2.1)% and (2.3)%, respectively. For the six months ended June 30, 2019, the increase in the rate is primarily driven by an increase in taxable income within U.S. jurisdictions, offset by a tax benefit of $10.8 million ($0.13 per share) related to a federal tax holiday in Switzerland, which was finalized during the quarter ended March 31, 2019. The Company received a federal tax credit in Switzerland of 12 million CHF, which can be used over a seven year period, ending in 2024. The six months ended June 30, 2018, included an additional tax benefit of $1.7 million related to share–based compensation, when compared to the same period in 2019.</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2019,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June 30, 2019.</w:t>
      </w:r>
    </w:p>
    <w:p>
      <w:pPr>
        <w:sectPr>
          <w:pgSz w:w="11900" w:h="16838" w:orient="portrait"/>
          <w:cols w:equalWidth="0" w:num="1">
            <w:col w:w="11420"/>
          </w:cols>
          <w:pgMar w:left="240" w:top="121"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PER SHARE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5"/>
        </w:trPr>
        <w:tc>
          <w:tcPr>
            <w:tcW w:w="51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22,368</w:t>
            </w: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85,577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82,423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80,491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0.28</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8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29,736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62,492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22,368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85,577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82,423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85,460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80,491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2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1,211</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w w:val="98"/>
              </w:rPr>
              <w:t>Weighted average common shares for diluted earnings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81,702</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Shares of common stock of approximately 0.1 million and 0.2 million at June 30, 2019 and 2018, respectively, that are issuable through the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Vested 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55"/>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29,736</w:t>
            </w:r>
          </w:p>
        </w:tc>
        <w:tc>
          <w:tcPr>
            <w:tcW w:w="12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11,376</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62,492</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22,368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unrealized gain (loss) on derivatives, net of tax</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4,128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13,032</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17,714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(12,269)</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39,235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21,401</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2018 and June 30, 2019 are presented in the table below,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Gains and Losses</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Defined Benefit</w:t>
            </w:r>
          </w:p>
        </w:tc>
        <w:tc>
          <w:tcPr>
            <w:tcW w:w="30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Foreign</w:t>
            </w:r>
          </w:p>
        </w:tc>
        <w:tc>
          <w:tcPr>
            <w:tcW w:w="260" w:type="dxa"/>
            <w:vAlign w:val="bottom"/>
          </w:tcPr>
          <w:p>
            <w:pPr>
              <w:spacing w:after="0"/>
              <w:rPr>
                <w:sz w:val="14"/>
                <w:szCs w:val="14"/>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on Derivatives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(45,443)</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(16,294)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(23,257)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2019, the Company reclassified gains of $1.4 million and $5.5 million from AOCI to other income, net, and interest income,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116"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Corporate and other category includes (i) various executive, finance, human resource, information systems, legal functions, (ii) brand management, and (iii) share-based compensation costs.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and six months ended June 30, 2019 and 2018 are as follows: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250"/>
        </w:trPr>
        <w:tc>
          <w:tcPr>
            <w:tcW w:w="37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249,258</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w w:val="92"/>
              </w:rPr>
              <w:t>239,504</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483,826</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475,619</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134,387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2"/>
              </w:rPr>
              <w:t>126,686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259,509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247,653</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10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383,645</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366,190</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743,335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723,272</w:t>
            </w:r>
          </w:p>
        </w:tc>
      </w:tr>
      <w:tr>
        <w:trPr>
          <w:trHeight w:val="67"/>
        </w:trPr>
        <w:tc>
          <w:tcPr>
            <w:tcW w:w="378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3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1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Codman Specialty Surgical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99,241</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91,118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190,622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180,609</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Orthopedics and Tissue Technologies</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37,141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82,282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69,579</w:t>
            </w:r>
          </w:p>
        </w:tc>
      </w:tr>
      <w:tr>
        <w:trPr>
          <w:trHeight w:val="237"/>
        </w:trPr>
        <w:tc>
          <w:tcPr>
            <w:tcW w:w="37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141,028</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2"/>
              </w:rPr>
              <w:t>128,259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272,904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250,188</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(5,286)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(84,065)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(95,339)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(178,353)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(186,299)</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45,959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27,634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53,213</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3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378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2018</w:t>
            </w:r>
          </w:p>
        </w:tc>
      </w:tr>
      <w:tr>
        <w:trPr>
          <w:trHeight w:val="196"/>
        </w:trPr>
        <w:tc>
          <w:tcPr>
            <w:tcW w:w="37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273,390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259,711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530,116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508,639</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Europe</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50,871</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51,405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99,511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103,178</w:t>
            </w:r>
          </w:p>
        </w:tc>
      </w:tr>
      <w:tr>
        <w:trPr>
          <w:trHeight w:val="27"/>
        </w:trPr>
        <w:tc>
          <w:tcPr>
            <w:tcW w:w="3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35,497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71,282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1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22,353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19,577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40,977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40,173</w:t>
            </w:r>
          </w:p>
        </w:tc>
      </w:tr>
      <w:tr>
        <w:trPr>
          <w:trHeight w:val="27"/>
        </w:trPr>
        <w:tc>
          <w:tcPr>
            <w:tcW w:w="3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383,645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2"/>
              </w:rPr>
              <w:t>366,190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743,335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723,272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determined the fair value of contingent consideration during the six-month period ended June 30, 2019 and 2018 to reflect the change in estimates, additions, payments, transfers and the time value of money during the period.</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opening balances to the closing balances of these Level 3 measurements for the six months ended June 30, 2019 and 2018 is as follows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Six Months Ended June 30, 2019</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Balance as of January 1, 2019</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Balance as of June 30, 2019</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Contingent Consideration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Liability Related to Acquisition of</w:t>
      </w:r>
    </w:p>
    <w:p>
      <w:pPr>
        <w:jc w:val="center"/>
        <w:ind w:right="20"/>
        <w:spacing w:after="0"/>
        <w:rPr>
          <w:sz w:val="20"/>
          <w:szCs w:val="20"/>
          <w:color w:val="auto"/>
        </w:rPr>
      </w:pPr>
      <w:r>
        <w:rPr>
          <w:rFonts w:ascii="Arial" w:cs="Arial" w:eastAsia="Arial" w:hAnsi="Arial"/>
          <w:sz w:val="14"/>
          <w:szCs w:val="14"/>
          <w:b w:val="1"/>
          <w:bCs w:val="1"/>
          <w:color w:val="auto"/>
        </w:rPr>
        <w:t>Derma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13335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7"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1449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3" w:lineRule="exact"/>
        <w:rPr>
          <w:sz w:val="20"/>
          <w:szCs w:val="20"/>
          <w:color w:val="auto"/>
        </w:rPr>
      </w:pPr>
    </w:p>
    <w:p>
      <w:pPr>
        <w:spacing w:after="0"/>
        <w:tabs>
          <w:tab w:leader="none" w:pos="18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39370</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spacing w:after="0"/>
        <w:tabs>
          <w:tab w:leader="none" w:pos="18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56515</wp:posOffset>
            </wp:positionV>
            <wp:extent cx="14490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60"/>
          </w:cols>
          <w:pgMar w:left="240" w:top="121"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Contingent</w:t>
            </w: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restart"/>
          </w:tcPr>
          <w:p>
            <w:pPr>
              <w:jc w:val="center"/>
              <w:ind w:right="280"/>
              <w:spacing w:after="0"/>
              <w:rPr>
                <w:sz w:val="20"/>
                <w:szCs w:val="20"/>
                <w:color w:val="auto"/>
              </w:rPr>
            </w:pPr>
            <w:r>
              <w:rPr>
                <w:rFonts w:ascii="Arial" w:cs="Arial" w:eastAsia="Arial" w:hAnsi="Arial"/>
                <w:sz w:val="14"/>
                <w:szCs w:val="14"/>
                <w:b w:val="1"/>
                <w:bCs w:val="1"/>
                <w:color w:val="auto"/>
                <w:w w:val="92"/>
              </w:rPr>
              <w:t>Contingent Considerations</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Liabilities Related to Acquisition of</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0"/>
              </w:rPr>
              <w:t>Derma Sciences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9"/>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Short-term</w:t>
            </w:r>
          </w:p>
        </w:tc>
        <w:tc>
          <w:tcPr>
            <w:tcW w:w="2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Long-term</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59"/>
              <w:spacing w:after="0"/>
              <w:rPr>
                <w:sz w:val="20"/>
                <w:szCs w:val="20"/>
                <w:color w:val="auto"/>
              </w:rPr>
            </w:pPr>
            <w:r>
              <w:rPr>
                <w:rFonts w:ascii="Arial" w:cs="Arial" w:eastAsia="Arial" w:hAnsi="Arial"/>
                <w:sz w:val="14"/>
                <w:szCs w:val="14"/>
                <w:b w:val="1"/>
                <w:bCs w:val="1"/>
                <w:color w:val="auto"/>
                <w:w w:val="94"/>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January 1,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change in fair value of contingent consideration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4,900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15, 2014, the Company acquired all outstanding shares of Confluent Surgical, Inc., ("Confluent Surgical"). The purchase price included contingent consideration. The potential maximum undiscounted contingent consideration of $30.0 million consisted of $25.0 million upon obtaining certain U.S. governmental approvals (the "U.S. Contingent Consideration") and $5.0 million upon obtaining certain European governmental approvals, both related to the completion of the transition of the Confluent Surgical business. The fair values of contingent consideration related to the acquisition of Confluent Surgical were estimated using a discounted cash flow model using a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related to Confluent Surgical in October of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assumed contingent consideration incurred by Derma Sciences, Inc.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47"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date of the acquisition, net sales used in estimating the BioD Earnout Payments was based on the weighted average of different possible scenarios using a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The Company made no additional payments after the final earn out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May 25, 2017, the Company made full payment for the Product Payment of $26.6 million.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the date of the acquisition, the net sales used in estimating the Medihoney Earnout Payments were based on the weighted average of different possible scenarios using revenue volatility of 27.5%. The Medihoney Earnout Payments were valued using a discount rate of 4.5%. The maximum payout related to the Medihoney Earnout Payments is $5.0 million. During the second quarter of 2018, the Company paid $2.0 million for the Medihoney Earnout Payments. The estimated fair value of the remaining Medihoney Earnout Payment as of June 30, 2019, December 31, 2018 and June 30, 2018 was $0.2 million.</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assesses these assumptions on an ongoing basis as additional information affecting the assumptions is obtained. The contingent consideration balances for Derma Sciences and Confluent Surgical was included in other liabilities at June 30, 2019 and accrued expenses and other current liabilities and other liabilities at June 30,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2018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2018, and under the heading "Risk Factors" in this report. We undertake no obligation to publicly update or revise any forward-looking statements, whether as a result of new information, future events or otherwise.</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the repair of nerves and tendons. The company has expanded its base regenerative technology business to include surgical instruments, neurosurgical products, advanced wound care, and orthopedic hardware through a combination of several global acquisitions and by developing products internally to further meet the needs of its customers.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segment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 portfolios consist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facilities located in the United States (the "U.S."), Canada, France, Germany, Ireland, Switzerland, and Puerto Rico. We also source most of our handheld surgical instruments, specialty metal and pyrocarbon implants, and dural sealant products through specialized third-party vendors.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Codman Specialty Surgical products are sold through a combination of directly employed sales representatives, distributors and wholesalers, depending on the customer call point.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Orthopedics and Tissue Technologies products are sold through directly employed sales representatives, distributors focused on their respective surgical specialties, and strategic partners.</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 areas through improved planning and communication, optimization of our infrastructure, and strategically aligned tuck-in acquisitions, we can build scale, increase competitiveness and achieve our long-term goals.</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aim to achieve growth in our revenues while maintaining strong financial results. While we pay attention to any meaningful trend in our financial results, we focus on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To this end, our executive leadership team has established the following key priorities aligned to the following areas of focus:</w:t>
      </w:r>
    </w:p>
    <w:p>
      <w:pPr>
        <w:spacing w:after="0" w:line="22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i w:val="1"/>
          <w:iCs w:val="1"/>
          <w:color w:val="auto"/>
        </w:rPr>
        <w:t xml:space="preserve">Strategic Acquisitions. </w:t>
      </w:r>
      <w:r>
        <w:rPr>
          <w:rFonts w:ascii="Arial" w:cs="Arial" w:eastAsia="Arial" w:hAnsi="Arial"/>
          <w:sz w:val="18"/>
          <w:szCs w:val="18"/>
          <w:color w:val="auto"/>
        </w:rPr>
        <w:t>An important part of our strategy is pursuing strategic transactions and licensing agreements that increase relevant scale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areas in which we compete. In 2019, integrating the Codman Neurosurgery business, which was acquired from Johnson and Johnson in 2017, remains a top priority. This acquisition expanded our portfolio of neurosurgery products and established us as the world leader in neurosurgery. It has also enabled us to bring our entire Integra portfolio to a global market.</w:t>
      </w:r>
    </w:p>
    <w:p>
      <w:pPr>
        <w:spacing w:after="0" w:line="187" w:lineRule="exact"/>
        <w:rPr>
          <w:sz w:val="20"/>
          <w:szCs w:val="20"/>
          <w:color w:val="auto"/>
        </w:rPr>
      </w:pPr>
    </w:p>
    <w:p>
      <w:pPr>
        <w:ind w:left="660" w:right="160"/>
        <w:spacing w:after="0" w:line="273" w:lineRule="auto"/>
        <w:rPr>
          <w:sz w:val="20"/>
          <w:szCs w:val="20"/>
          <w:color w:val="auto"/>
        </w:rPr>
      </w:pPr>
      <w:r>
        <w:rPr>
          <w:rFonts w:ascii="Arial" w:cs="Arial" w:eastAsia="Arial" w:hAnsi="Arial"/>
          <w:sz w:val="17"/>
          <w:szCs w:val="17"/>
          <w:i w:val="1"/>
          <w:iCs w:val="1"/>
          <w:color w:val="auto"/>
        </w:rPr>
        <w:t xml:space="preserve">Portfolio Optimization and New Product Introductions. </w:t>
      </w:r>
      <w:r>
        <w:rPr>
          <w:rFonts w:ascii="Arial" w:cs="Arial" w:eastAsia="Arial" w:hAnsi="Arial"/>
          <w:sz w:val="17"/>
          <w:szCs w:val="17"/>
          <w:color w:val="auto"/>
        </w:rPr>
        <w:t>We are investing in innovative product development to drive a multi-generational pipeline</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key product franchises. Our product development efforts focus on regenerative technologies and other projects with the potential for significant returns on investment. In 2018, we achieved significant milestones in research and development by successfully launching nine new products.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78"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i w:val="1"/>
          <w:iCs w:val="1"/>
          <w:color w:val="auto"/>
        </w:rPr>
        <w:t xml:space="preserve">Commercial Channel Investments. </w:t>
      </w:r>
      <w:r>
        <w:rPr>
          <w:rFonts w:ascii="Arial" w:cs="Arial" w:eastAsia="Arial" w:hAnsi="Arial"/>
          <w:sz w:val="18"/>
          <w:szCs w:val="18"/>
          <w:color w:val="auto"/>
        </w:rPr>
        <w:t>With acquisitions, new product introductions and a broader portfolio of products, investing in our sales channels</w:t>
      </w:r>
      <w:r>
        <w:rPr>
          <w:rFonts w:ascii="Arial" w:cs="Arial" w:eastAsia="Arial" w:hAnsi="Arial"/>
          <w:sz w:val="18"/>
          <w:szCs w:val="18"/>
          <w:i w:val="1"/>
          <w:iCs w:val="1"/>
          <w:color w:val="auto"/>
        </w:rPr>
        <w:t xml:space="preserve"> </w:t>
      </w:r>
      <w:r>
        <w:rPr>
          <w:rFonts w:ascii="Arial" w:cs="Arial" w:eastAsia="Arial" w:hAnsi="Arial"/>
          <w:sz w:val="18"/>
          <w:szCs w:val="18"/>
          <w:color w:val="auto"/>
        </w:rPr>
        <w:t>is a core part of our strategy to create specialization and greater focus on reaching our customers and addressing their needs. Internationally, we have increased our commercial resources significantly in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93"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We aspire to be ranked as a best-in-class provider and are committed to strengthen our relationships with all customers. We</w:t>
      </w:r>
      <w:r>
        <w:rPr>
          <w:rFonts w:ascii="Arial" w:cs="Arial" w:eastAsia="Arial" w:hAnsi="Arial"/>
          <w:sz w:val="18"/>
          <w:szCs w:val="18"/>
          <w:i w:val="1"/>
          <w:iCs w:val="1"/>
          <w:color w:val="auto"/>
        </w:rPr>
        <w:t xml:space="preserve"> </w:t>
      </w:r>
      <w:r>
        <w:rPr>
          <w:rFonts w:ascii="Arial" w:cs="Arial" w:eastAsia="Arial" w:hAnsi="Arial"/>
          <w:sz w:val="18"/>
          <w:szCs w:val="18"/>
          <w:color w:val="auto"/>
        </w:rPr>
        <w:t>strive 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12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We continue to invest in collecting clinical evidence to support our existing products and new product launches, and to ensure that we obtain market access for broader and more cost-effective solutions. In 2018, we launched the CUSA® Clarity ultrasonic tissue ablation platform in Japan, Xtrasorb® Gentle Tack Silicone Foam Dressing, SurgiMend® MP Collagen Matrix, and Integra® Meshed Dermal Regeneration Template outside the U.S., and AmnioExcel® Plus Amniotic Allograft Membrane, Integra® XT Revision Total Ankle Replacement System, and Panta® II TTC Arthrodesis Nail System in the U.S.</w:t>
      </w:r>
    </w:p>
    <w:p>
      <w:pPr>
        <w:spacing w:after="0" w:line="46"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During the first half of 2019 we launched 10 new products. These include our new electrosurgery generator, a next generation ICP monitoring platform and an innovative customer-centric toolkit for our Certas™ Plus Programmable Valve along with additional shunt configurations. In addition, we launched the Panta II system outside the U.S.. The Panta II system is our new fusion nail used in ankle fixation. In our electromechanical technologies portfolio, we are focused on the development of core clinical applications. We continue to work with several instrument partners to bring new surgical instrument patterns to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market, enabling us to add new instruments with minimal expense and invest in ongoing development, such as our DUO LED Surgical Headlight System. Also during 2019, we have made updates to our CUSA Clarity platform to incorporate new ultrasonic tips and integrated electrosurgical capabilities. We continue to work on advanced shoulder products and are developing a pyrocarbon shoulder hemiarthroplasty product to add to our orthopedic reconstruction portfolio.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Matters</w:t>
      </w:r>
    </w:p>
    <w:p>
      <w:pPr>
        <w:spacing w:after="0" w:line="229"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result,the morselized amniotic membrane tissue products would be regulated as a Drug or Biologic.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w:t>
      </w:r>
    </w:p>
    <w:p>
      <w:pPr>
        <w:spacing w:after="0" w:line="2" w:lineRule="exact"/>
        <w:rPr>
          <w:sz w:val="20"/>
          <w:szCs w:val="20"/>
          <w:color w:val="auto"/>
        </w:rPr>
      </w:pPr>
    </w:p>
    <w:p>
      <w:pPr>
        <w:ind w:right="60" w:firstLine="8"/>
        <w:spacing w:after="0" w:line="286"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June 30, 2019,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Revenues from BioD morselized amniotic membrane based products for the six months ended June 30, 2019 were less than 1.0% of consolidated revenues.</w:t>
      </w:r>
    </w:p>
    <w:p>
      <w:pPr>
        <w:spacing w:after="0" w:line="24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March 7, 2019, a subsidiary of the Company received a Warning Letter (the “Warning Letter”), dated March 6, 2019, from the United States Food and Drug Administration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until the violations have been corrected. Additionally, premarket approval applications for Class III devices to which the Quality System regulation violations are reasonably related will not be approved until the violations have been corrected. The Boston facility manufactures extracellular bovine matrix (EBM) products. The Company does not expect to incur material incremental expense for remediation activities. The Company submitted its initial response to the FDA Warning Letter on March 28, 2019.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Revenues of products manufactured in the Boston facility for the six months ended June 30, 2019 were approximately 4.0% of consolidated revenues.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three months ended June 30, 2019 was $29.7 million, or $0.34 per diluted share, as compared to $11.4 million or $0.14 per diluted share for the three months ended June 30, 2018.</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six months ended June 30, 2019 was $62.5 million, or $0.72 per diluted share, as compared to $22.4 million or $0.27 per diluted share for the six months ended June 30,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income from the same period last year resulted from higher sales, improved margin, a reduction in interest expense and a tax benefit from the Switzerland tax holiday. Operating expenses decreased from the same period last year primarily as a result of one-time costs associated with the acquisition of Codman Neurosurgery included in net income.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224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w w:val="97"/>
              </w:rPr>
              <w:t>Six Months Ended June 30,</w:t>
            </w:r>
          </w:p>
        </w:tc>
      </w:tr>
      <w:tr>
        <w:trPr>
          <w:trHeight w:val="264"/>
        </w:trPr>
        <w:tc>
          <w:tcPr>
            <w:tcW w:w="58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196"/>
        </w:trPr>
        <w:tc>
          <w:tcPr>
            <w:tcW w:w="5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and integration-related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23,697</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52,583</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3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6,947</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8,550</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Discontinued product lines</w:t>
            </w:r>
          </w:p>
        </w:tc>
        <w:tc>
          <w:tcPr>
            <w:tcW w:w="3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3,721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matters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EU medical device regulation</w:t>
            </w:r>
          </w:p>
        </w:tc>
        <w:tc>
          <w:tcPr>
            <w:tcW w:w="3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32,146</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62,635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7,331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41,916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w:t>
            </w:r>
          </w:p>
        </w:tc>
      </w:tr>
      <w:tr>
        <w:trPr>
          <w:trHeight w:val="237"/>
        </w:trPr>
        <w:tc>
          <w:tcPr>
            <w:tcW w:w="5160" w:type="dxa"/>
            <w:vAlign w:val="bottom"/>
          </w:tcPr>
          <w:p>
            <w:pPr>
              <w:ind w:left="1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25,090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32,146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53,108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62,635</w:t>
            </w:r>
          </w:p>
        </w:tc>
      </w:tr>
      <w:tr>
        <w:trPr>
          <w:trHeight w:val="27"/>
        </w:trPr>
        <w:tc>
          <w:tcPr>
            <w:tcW w:w="5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ectPr>
          <w:pgSz w:w="11900" w:h="16838" w:orient="portrait"/>
          <w:cols w:equalWidth="0" w:num="1">
            <w:col w:w="11420"/>
          </w:cols>
          <w:pgMar w:left="240" w:top="125"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Our revenues and gross margin on product revenues were as follows: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Codman Specialty Surgical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Orthopedics &amp; Tissue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revenue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Gross margin on total revenues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margin as a percentage of 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040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r>
      <w:tr>
        <w:trPr>
          <w:trHeight w:val="244"/>
        </w:trPr>
        <w:tc>
          <w:tcPr>
            <w:tcW w:w="380" w:type="dxa"/>
            <w:vAlign w:val="bottom"/>
          </w:tcPr>
          <w:p>
            <w:pPr>
              <w:spacing w:after="0"/>
              <w:rPr>
                <w:sz w:val="21"/>
                <w:szCs w:val="21"/>
                <w:color w:val="auto"/>
              </w:rPr>
            </w:pPr>
          </w:p>
        </w:tc>
        <w:tc>
          <w:tcPr>
            <w:tcW w:w="284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(Dollars in thousands)</w:t>
            </w:r>
          </w:p>
        </w:tc>
      </w:tr>
      <w:tr>
        <w:trPr>
          <w:trHeight w:val="255"/>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249,258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239,504</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134,387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126,686</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383,645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366,190</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143,671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137,565</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239,974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228,625</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w:t>
            </w:r>
          </w:p>
        </w:tc>
      </w:tr>
    </w:tbl>
    <w:p>
      <w:pPr>
        <w:spacing w:after="0" w:line="200" w:lineRule="exact"/>
        <w:rPr>
          <w:sz w:val="20"/>
          <w:szCs w:val="20"/>
          <w:color w:val="auto"/>
        </w:rPr>
      </w:pPr>
    </w:p>
    <w:p>
      <w:pPr>
        <w:sectPr>
          <w:pgSz w:w="11900" w:h="16838" w:orient="portrait"/>
          <w:cols w:equalWidth="0" w:num="2">
            <w:col w:w="7480" w:space="720"/>
            <w:col w:w="3220"/>
          </w:cols>
          <w:pgMar w:left="240" w:top="125" w:right="239" w:bottom="1440" w:gutter="0" w:footer="0" w:header="0"/>
          <w:type w:val="continuous"/>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2019 as Compared to Three Months Ended June 30,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three months ended June 30, 2019, total revenues increased by $17.4 million to $383.6 million from $366.2 million for the same period in 2018. Domestic revenues increased $13.7 million, or 5.3%, to $273.4 million and were 71.3% of total revenues for the three months ended June 30, 2019. International revenues increased by $4.0 million to $110.3 million for the three months ended June 30, 2019 compared to $106.5 million during the same period in the prior year. The net increase of $17.5 million was a result of growth in both segments of $23.6 million offset by a $4.0 million unfavorable impact of foreign exchange, which mainly impacts the Codman Specialty Surgical segment and a $2.1 million unfavorable impact due to discontinued and divested products.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Codman Specialty Surgical revenues were $249.3 million, an increase of 4.1% from the prior-year period. The increase primarily resulted from sales of our Neuro Monitoring and Programmable Valve products, which increased low double-digits and mid single-digits compared to the prior year driven by new product introductions. Sales for our Dural Repair products increased low single-digits year over year offset partially by an unfavorable impact of foreign exchange. Precision Tools and Instruments revenue increased low-single digits compared to the same period last year primarily due to revenue increases in our Stereotaxy and Mayfield product lines and Acute Surgical instrument products.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Orthopedics and Tissue Technologies revenues were $134.4 million, an increase of 6.1% from the prior-year period. In our Wound Reconstruction and Care portfolio used for inpatient and outpatient procedures, sales of our core tissue products including PriMatrix and SurgiMend increased low double-digits. Other amniotic tissue products increased low single-digits. Private Label sales increased by mid-double digits over the prior period. Extremity Orthopedic sales were flat compared to the same period last year excluding the unfavorable impact of foreign exchange. Sales growth in our hand and shoulder products were offset by declines in other lower extremity products.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Gross margin increased to $240.0 million for the three-month period ended June 30, 2019, an increase of $11.4 million from $228.6 million for the same period last year. Gross margin as a percentage of total revenue increased to 62.6% for the second quarter of 2019 from 62.4% in the same period last year. The Company's improved sales mix and manufacturing yields also contributed to an increase in gross margin for the three-month period ended June 30,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23495</wp:posOffset>
            </wp:positionV>
            <wp:extent cx="24523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gridSpan w:val="2"/>
          </w:tcPr>
          <w:p>
            <w:pPr>
              <w:ind w:left="8360"/>
              <w:spacing w:after="0"/>
              <w:rPr>
                <w:sz w:val="20"/>
                <w:szCs w:val="20"/>
                <w:color w:val="auto"/>
              </w:rPr>
            </w:pPr>
            <w:r>
              <w:rPr>
                <w:rFonts w:ascii="Arial" w:cs="Arial" w:eastAsia="Arial" w:hAnsi="Arial"/>
                <w:sz w:val="14"/>
                <w:szCs w:val="14"/>
                <w:b w:val="1"/>
                <w:bCs w:val="1"/>
                <w:color w:val="auto"/>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4"/>
              <w:spacing w:after="0"/>
              <w:rPr>
                <w:sz w:val="20"/>
                <w:szCs w:val="20"/>
                <w:color w:val="auto"/>
              </w:rPr>
            </w:pPr>
            <w:r>
              <w:rPr>
                <w:rFonts w:ascii="Arial" w:cs="Arial" w:eastAsia="Arial" w:hAnsi="Arial"/>
                <w:sz w:val="14"/>
                <w:szCs w:val="14"/>
                <w:b w:val="1"/>
                <w:bCs w:val="1"/>
                <w:color w:val="auto"/>
              </w:rPr>
              <w:t>2018</w:t>
            </w:r>
          </w:p>
        </w:tc>
      </w:tr>
      <w:tr>
        <w:trPr>
          <w:trHeight w:val="250"/>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7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56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w:t>
            </w: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decreased $7.0 million, or 3.5%, to $194.0 million in the three months ended June 30, 2019, compared to $201.0 million in the same period last year.</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 the first three months of 2019 were relatively flat compared to the same period last year. Selling, general and administrative expenses in the second quarter of 2019 decreased by $11.2 million to $165.4 million compared to $176.6 million in the same period last year. Selling and marketing expenses increased by $1.5 million compared to the first quarter last year, primarily resulting from channel expansion. General and administrative costs decreased by $12.7 million primarily from one-time costs related to structural optimization and acquisition and integration-related charges included in the three-month period ended June 30, 2018.</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in the three month period ending 2019 increased by $5.7 million to $11.0 million, compared to $5.3 million in the same period last year. Amortization expense in the three month period ending 2019 includes a $5.8 million impairment charge.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16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3"/>
              </w:rPr>
              <w:t>Three Months Ended June 30,</w:t>
            </w:r>
          </w:p>
        </w:tc>
        <w:tc>
          <w:tcPr>
            <w:tcW w:w="7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4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2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2,710</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w w:val="98"/>
              </w:rPr>
              <w:t>(13,384)</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(17,504)</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1,098</w:t>
            </w: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w:t>
            </w:r>
          </w:p>
        </w:tc>
      </w:tr>
      <w:tr>
        <w:trPr>
          <w:trHeight w:val="27"/>
        </w:trPr>
        <w:tc>
          <w:tcPr>
            <w:tcW w:w="7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for the three months ended June 30, 2019 decreased by $4.1 million, primarily resulting from a $0.3 billion decrease in our outstanding balance on our Senior Credit Facility of $1.2 billion compared to a balance of $1.5 billion as of June 30, 2018. The weighted average interest rate for the three months ended June 30, 2019 increased nominally to 3.8% compared to 3.7% for the same period in the prior year.</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three months ended June 30, 2019 increased by $2.5 million compared to 2018 primarily due to the interest rate differential on cross-currency swaps designated as net investment hedges that were entered into during the fourth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net for the three months ended June 30, 2019, decreased by $1.3 million compared to the same period last year primarily driven from a decrease in interest rate differential payments year over year on cross-currency swaps designated as cash flow hedges in addition to net transactional foreign exchange losses.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3"/>
              </w:rPr>
              <w:t>Three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4"/>
              </w:rPr>
              <w:t>36,383</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12,731</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11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rPr>
              <w:t>6,647</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1,355</w:t>
            </w: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18.3%</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effective income tax rates for the three months ended June 30, 2019 and 2018 were 18.3% and 10.6%, respectively. For the three months ended June 30, 2019, the increase in the rate is primarily driven by higher tax income within U.S. jurisdictions compared to the prior year.</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10.0%, driven primarily by the excess tax benefit from share-based compensation, the Switzerland tax holiday, and a favorable jurisdictional mix of pretax income in foreign operations relative to U.S.-based operations. This estimate could be revised in the future as additional information is presented to the Company.</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4" w:lineRule="exact"/>
        <w:rPr>
          <w:sz w:val="20"/>
          <w:szCs w:val="20"/>
          <w:color w:val="auto"/>
        </w:rPr>
      </w:pPr>
    </w:p>
    <w:p>
      <w:pPr>
        <w:ind w:right="5080"/>
        <w:spacing w:after="0" w:line="362" w:lineRule="auto"/>
        <w:rPr>
          <w:sz w:val="20"/>
          <w:szCs w:val="20"/>
          <w:color w:val="auto"/>
        </w:rPr>
      </w:pPr>
      <w:r>
        <w:rPr>
          <w:rFonts w:ascii="Arial" w:cs="Arial" w:eastAsia="Arial" w:hAnsi="Arial"/>
          <w:sz w:val="18"/>
          <w:szCs w:val="18"/>
          <w:b w:val="1"/>
          <w:bCs w:val="1"/>
          <w:color w:val="auto"/>
        </w:rPr>
        <w:t>Six Months Ended June 30, 2019 as Compared to Six Months Ended June 30, 2018 Revenues and Gross Margin</w:t>
      </w:r>
    </w:p>
    <w:p>
      <w:pPr>
        <w:spacing w:after="0" w:line="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six months ended June 30, 2019, total revenues increased by $20.1 million to $743.3 million from $723.3 million during the prior-year period. Domestic revenues increased $21.5 million, or 4.2%, to $530.1 million and were 71.3% of total revenues. International revenues decreased by $1.4 million to $213.2 million for six months ended June 30, 2019 compared to $214.6 million during the same period in the prior year. The net increase of $20.1 million was a result of growth in both segments of $34.6 million offset by a $9.3 million unfavorable impact of foreign exchange, which mainly impacts the Codman Specialty Surgical segment and a $5.2 million unfavorable impact due to discontinued and divested products.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Codman Specialty Surgical revenues were $483.8 million, an increase of 1.7% from the prior-year period. Growth in Codman Specialty Surgical revenues was mostly driven by sales of our Neuro Monitoring and Programmable Valve products. Precision Tools and Instruments growth remained relatively flat period over period.</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Orthopedics and Tissue Technologies revenues were $259.5 million, an increase of 4.8% from the prior-year period. In our Wound Reconstruction and Care portfolio used for inpatient and outpatient procedures, sales of our core tissue products including PriMatrix and SurgiMend sales increased low and mid double-digits. Other amniotic tissue product sales increased low single-digits. Private Label sales increased by low-single digits over the prior period. Extremity Orthopedic sales increased low single-digits compared to the same period last year excluding the unfavorable impact of foreign exchange.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margin increased to $470.8 million for the six-month period ended June 30, 2019, an increase from $441.5 million for the same period last year. Gross margin as a percentage of total revenue increased to 63.3% for the year to date period from 61.0% for the same period last year. The increase in gross margin percentage resulted primarily from one time costs associated with the acquisition of Codman Neurosurgery that were included in the six-month period ended June 30, 2018 but are not included in the six-month period ended June 30, 2019. Improved sales mix and manufacturing yields also contributed to an increase in gross margin for the six-month period ended June 30,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23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23495</wp:posOffset>
            </wp:positionV>
            <wp:extent cx="1663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294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23495</wp:posOffset>
            </wp:positionV>
            <wp:extent cx="1663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5.2%</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45.8%</w:t>
      </w:r>
      <w:r>
        <w:rPr>
          <w:sz w:val="20"/>
          <w:szCs w:val="20"/>
          <w:color w:val="auto"/>
        </w:rPr>
        <w:tab/>
      </w:r>
      <w:r>
        <w:rPr>
          <w:rFonts w:ascii="Arial" w:cs="Arial" w:eastAsia="Arial" w:hAnsi="Arial"/>
          <w:sz w:val="16"/>
          <w:szCs w:val="16"/>
          <w:color w:val="auto"/>
        </w:rPr>
        <w:t>47.0%</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1.5%</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6"/>
          <w:szCs w:val="16"/>
          <w:color w:val="auto"/>
        </w:rPr>
        <w:t>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48895</wp:posOffset>
            </wp:positionV>
            <wp:extent cx="1663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$4.2 million, or 1.1%, to $392.5 million for the first six months of 2019, compared to $388.3 million in the same period last year.</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in the first six months of 2019 were relatively flat compared to the same period last year. Selling, general and administrative expenses in the first six months of 2019 was $340.2 million which is relatively flat compared to $340.2 million in the same period last year. Selling and marketing expenses increased by $6.6 million, primarily resulting from channel expansion and higher commissions due to higher sales. General and administrative costs decreased by $6.5 million primarily from one-time costs related to structural optimization and acquisition and integration-related charges included in the six-month period ended June 30, 2018.</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in the six month period ending 2019 increased by $5.6 million to $16.3 million, compared to $10.7 million in the same period last year.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six month period ending 2019 includes a $5.8 million impairment charge related to a customer relationship intangible asset.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93"/>
              </w:rPr>
              <w:t>Six Months Ended June 30,</w:t>
            </w:r>
          </w:p>
        </w:tc>
      </w:tr>
      <w:tr>
        <w:trPr>
          <w:trHeight w:val="264"/>
        </w:trPr>
        <w:tc>
          <w:tcPr>
            <w:tcW w:w="9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2018</w:t>
            </w:r>
          </w:p>
        </w:tc>
      </w:tr>
      <w:tr>
        <w:trPr>
          <w:trHeight w:val="196"/>
        </w:trPr>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5,138</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(26,533)</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(36,272)</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4,334</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4,672</w:t>
            </w:r>
          </w:p>
        </w:tc>
      </w:tr>
      <w:tr>
        <w:trPr>
          <w:trHeight w:val="27"/>
        </w:trPr>
        <w:tc>
          <w:tcPr>
            <w:tcW w:w="9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six month period ended June 30, 2019 decreased by $9.7 million primarily resulting from a $0.3 billion decrease in our outstanding balance on our Senior Credit Facility of $1.2 billion compared to a balance of $1.5 billion as of June 30, 2018.</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for the six month period ended June 30, 2019 increased by $4.9 million compared to 2018 primarily due to the interest rate differential on cross-currency swaps designated as net investment hedges that were entered into during the fourth quarter of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86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196"/>
        </w:trPr>
        <w:tc>
          <w:tcPr>
            <w:tcW w:w="8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ind w:left="580"/>
              <w:spacing w:after="0"/>
              <w:rPr>
                <w:sz w:val="20"/>
                <w:szCs w:val="20"/>
                <w:color w:val="auto"/>
              </w:rPr>
            </w:pPr>
            <w:r>
              <w:rPr>
                <w:rFonts w:ascii="Arial" w:cs="Arial" w:eastAsia="Arial" w:hAnsi="Arial"/>
                <w:sz w:val="14"/>
                <w:szCs w:val="14"/>
                <w:b w:val="1"/>
                <w:bCs w:val="1"/>
                <w:color w:val="auto"/>
                <w:w w:val="95"/>
              </w:rPr>
              <w:t>(In thousands)</w:t>
            </w:r>
          </w:p>
        </w:tc>
        <w:tc>
          <w:tcPr>
            <w:tcW w:w="820" w:type="dxa"/>
            <w:vAlign w:val="bottom"/>
          </w:tcPr>
          <w:p>
            <w:pPr>
              <w:spacing w:after="0"/>
              <w:rPr>
                <w:sz w:val="17"/>
                <w:szCs w:val="17"/>
                <w:color w:val="auto"/>
              </w:rPr>
            </w:pP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rPr>
              <w:t>61,206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21,863</w:t>
            </w:r>
          </w:p>
        </w:tc>
      </w:tr>
      <w:tr>
        <w:trPr>
          <w:trHeight w:val="243"/>
        </w:trPr>
        <w:tc>
          <w:tcPr>
            <w:tcW w:w="86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020" w:type="dxa"/>
            <w:vAlign w:val="bottom"/>
          </w:tcPr>
          <w:p>
            <w:pPr>
              <w:jc w:val="right"/>
              <w:ind w:right="159"/>
              <w:spacing w:after="0"/>
              <w:rPr>
                <w:sz w:val="20"/>
                <w:szCs w:val="20"/>
                <w:color w:val="auto"/>
              </w:rPr>
            </w:pPr>
            <w:r>
              <w:rPr>
                <w:rFonts w:ascii="Arial" w:cs="Arial" w:eastAsia="Arial" w:hAnsi="Arial"/>
                <w:sz w:val="18"/>
                <w:szCs w:val="18"/>
                <w:color w:val="auto"/>
              </w:rPr>
              <w:t>(1,286)</w:t>
            </w:r>
          </w:p>
        </w:tc>
        <w:tc>
          <w:tcPr>
            <w:tcW w:w="500" w:type="dxa"/>
            <w:vAlign w:val="bottom"/>
          </w:tcPr>
          <w:p>
            <w:pPr>
              <w:spacing w:after="0"/>
              <w:rPr>
                <w:sz w:val="21"/>
                <w:szCs w:val="21"/>
                <w:color w:val="auto"/>
              </w:rPr>
            </w:pPr>
          </w:p>
        </w:tc>
        <w:tc>
          <w:tcPr>
            <w:tcW w:w="820" w:type="dxa"/>
            <w:vAlign w:val="bottom"/>
          </w:tcPr>
          <w:p>
            <w:pPr>
              <w:jc w:val="right"/>
              <w:ind w:right="94"/>
              <w:spacing w:after="0"/>
              <w:rPr>
                <w:sz w:val="20"/>
                <w:szCs w:val="20"/>
                <w:color w:val="auto"/>
              </w:rPr>
            </w:pPr>
            <w:r>
              <w:rPr>
                <w:rFonts w:ascii="Arial" w:cs="Arial" w:eastAsia="Arial" w:hAnsi="Arial"/>
                <w:sz w:val="18"/>
                <w:szCs w:val="18"/>
                <w:color w:val="auto"/>
              </w:rPr>
              <w:t>(505)</w:t>
            </w:r>
          </w:p>
        </w:tc>
      </w:tr>
      <w:tr>
        <w:trPr>
          <w:trHeight w:val="27"/>
        </w:trPr>
        <w:tc>
          <w:tcPr>
            <w:tcW w:w="8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6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income tax rates for the six months ended June 30, 2019 and 2018 were (2.1)% and (2.3)%, respectively.</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2019, the increase in the rate is primarily driven by an increase in taxable income within U.S. jurisdictions; offset by a tax benefit of $10.8 million related to a federal tax holiday in Switzerland, which was finalized during the quarter ended March 31, 2019. The Company received a federal tax credit in Switzerland of 12 million CHF, which can be used over a seven year period, ending in 2024. The six months ended June 30, 2018, included an additional tax benefit of $1.7 million related to share–based compensation, when compared to the same period in 2019.</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10.0%, driven primarily by the excess tax benefit from share–based compensation, the Switzerland tax holiday, and a favorable jurisdictional mix of taxable income in foreign operations relative to U.S.–based operations. This estimate could be revised in the future as additional information is presented to the Company.</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56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273,390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259,711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508,639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50,871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51,405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99,511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103,178</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37,031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35,497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71,282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22,353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19,577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40,977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40,173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383,645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366,190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743,335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723,272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Domestic revenues increased to $273.4 million, or 71% of total revenues, for the three months ended June 30, 2019 from $259.7 million, or 71% of total revenues for the three months ended June 30, 2018. Growth in domestic revenues was driven by Neuro Monitoring, Programmable Valve and our core tissue products. European sales decreased by $0.5 million for the three months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ended June 30, 2019 compared to the same period last year, resulting primarily from unfavorable impacts of foreign exchange. Sales to customers in Asia Pacific and the Rest of the World for the three months ended June 30, 2019 increased by $4.3 million compared to the same period last year primarily driven by increases in Neuro Monitoring and Wound Reconstruction and Care portfolio products partially offset by unfavorable impacts of foreign exchange. Foreign exchange fluctuations on international revenues in total had an unfavorable impact of $4.0 million for the three months ended June 30, 2019 compared to the same period in 2018.</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Domestic revenues increased to $530.1 million, or 71% of total revenues, for the six months ended June 30, 2019 from $508.6 million, or 70% of total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revenues. Growth in domestic revenues was driven by Neuro Monitoring, Programmable Valve and our core tissue products. European sales decreased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 million for the six months ended June 30, 2019 compared to the same period last year, resulting primarily from unfavorable impacts of foreign exchange.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Sales to customers in Asia Pacific and the Rest of the World for the six months ended June 30, 2019 increased by $2.3 million, primarily driven by increases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our Neuro Monitoring and Wound Reconstruction and Care portfolio products partially offset by unfavorable impacts of foreign exchange. Foreign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exchange fluctuations on international revenues had an unfavorable impact of $9.3 million on revenues for the six months ended June 30, 2019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same period in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cash and cash equivalents totaling approximately $176.1 million and $138.8 million at June 30, 2019 and December 31, 2018 respectively, which are valued based on Level 1 measurements in the fair value hierarchy. At June 30, 2019, our non-U.S. subsidiaries held approximately $155.2 million of cash and cash equivalents that are available for use outside the U.S. The Company asserts that it has the ability and intends to indefinitely reinvest the undistributed earnings from its foreign operations unless there is a tax-free manner under which to remit the earnings.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62"/>
              <w:spacing w:after="0"/>
              <w:rPr>
                <w:sz w:val="20"/>
                <w:szCs w:val="20"/>
                <w:color w:val="auto"/>
              </w:rPr>
            </w:pPr>
            <w:r>
              <w:rPr>
                <w:rFonts w:ascii="Arial" w:cs="Arial" w:eastAsia="Arial" w:hAnsi="Arial"/>
                <w:sz w:val="14"/>
                <w:szCs w:val="14"/>
                <w:b w:val="1"/>
                <w:bCs w:val="1"/>
                <w:color w:val="auto"/>
                <w:w w:val="92"/>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center"/>
              <w:ind w:right="29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78,008</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77,744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w w:val="95"/>
              </w:rPr>
              <w:t>(33,220)</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(8,032)</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(7,799)</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(56,978)</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100" w:type="dxa"/>
            <w:vAlign w:val="bottom"/>
          </w:tcPr>
          <w:p>
            <w:pPr>
              <w:spacing w:after="0"/>
              <w:rPr>
                <w:sz w:val="21"/>
                <w:szCs w:val="21"/>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color w:val="auto"/>
              </w:rPr>
              <w:t>257</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(3,898)</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generated operating cash flows of $78.0 million for the six months ended June 30, 2019, an increase of $0.3 million from $77.7 million for the same period in 2018. Net income after non-cash adjustments increased for the six months ended June 30, 2019 by approximately $35.5 million compared to the same period in 2018, which resulted primarily from increased sales and an improvement in our gross margin compared to 2018. The changes in assets and liabilities, net of business acquisitions, decreased cash flows from operating activities by $48.3 million for the six months ended June 30, 2019 compared to a decrease of $13.1 million for the same period in 2018. The decrease is primarily driven by increased investment in inventories related to new product launches and legal entity manufacturing changes associated with the Codman Neurosurgery acquisition integration. In addition, decreases are driven by growth in accounts receivable in foreign jurisdictions with increased payment terms.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2019, we paid $33.8 million for capital expenditures, most of which were directed to our new Mansfield, Massachusetts facility, Princeton, New Jersey facility and commercial expansion.</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During the six months ended June 30, 2018, we paid $35.4 million for capital expenditures, most of which were directed to the expansion of a manufacturing facility and commercial expansion. We received $26.7 million from the Codman Neurosurgery acquisition as a working capital adjustment.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Financing Activities</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principal sources of cash from financing activities in the six months ended June 30, 2019 were $101.2 million from borrowings under our Senior Credit Facility and Securitization Facility. These were offset by repayments of $105.0 million on the revolving portion of our Senior Credit Facility and Securitization Facility and $6.2 million cash taxes paid in net equity settlement.</w:t>
      </w:r>
    </w:p>
    <w:p>
      <w:pPr>
        <w:spacing w:after="0" w:line="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principal sources of cash from financing activities in the six months ended June 30, 2018 were $349.6 million from the issuance of common stock and $50.0 million in borrowings under our Senior Credit Facility. These were offset by repayments</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of $415.0 million on the revolving portion of our Senior Credit Facility and cash paid for financing liabilities from business acquisitions primarily attributable to payments of contingent consideration of $21.0 million and payments of $15.9 million for inventory that was included in the initial purchase accounting of Codman Neurosurgery.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first quarterly installment of the Company's Term Loan component of its Senior Credit Facility is due on September 30, 2019. The Company recorded $45.0 million as a current liability in the Company's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and Related Hedging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amended and restated Senior Credit Agreement and Note 7 -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discussion of our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 off–balance sheet financing arrangements during the six months ended June 30, 2019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Remaining 2019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2020-2021</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2022-2023</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Term Loan</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776.3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 Facility (1)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(2)</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115.7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 (4)</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102.0</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1,651.5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1,199.0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840" w:right="40" w:hanging="293"/>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19" w:lineRule="exact"/>
        <w:rPr>
          <w:rFonts w:ascii="Arial" w:cs="Arial" w:eastAsia="Arial" w:hAnsi="Arial"/>
          <w:sz w:val="18"/>
          <w:szCs w:val="18"/>
          <w:color w:val="auto"/>
        </w:rPr>
      </w:pPr>
    </w:p>
    <w:p>
      <w:pPr>
        <w:ind w:left="840" w:right="40" w:hanging="293"/>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71" w:lineRule="exact"/>
        <w:rPr>
          <w:rFonts w:ascii="Arial" w:cs="Arial" w:eastAsia="Arial" w:hAnsi="Arial"/>
          <w:sz w:val="18"/>
          <w:szCs w:val="18"/>
          <w:color w:val="auto"/>
        </w:rPr>
      </w:pPr>
    </w:p>
    <w:p>
      <w:pPr>
        <w:jc w:val="both"/>
        <w:ind w:left="840" w:right="20" w:hanging="293"/>
        <w:spacing w:after="0" w:line="203" w:lineRule="auto"/>
        <w:tabs>
          <w:tab w:leader="none" w:pos="840" w:val="left"/>
        </w:tabs>
        <w:numPr>
          <w:ilvl w:val="0"/>
          <w:numId w:val="10"/>
        </w:numPr>
        <w:rPr>
          <w:rFonts w:ascii="Arial" w:cs="Arial" w:eastAsia="Arial" w:hAnsi="Arial"/>
          <w:sz w:val="34"/>
          <w:szCs w:val="34"/>
          <w:color w:val="auto"/>
          <w:vertAlign w:val="superscript"/>
        </w:rPr>
      </w:pPr>
      <w:r>
        <w:rPr>
          <w:rFonts w:ascii="Arial" w:cs="Arial" w:eastAsia="Arial" w:hAnsi="Arial"/>
          <w:sz w:val="17"/>
          <w:szCs w:val="17"/>
          <w:color w:val="auto"/>
        </w:rPr>
        <w:t>During 2018, the Company entered into an operating lease with a term of 18 years for a new corporate headquarters in Princeton, NJ which commenced during the second quarter of 2019. The Company recorded a ROU asset and lease liability of $35.6 million on the consolidated balance sheet during the quarter ended June 30, 2019. The gross payments of approximately $67.0 million are included in the table above.</w:t>
      </w:r>
    </w:p>
    <w:p>
      <w:pPr>
        <w:spacing w:after="0" w:line="28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has excluded its contingent consideration obligation related to a prior acquisition from the contractual obligations table above; this liability had a total estimated fair value of $0.2 million at June 30, 2019. This liability has been excluded because the amount to be paid and the potential payment date is not fixed.</w:t>
      </w:r>
    </w:p>
    <w:p>
      <w:pPr>
        <w:spacing w:after="0" w:line="15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Company has excluded its option to acquire Integrated Shoulder Collaboration Inc., which becomes mandatory upon achievement of a certain sales threshold, for an amount not to exceed $80.0 million. This liability has been excluded because the amount to be paid and the potential payment date is not fixed.</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excluded its future pension contribution obligations from the table above. This has been excluded because the future amounts to be paid and the potential payment dates are not fixed.</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has excluded the liability for uncertain tax benefits from the contractual obligations table above, including interest and penalties, totaling $0.7 million at June 30, 2019. This liability for uncertain tax benefits has been excluded because we cannot make a reliable estimate of the period in which the uncertain tax benefits may be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2018 have not materially changed.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On October 1, 2018, the Company entered into cross-currency swap agreements designated as net investment hedges to partially offset the effects of foreign currency translation on foreign subsidiaries. The total notional amount of our instruments designated as net investment hedges at June 30, 2019 were $354.5 million and GBP 128.3 million. Under the terms of these</w:t>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5"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contracts, which have been designated as net investment hedges, we will make interest payments in GBP and receive interest in U.S. dollars and GBP. Upon the maturity of these contracts, the Company will pay the notional amounts in EUR, GBP and CHF and receive U.S. dollars and GBP from the counterparties.</w:t>
      </w:r>
    </w:p>
    <w:p>
      <w:pPr>
        <w:spacing w:after="0" w:line="1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2, 2017, we entered into cross currency swap agreements to convert a notional amount of $300.0 million equivalent to 291.2 million of Swiss Franc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six month period ended June 30, 2019, the Company settled a cross-currency swap designated as a cash flow hedge of an intercompany loan with an aggregate notional amount of $33.3 million. The original termination date was October 2, 2020, however, as the intercompany loan settlement was consummated, the cross-currency swap was settled simultaneously. As a result of the settlement, the Company recorded a loss of $0.4 million in other income, net in the consolidated statement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total notional amount of our cross-currency swap agreements designated as cash flow hedges at June 30, 2019 were $266.7 million.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June 30, 2019 would increase interest income by approximately $1.8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Debt</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use interest rate derivative instruments to manage our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cash flow exposure to changes in interest rates. This interest rate swap fixes the interest rate on a portion of our expected LIBOR-indexed floating-rate borrowings. See Note 7,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the details of interest rate swaps.</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total notional amount of interest rate swaps in effect as of June 30, 2019 was $900 million. Based on our outstanding borrowings at June 30, 2019, a 100 basis points change in interest rates would have impacted interest expense on the unhedged portion of the debt by $4.5 million on an annualized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2019. Based upon this evaluation, our principal executive officer and principal financial officer concluded that our disclosure controls and procedures were effective as of June 30, 2019 to provide such reasonable assurance.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June 30, 2019 that have materially affected, or are reasonably likely to materially affect, our internal control over financial reporting.</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the Company's risk factors included in our Annual Report on Form 10-K for the fiscal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six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Reference is hereby made to the Exhibit Index on page </w:t>
      </w:r>
      <w:hyperlink w:anchor="page44">
        <w:r>
          <w:rPr>
            <w:rFonts w:ascii="Arial" w:cs="Arial" w:eastAsia="Arial" w:hAnsi="Arial"/>
            <w:sz w:val="18"/>
            <w:szCs w:val="18"/>
            <w:color w:val="auto"/>
          </w:rPr>
          <w:t>44.</w:t>
        </w:r>
      </w:hyperlink>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125" w:right="1440"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600"/>
              <w:spacing w:after="0"/>
              <w:rPr>
                <w:sz w:val="20"/>
                <w:szCs w:val="20"/>
                <w:color w:val="auto"/>
              </w:rPr>
            </w:pPr>
            <w:r>
              <w:rPr>
                <w:rFonts w:ascii="Arial" w:cs="Arial" w:eastAsia="Arial" w:hAnsi="Arial"/>
                <w:sz w:val="18"/>
                <w:szCs w:val="18"/>
                <w:color w:val="auto"/>
              </w:rPr>
              <w:t>July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1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600"/>
              <w:spacing w:after="0"/>
              <w:rPr>
                <w:sz w:val="20"/>
                <w:szCs w:val="20"/>
                <w:color w:val="auto"/>
              </w:rPr>
            </w:pPr>
            <w:r>
              <w:rPr>
                <w:rFonts w:ascii="Arial" w:cs="Arial" w:eastAsia="Arial" w:hAnsi="Arial"/>
                <w:sz w:val="18"/>
                <w:szCs w:val="18"/>
                <w:color w:val="auto"/>
              </w:rPr>
              <w:t>July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Carrie L. Anderson</w:t>
            </w:r>
          </w:p>
        </w:tc>
      </w:tr>
      <w:tr>
        <w:trPr>
          <w:trHeight w:val="27"/>
        </w:trPr>
        <w:tc>
          <w:tcPr>
            <w:tcW w:w="1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Carrie L. Anderson</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594"/>
        </w:trPr>
        <w:tc>
          <w:tcPr>
            <w:tcW w:w="100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600"/>
              <w:spacing w:after="0"/>
              <w:rPr>
                <w:sz w:val="20"/>
                <w:szCs w:val="20"/>
                <w:color w:val="auto"/>
              </w:rPr>
            </w:pPr>
            <w:r>
              <w:rPr>
                <w:rFonts w:ascii="Arial" w:cs="Arial" w:eastAsia="Arial" w:hAnsi="Arial"/>
                <w:sz w:val="18"/>
                <w:szCs w:val="18"/>
                <w:color w:val="auto"/>
              </w:rPr>
              <w:t>July 25,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/s/ Jeffrey A. Mosebrook</w:t>
            </w:r>
          </w:p>
        </w:tc>
      </w:tr>
      <w:tr>
        <w:trPr>
          <w:trHeight w:val="27"/>
        </w:trPr>
        <w:tc>
          <w:tcPr>
            <w:tcW w:w="10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Jeffrey A. Mosebrook</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Vice President, Corporate Controller</w:t>
            </w:r>
          </w:p>
        </w:tc>
      </w:tr>
      <w:tr>
        <w:trPr>
          <w:trHeight w:val="270"/>
        </w:trPr>
        <w:tc>
          <w:tcPr>
            <w:tcW w:w="1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702"/>
        </w:trPr>
        <w:tc>
          <w:tcPr>
            <w:tcW w:w="1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817"/>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jc w:val="right"/>
              <w:ind w:right="20"/>
              <w:spacing w:after="0"/>
              <w:rPr>
                <w:sz w:val="20"/>
                <w:szCs w:val="20"/>
                <w:color w:val="auto"/>
              </w:rPr>
            </w:pPr>
            <w:r>
              <w:rPr>
                <w:rFonts w:ascii="Arial" w:cs="Arial" w:eastAsia="Arial" w:hAnsi="Arial"/>
                <w:sz w:val="18"/>
                <w:szCs w:val="18"/>
                <w:color w:val="auto"/>
                <w:w w:val="91"/>
              </w:rPr>
              <w:t>Exhibits</w:t>
            </w:r>
          </w:p>
        </w:tc>
        <w:tc>
          <w:tcPr>
            <w:tcW w:w="2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Offer Letter between Carrie Anderson and the Company dated May 9, 2019</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74"/>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54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48">
              <w:r>
                <w:rPr>
                  <w:rFonts w:ascii="Arial" w:cs="Arial" w:eastAsia="Arial" w:hAnsi="Arial"/>
                  <w:sz w:val="18"/>
                  <w:szCs w:val="18"/>
                  <w:color w:val="0000FF"/>
                  <w:w w:val="90"/>
                </w:rPr>
                <w:t>Offer Letter between Eric Schwartz and the Company dated October 2, 2018</w:t>
              </w:r>
            </w:hyperlink>
          </w:p>
        </w:tc>
        <w:tc>
          <w:tcPr>
            <w:tcW w:w="4040" w:type="dxa"/>
            <w:vAlign w:val="bottom"/>
            <w:gridSpan w:val="3"/>
          </w:tcPr>
          <w:p>
            <w:pPr>
              <w:spacing w:after="0"/>
              <w:rPr>
                <w:sz w:val="24"/>
                <w:szCs w:val="24"/>
                <w:color w:val="auto"/>
              </w:rPr>
            </w:pPr>
          </w:p>
        </w:tc>
      </w:tr>
      <w:tr>
        <w:trPr>
          <w:trHeight w:val="574"/>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Certification of Principal Executive Officer Pursuant to Section 302 of the Sarbanes-Oxley Act of 2002</w:t>
              </w:r>
            </w:hyperlink>
          </w:p>
        </w:tc>
        <w:tc>
          <w:tcPr>
            <w:tcW w:w="212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5"/>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Certification of Principal Financial Officer Pursuant to Section 302 of the Sarbanes-Oxley Act of 2002</w:t>
              </w:r>
            </w:hyperlink>
          </w:p>
        </w:tc>
      </w:tr>
      <w:tr>
        <w:trPr>
          <w:trHeight w:val="20"/>
        </w:trPr>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53">
              <w:r>
                <w:rPr>
                  <w:rFonts w:ascii="Arial" w:cs="Arial" w:eastAsia="Arial" w:hAnsi="Arial"/>
                  <w:sz w:val="18"/>
                  <w:szCs w:val="18"/>
                  <w:color w:val="0000FF"/>
                  <w:w w:val="92"/>
                </w:rPr>
                <w:t>Certification of Principal Executive Officer Pursuant to Section 906 of the Sarbanes-Oxley Act of 2002</w:t>
              </w:r>
            </w:hyperlink>
          </w:p>
        </w:tc>
        <w:tc>
          <w:tcPr>
            <w:tcW w:w="212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580" w:type="dxa"/>
            <w:vAlign w:val="bottom"/>
            <w:gridSpan w:val="5"/>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Certification of Principal Financial Officer Pursuant to Section 906 of the Sarbanes-Oxley Act of 2002</w:t>
              </w:r>
            </w:hyperlink>
          </w:p>
        </w:tc>
      </w:tr>
      <w:tr>
        <w:trPr>
          <w:trHeight w:val="20"/>
        </w:trPr>
        <w:tc>
          <w:tcPr>
            <w:tcW w:w="1540" w:type="dxa"/>
            <w:vAlign w:val="bottom"/>
            <w:gridSpan w:val="4"/>
          </w:tcPr>
          <w:p>
            <w:pPr>
              <w:spacing w:after="0" w:line="20" w:lineRule="exact"/>
              <w:rPr>
                <w:sz w:val="1"/>
                <w:szCs w:val="1"/>
                <w:color w:val="auto"/>
              </w:rPr>
            </w:pPr>
          </w:p>
        </w:tc>
        <w:tc>
          <w:tcPr>
            <w:tcW w:w="7400" w:type="dxa"/>
            <w:vAlign w:val="bottom"/>
            <w:gridSpan w:val="3"/>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546"/>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*†101.INS</w:t>
            </w:r>
          </w:p>
        </w:tc>
        <w:tc>
          <w:tcPr>
            <w:tcW w:w="9580" w:type="dxa"/>
            <w:vAlign w:val="bottom"/>
            <w:gridSpan w:val="5"/>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w:t>
            </w:r>
          </w:p>
        </w:tc>
      </w:tr>
      <w:tr>
        <w:trPr>
          <w:trHeight w:val="230"/>
        </w:trPr>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580" w:type="dxa"/>
            <w:vAlign w:val="bottom"/>
            <w:gridSpan w:val="5"/>
          </w:tcPr>
          <w:p>
            <w:pPr>
              <w:spacing w:after="0"/>
              <w:rPr>
                <w:sz w:val="20"/>
                <w:szCs w:val="20"/>
                <w:color w:val="auto"/>
              </w:rPr>
            </w:pPr>
            <w:r>
              <w:rPr>
                <w:rFonts w:ascii="Arial" w:cs="Arial" w:eastAsia="Arial" w:hAnsi="Arial"/>
                <w:sz w:val="18"/>
                <w:szCs w:val="18"/>
                <w:color w:val="auto"/>
              </w:rPr>
              <w:t>within the Inline XBRL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*†101.SCH</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*†101.CAL</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*†101.DEF</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*†101.LAB</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Arial" w:cs="Arial" w:eastAsia="Arial" w:hAnsi="Arial"/>
                <w:sz w:val="18"/>
                <w:szCs w:val="18"/>
                <w:color w:val="auto"/>
              </w:rPr>
              <w:t>*†101.PRE</w:t>
            </w:r>
          </w:p>
        </w:tc>
        <w:tc>
          <w:tcPr>
            <w:tcW w:w="95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720" w:hanging="685"/>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25" w:lineRule="exact"/>
        <w:rPr>
          <w:rFonts w:ascii="Arial" w:cs="Arial" w:eastAsia="Arial" w:hAnsi="Arial"/>
          <w:sz w:val="18"/>
          <w:szCs w:val="18"/>
          <w:color w:val="auto"/>
        </w:rPr>
      </w:pPr>
    </w:p>
    <w:p>
      <w:pPr>
        <w:ind w:left="500" w:hanging="492"/>
        <w:spacing w:after="0" w:line="257" w:lineRule="auto"/>
        <w:tabs>
          <w:tab w:leader="none" w:pos="1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2019 filed on July 25, 2019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44" w:name="page45"/>
    <w:bookmarkEnd w:id="44"/>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6000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May 9, 2019</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Carrie Anderson</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Dear Carrie:</w:t>
      </w:r>
    </w:p>
    <w:p>
      <w:pPr>
        <w:spacing w:after="0" w:line="214"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We are delighted to offer you the position of Corporate Vice President, Chief Financial Officer with Integra Life Sciences Corporation, reporting to Peter Arduini, President &amp; Chief Executive Officer. The salary for this position is $500,000 annually, paid in bi-weekly installments. Your position is exempt, making you ineligible for overtime.</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You will be eligible to participate in the Integra annual cash incentive program (the Performance Incentive Compensation Plan) for 2019 and thereafter providing your date of hire is on or before, September 30. Your target cash incentive opportunity will be equal to 70% of your base salary. The cash incentive award is subject to the achievement of the company, division/department, and personal strategic objectives, and to receive an award you must remain actively employed through the payout date for the plan year. Your incentive award for 2019 will be prorated for your first year of employment based on your start date.</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You are also eligible to participate in Integra’s long-term incentive program (the 2003 Equity Incentive Plan) for 2019 and thereafter. Your target opportunity is equal to 190% of your base salary. The target amount is also based on the achievement of company, department and individual objectives. Equity awards for Executive Leaders are typically issued as the following combination: 20% in Restricted Stock Awards (RSA), 50% in Performance Stock Units (PSU), and 30% in Stock Options. The RSA will vest as follows: the first thirty-three percent (33%) will vest one year after the grant date, the second thirty-three percent (33%) will vest the second year after the grant date, and the final thirty-four percent (34%) will vest on the third year following the grant date. PSUs reflect your opportunity to receive unrestricted shares of common stock of the Company contingent on the achievement of certain performance goals covering the applicable performance period, as described in the Award Agreement. Following certification of the achievement of the goal for each year of the performance period, Integra will issue to you the applicable number of shares of Integra common stock free of restrictions, less any shares withheld for taxes. In addition, the Award Agreement provides for a “catch-up” opportunity, in the event the performance requirement isn’t achieved for a single fiscal year. Stock Options will vest as follows: 25% will vest on each the first, second, third, and fourth anniversary of the grant date. Written confirmation of the shares granted and award agreement containing information about the plan will be forwarded to you by the Human Resources Department at the time of the grant.</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addition, you will be awarded a one-time Restricted Stock Award in connection with your hiring under the 2003 Equity Incentive Plan, equivalent to $1,700,000. The grant will be issued on the first business day of the month following your date of hire. The restricted stock award will vest as follows: the first thirty-three percent (33%) will vest on the first anniversary your grant date, the second thirty-three percent (33%) will vest on the second anniversary of your grant date, and the final thirty-four percent (34%) will vest on the third anniversary of the grant date. The number of shares granted will be calculated by dividing the award amount by the closing price of Integra Life Sciences stock on the grant date. Written confirmation of the shares granted and a restricted stock award agreement containing information about the Plan will be forwarded to you by the Human Resources Department at the time of the grant. The Award is granted under and governed by the terms and conditions of the Company’s Plan, as amended, and the Award Agreement.</w:t>
      </w:r>
    </w:p>
    <w:p>
      <w:pPr>
        <w:sectPr>
          <w:pgSz w:w="11900" w:h="16838" w:orient="portrait"/>
          <w:cols w:equalWidth="0" w:num="1">
            <w:col w:w="11420"/>
          </w:cols>
          <w:pgMar w:left="240" w:top="1440" w:right="239" w:bottom="1440" w:gutter="0" w:footer="0" w:header="0"/>
        </w:sectPr>
      </w:pPr>
    </w:p>
    <w:bookmarkStart w:id="45" w:name="page46"/>
    <w:bookmarkEnd w:id="45"/>
    <w:p>
      <w:pPr>
        <w:jc w:val="both"/>
        <w:spacing w:after="0" w:line="246"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600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t>The Corporate Vice President, Chief Financial Officer is required to hold common stock with a value equal to two times annual base salary. Vested shares of restricted stock may be included to determine whether the required ownership interest has been met.</w:t>
      </w:r>
    </w:p>
    <w:p>
      <w:pPr>
        <w:spacing w:after="0" w:line="20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In addition, unvested shares of restricted stock may be included to determine whether the required ownership interest has been met, provided that such shares vest based on time and not performance. Executive officers have five years from the date of their appointment as an officer to attain this ownership threshold.</w:t>
      </w:r>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Upon joining Integra, you will be granted a one-time sign-on bonus of $225,000. The sign- on bonus will be paid to you within the first thirty (30) days of employment and is subject to applicable local and federal tax withholdings. Should you decide in the first twenty-four months of employment to voluntarily leave the company, you will be required to repay the full amount of the cash sign-on bonus. Integra and you agree that “’voluntarily leave” for purposes of this paragraph means your decision to depart from Integra based on your own free will and further agree that a departure by you for Good Reason, as that phrase is defined in the Change of Control Severance Plan, does not amount to a “voluntary leave” requiring repayment of this sign-on bonus</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As a part of your offer, we will provide you with executive relocation assistance. The Company will reimburse you for relocation expenses you incur up to $100,000. All expenses relating to relocation and temporary living must be completed within one year of your hire date. If you decide to leave Integra in less than two years from your start date, you agree to repay any relocation expenses that have been reimbursed to you by the company. Integra’s Domestic Relocation Policy for Executive Officers defines the type of departure from Integra requiring your repayment of the relocation assistance. In addition, you and Integra agree that a departure by you for Good Reason, as that phrase is defined in the Change of Control Severance Plan, does not require your repayment of the relocation assistance.</w:t>
      </w:r>
    </w:p>
    <w:p>
      <w:pPr>
        <w:spacing w:after="0" w:line="219" w:lineRule="exact"/>
        <w:rPr>
          <w:sz w:val="20"/>
          <w:szCs w:val="20"/>
          <w:color w:val="auto"/>
        </w:rPr>
      </w:pPr>
    </w:p>
    <w:p>
      <w:pPr>
        <w:jc w:val="both"/>
        <w:spacing w:after="0"/>
        <w:rPr>
          <w:sz w:val="20"/>
          <w:szCs w:val="20"/>
          <w:color w:val="auto"/>
        </w:rPr>
      </w:pPr>
      <w:r>
        <w:rPr>
          <w:rFonts w:ascii="Arial" w:cs="Arial" w:eastAsia="Arial" w:hAnsi="Arial"/>
          <w:sz w:val="19"/>
          <w:szCs w:val="19"/>
          <w:color w:val="auto"/>
        </w:rPr>
        <w:t>In addition to participation in the above programs in connection with commencement of your employment, shortly after your hire you will be selected as an Officer participant in Integra’s Change in Control Severance Program. Specifically, at the first regularly-scheduled Compensation Committee meeting following your start date, you will be selected as a participant in the Change in Control Severance Program. Integra and you will execute the Change in Control agreement as soon as practicable after your selection.</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As an Integra employee, you will be eligible for our comprehensive benefits package that includes paid time off, health and welfare benefits, a 401(k) Plan, an employee stock purchase plan, a short and long term disability (Core and Buy-up) plan and an education assistance program. You and your eligible dependents will be eligible for health and welfare benefits (medical/Rx, dental, vision, life insurance, short-term disability and flexible spending accounts) on your hire date. Proof of dependent eligibility for healthcare benefits is required following the benefits enrollment process. You will be eligible for Core and Buy-up Long- Term Disability on the first of the month following 60 days from your hire date. You become eligible for the 401(k) plan on the first day of the month following your hire date, and the employee stock purchase program on the first day of the calendar quarter following your hire date.</w:t>
      </w:r>
    </w:p>
    <w:p>
      <w:pPr>
        <w:spacing w:after="0" w:line="20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offer is contingent upon satisfactory completion of Integra’s pre-employment screening process, including a background check and references. This offer is also contingent upon signing a confidentiality agreement and non-compete agreement. All employees are required to sign this document. Please review, sign and date the attached agreement and return it along with a copy of your signed offer letter. If you have questions regarding the agreement, please contact me. If you do not agree with the terms of this document, this offer of employment, including all its terms, will be rescinded.</w:t>
      </w:r>
    </w:p>
    <w:p>
      <w:pPr>
        <w:sectPr>
          <w:pgSz w:w="11900" w:h="16838" w:orient="portrait"/>
          <w:cols w:equalWidth="0" w:num="1">
            <w:col w:w="11420"/>
          </w:cols>
          <w:pgMar w:left="240" w:top="1332" w:right="239" w:bottom="1440" w:gutter="0" w:footer="0" w:header="0"/>
        </w:sectPr>
      </w:pPr>
    </w:p>
    <w:bookmarkStart w:id="46" w:name="page47"/>
    <w:bookmarkEnd w:id="46"/>
    <w:p>
      <w:pPr>
        <w:ind w:right="240"/>
        <w:spacing w:after="0" w:line="23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612265" cy="600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t>The U. S. Department of Justice requires all new hires to provide identification documents that establish both identity and employment eligibility, within three days of employment. A list of acceptable documents can be found on the back of the I-9 form. You will need to present the identification documents to the Human Resources Department.</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If these identification documents are not provided within three days following your start date, termination of employment will ensue.</w:t>
      </w:r>
    </w:p>
    <w:p>
      <w:pPr>
        <w:spacing w:after="0" w:line="227" w:lineRule="exact"/>
        <w:rPr>
          <w:sz w:val="20"/>
          <w:szCs w:val="20"/>
          <w:color w:val="auto"/>
        </w:rPr>
      </w:pPr>
    </w:p>
    <w:p>
      <w:pPr>
        <w:jc w:val="both"/>
        <w:ind w:right="340"/>
        <w:spacing w:after="0" w:line="242" w:lineRule="auto"/>
        <w:rPr>
          <w:sz w:val="20"/>
          <w:szCs w:val="20"/>
          <w:color w:val="auto"/>
        </w:rPr>
      </w:pPr>
      <w:r>
        <w:rPr>
          <w:rFonts w:ascii="Arial" w:cs="Arial" w:eastAsia="Arial" w:hAnsi="Arial"/>
          <w:sz w:val="19"/>
          <w:szCs w:val="19"/>
          <w:color w:val="auto"/>
        </w:rPr>
        <w:t>Although Integra Life Sciences anticipates a mutually rewarding employment relationship, it is expressly understood and agreed that your employment is “at will”. Under this relationship, Integra LifeSciences may, at any time, decide to end an individual’s employment with or without cause or prior notification.</w:t>
      </w:r>
    </w:p>
    <w:p>
      <w:pPr>
        <w:spacing w:after="0" w:line="203" w:lineRule="exact"/>
        <w:rPr>
          <w:sz w:val="20"/>
          <w:szCs w:val="20"/>
          <w:color w:val="auto"/>
        </w:rPr>
      </w:pPr>
    </w:p>
    <w:p>
      <w:pPr>
        <w:ind w:right="160"/>
        <w:spacing w:after="0" w:line="242" w:lineRule="auto"/>
        <w:rPr>
          <w:sz w:val="20"/>
          <w:szCs w:val="20"/>
          <w:color w:val="auto"/>
        </w:rPr>
      </w:pPr>
      <w:r>
        <w:rPr>
          <w:rFonts w:ascii="Arial" w:cs="Arial" w:eastAsia="Arial" w:hAnsi="Arial"/>
          <w:sz w:val="19"/>
          <w:szCs w:val="19"/>
          <w:color w:val="auto"/>
        </w:rPr>
        <w:t>Accordingly, we have no agreement that your employment will continue for any particular period of time. Likewise, you have the right to terminate your employment at any time. Should you desire to terminate this relationship, you agree to use your best efforts to give Integra LifeSciences 30 day’s written notice.</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If you have any questions regarding this letter or its contents, please feel free to address them to me. If this offer is acceptable to you, please note your acceptance by signing below and return this document to our attention by May 10, 2019.</w:t>
      </w:r>
    </w:p>
    <w:p>
      <w:pPr>
        <w:spacing w:after="0" w:line="65" w:lineRule="exact"/>
        <w:rPr>
          <w:sz w:val="20"/>
          <w:szCs w:val="20"/>
          <w:color w:val="auto"/>
        </w:rPr>
      </w:pPr>
    </w:p>
    <w:p>
      <w:pPr>
        <w:ind w:right="600"/>
        <w:spacing w:after="0" w:line="246" w:lineRule="auto"/>
        <w:rPr>
          <w:sz w:val="20"/>
          <w:szCs w:val="20"/>
          <w:color w:val="auto"/>
        </w:rPr>
      </w:pPr>
      <w:r>
        <w:rPr>
          <w:rFonts w:ascii="Arial" w:cs="Arial" w:eastAsia="Arial" w:hAnsi="Arial"/>
          <w:sz w:val="19"/>
          <w:szCs w:val="19"/>
          <w:color w:val="auto"/>
        </w:rPr>
        <w:t>Integra Life Sciences is a growing company with an excellent future. Building our company is a rewarding experience, and we are looking forward to having you join us.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9" w:lineRule="exact"/>
        <w:rPr>
          <w:sz w:val="20"/>
          <w:szCs w:val="20"/>
          <w:color w:val="auto"/>
        </w:rPr>
      </w:pPr>
    </w:p>
    <w:p>
      <w:pPr>
        <w:spacing w:after="0"/>
        <w:rPr>
          <w:sz w:val="20"/>
          <w:szCs w:val="20"/>
          <w:color w:val="auto"/>
        </w:rPr>
      </w:pPr>
      <w:r>
        <w:rPr>
          <w:rFonts w:ascii="Arial" w:cs="Arial" w:eastAsia="Arial" w:hAnsi="Arial"/>
          <w:sz w:val="36"/>
          <w:szCs w:val="36"/>
          <w:i w:val="1"/>
          <w:iCs w:val="1"/>
          <w:color w:val="auto"/>
        </w:rPr>
        <w:t>Lisa Evoli</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Lisa Evoli</w:t>
      </w:r>
    </w:p>
    <w:p>
      <w:pPr>
        <w:spacing w:after="0"/>
        <w:rPr>
          <w:sz w:val="20"/>
          <w:szCs w:val="20"/>
          <w:color w:val="auto"/>
        </w:rPr>
      </w:pPr>
      <w:r>
        <w:rPr>
          <w:rFonts w:ascii="Arial" w:cs="Arial" w:eastAsia="Arial" w:hAnsi="Arial"/>
          <w:sz w:val="19"/>
          <w:szCs w:val="19"/>
          <w:color w:val="auto"/>
        </w:rPr>
        <w:t>Corporate Vice President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color w:val="auto"/>
        </w:rPr>
        <w:t>I accept your offer of employment.</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9"/>
          <w:szCs w:val="19"/>
          <w:color w:val="auto"/>
        </w:rPr>
        <w:t>Signature: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9"/>
          <w:szCs w:val="19"/>
          <w:color w:val="auto"/>
        </w:rPr>
        <w:t>/s/ Carrie Anderson</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9"/>
          <w:szCs w:val="19"/>
          <w:color w:val="auto"/>
        </w:rPr>
        <w:t>Date: May 9, 2019</w:t>
      </w:r>
    </w:p>
    <w:p>
      <w:pPr>
        <w:sectPr>
          <w:pgSz w:w="11900" w:h="16838" w:orient="portrait"/>
          <w:cols w:equalWidth="0" w:num="1">
            <w:col w:w="11420"/>
          </w:cols>
          <w:pgMar w:left="240" w:top="1332" w:right="239" w:bottom="1440" w:gutter="0" w:footer="0" w:header="0"/>
        </w:sectPr>
      </w:pPr>
    </w:p>
    <w:bookmarkStart w:id="47" w:name="page48"/>
    <w:bookmarkEnd w:id="47"/>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88900</wp:posOffset>
            </wp:positionV>
            <wp:extent cx="1612265"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October 2,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Eric Ian Schwartz</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Dear Eric:</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delighted to offer you the position of Corporate Vice President, General Counsel &amp; Secretary with Integra Life Sciences Corporation, reporting to Peter Arduini, President &amp; Chief Executive Officer. The salary for this position is $425,000 annually, paid in bi-weekly installments. Your position is exempt, making you ineligible for overtime.</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will be eligible for a merit increase based on your performance, and eligible to participate in the Integra annual cash incentive program providing your date of hire is on or before, September 30. Beginning in performance year 2019, your target cash incentive opportunity will be equal to 60% of your base salary. The cash incentive award is subject to the achievement of the company, division/department, and personal strategic objectives, and to receive an award you must remain actively employed through the payout date for the plan year.</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9"/>
          <w:szCs w:val="19"/>
          <w:color w:val="auto"/>
        </w:rPr>
        <w:t>You are also eligible to participate in Integra’s long-term incentive program. Your target opportunity is equal to 130% of your base salary. The target amount is also based the achievement of company, department and individual objectives. Equity awards for Executive Leaders are typically issued as the following combination: 20% in Restricted Stock Awards (RSA), 50% in Performance Stock Units (PSU), and 30% in Stock Options. The RSA will vest as follows: the first thirty-three percent (33%) will vest one year after the grant date, the second thirty-three percent (33%) will vest the second year after the grant date, and the final thirty-four percent (34%) will vest on the third year following the grant date. PSUs reflect your opportunity to receive unrestricted shares of common stock of the Company contingent on the achievement of certain performance goals covering the applicable performance period, as described in the Award Agreement. Following certification of the achievement of the goal for each year of the performance period, Integra will issue to you the applicable number of shares of Integra common stock free of restrictions, less any shares withheld for taxes. In addition, the Award Agreement provides for a “catch-up” opportunity, in the event the performance requirement isn’t achieved for a single fiscal year. Stock Options will vest as follows: 25% will vest on each the first, second, third, and fourth anniversary of the grant date. Written confirmation of the shares granted and award agreement containing information about the plan will be forwarded to you by the Human Resources Department at the time of the grant.</w:t>
      </w:r>
    </w:p>
    <w:p>
      <w:pPr>
        <w:spacing w:after="0" w:line="220" w:lineRule="exact"/>
        <w:rPr>
          <w:sz w:val="20"/>
          <w:szCs w:val="20"/>
          <w:color w:val="auto"/>
        </w:rPr>
      </w:pPr>
    </w:p>
    <w:p>
      <w:pPr>
        <w:jc w:val="both"/>
        <w:ind w:right="20"/>
        <w:spacing w:after="0" w:line="243" w:lineRule="auto"/>
        <w:rPr>
          <w:sz w:val="20"/>
          <w:szCs w:val="20"/>
          <w:color w:val="auto"/>
        </w:rPr>
      </w:pPr>
      <w:r>
        <w:rPr>
          <w:rFonts w:ascii="Arial" w:cs="Arial" w:eastAsia="Arial" w:hAnsi="Arial"/>
          <w:sz w:val="20"/>
          <w:szCs w:val="20"/>
          <w:color w:val="auto"/>
        </w:rPr>
        <w:t>In addition, you will be awarded a one-time New Hire Restricted Stock Award, equivalent to $1,900,000. The restricted stock award will be issued as two grants. The first grant equivalent to $900,000 will be issued on the first business day of the month following your date of hire, the second grant equivalent to $1,000,000 will be issued on the first business day of March 2019.</w:t>
      </w:r>
    </w:p>
    <w:p>
      <w:pPr>
        <w:sectPr>
          <w:pgSz w:w="11900" w:h="16838" w:orient="portrait"/>
          <w:cols w:equalWidth="0" w:num="1">
            <w:col w:w="11420"/>
          </w:cols>
          <w:pgMar w:left="240" w:top="1440" w:right="239" w:bottom="1440" w:gutter="0" w:footer="0" w:header="0"/>
        </w:sectPr>
      </w:pPr>
    </w:p>
    <w:bookmarkStart w:id="48" w:name="page49"/>
    <w:bookmarkEnd w:id="48"/>
    <w:p>
      <w:pPr>
        <w:jc w:val="both"/>
        <w:spacing w:after="0" w:line="242"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5791835</wp:posOffset>
            </wp:positionH>
            <wp:positionV relativeFrom="page">
              <wp:posOffset>88900</wp:posOffset>
            </wp:positionV>
            <wp:extent cx="161226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t>The restricted stock awards will vest as follows: the first thirty-three percent (33%) will vest on the first anniversary your grant date, the second thirty-three percent (33%) will vest on the second anniversary of your grant date, and the final thirty-four percent (34%) will vest on the third anniversary of the grant date. The number of shares granted will be calculated by dividing the award amount by the closing price of Integra Life Sciences stock on the grant date.</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Written confirmation of the shares granted and a restricted stock award agreement containing information about the plan will be forwarded to you by the Human Resources Department at the time of the grant. The Award is granted under and governed by the terms and conditions of the Company’s Plan, as amended, and the Award Agreement.</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Upon joining Integra, you will be granted a one-time sign-on bonus of $180,000. The sign-on bonus will be paid to you within the first thirty (30) days of employment and is subject to applicable local and federal tax withholdings. Should you decide in the first twenty-four months of employment to voluntarily leave the company, you will be required to repay the full amount of the cash sign-on bonus. You must be a current employee on the date the sign-on bonus is paid to be eligible to receive payment.</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0"/>
          <w:szCs w:val="20"/>
          <w:color w:val="auto"/>
        </w:rPr>
        <w:t>As an Integra employee, you will be eligible for our comprehensive benefits package that includes paid time off, health and welfare benefits, a 401(k) Plan, an employee stock purchase plan, a short and long term disability (Core and Buy-up) plan and an education assistance program. You and your eligible dependents will be eligible for health and welfare benefits (medical/Rx, dental, vision, life insurance, short-term disability and flexible spending accounts) on your hire date. Proof of dependent eligibility for healthcare benefits is required following the benefits enrollment process. You will be eligible for Core and Buy-up Long-Term Disability on the first of the month following 60 days from your hire date. You become eligible for the 401(k) plan on the first day of the month following your hire date, and the employee stock purchase program on the first day of the calendar quarter following your hire date.</w:t>
      </w:r>
    </w:p>
    <w:p>
      <w:pPr>
        <w:spacing w:after="0" w:line="226"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This offer is contingent upon satisfactory completion of Integra’s pre-employment screening process, including a background check and references. This offer is also contingent upon signing a confidentiality agreement and non-compete agreement. All employees are required to sign this document. Please review, sign and date the attached agreement and return it along with a copy of your signed offer letter. The original agreement should be sent to the Human Resources Department along with the other administrative forms in the new hire kit provided to you. If you have questions regarding the agreement, please contact the Human Resources Department. If you do not agree with the terms of this document, this offer of employment, including all its terms, will be rescinded.</w:t>
      </w:r>
    </w:p>
    <w:p>
      <w:pPr>
        <w:spacing w:after="0" w:line="227"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The U. S. Department of Justice requires all new hires to provide identification documents that establish both identity and employment eligibility, within three days of employment. A list of acceptable documents can be found on the back of the I-9 form. You will need to present the identification documents to the Human Resources Department. If these identification documents are not provided within three days following your start date, termination of employment will ensue.</w:t>
      </w:r>
    </w:p>
    <w:p>
      <w:pPr>
        <w:sectPr>
          <w:pgSz w:w="11900" w:h="16838" w:orient="portrait"/>
          <w:cols w:equalWidth="0" w:num="1">
            <w:col w:w="11420"/>
          </w:cols>
          <w:pgMar w:left="240" w:top="1324" w:right="239" w:bottom="1440" w:gutter="0" w:footer="0" w:header="0"/>
        </w:sectPr>
      </w:pPr>
    </w:p>
    <w:bookmarkStart w:id="49" w:name="page50"/>
    <w:bookmarkEnd w:id="49"/>
    <w:p>
      <w:pPr>
        <w:spacing w:after="0" w:line="1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5791835</wp:posOffset>
            </wp:positionH>
            <wp:positionV relativeFrom="page">
              <wp:posOffset>88900</wp:posOffset>
            </wp:positionV>
            <wp:extent cx="1612265"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612265" cy="600075"/>
                    </a:xfrm>
                    <a:prstGeom prst="rect">
                      <a:avLst/>
                    </a:prstGeom>
                    <a:noFill/>
                  </pic:spPr>
                </pic:pic>
              </a:graphicData>
            </a:graphic>
          </wp:anchor>
        </w:drawing>
      </w:r>
    </w:p>
    <w:p>
      <w:pPr>
        <w:jc w:val="both"/>
        <w:spacing w:after="0" w:line="239" w:lineRule="auto"/>
        <w:rPr>
          <w:sz w:val="20"/>
          <w:szCs w:val="20"/>
          <w:color w:val="auto"/>
        </w:rPr>
      </w:pPr>
      <w:r>
        <w:rPr>
          <w:rFonts w:ascii="Arial" w:cs="Arial" w:eastAsia="Arial" w:hAnsi="Arial"/>
          <w:sz w:val="20"/>
          <w:szCs w:val="20"/>
          <w:color w:val="auto"/>
        </w:rPr>
        <w:t>Although Integra Life Sciences anticipates a mutually rewarding employment relationship, it is expressly understood and agreed that your employment is “at will”. Under this relationship, Integra LifeSciences may, at any time, decide to end an individual’s employment with or</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without cause or prior notification. Accordingly, we have no agreement that your employment will continue for any particular period of time. Likewise, you have the right to terminate your employment at any time. Should you desire to terminate this relationship, you agree to use your best efforts to give Integra LifeSciences 14 day’s written notice.</w:t>
      </w:r>
    </w:p>
    <w:p>
      <w:pPr>
        <w:spacing w:after="0" w:line="220"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If you have any questions regarding this letter or its contents, please feel free to address them to me. If this offer is acceptable to you, please note your acceptance by signing below and return this document to our attention by October 8, 2018.</w:t>
      </w:r>
    </w:p>
    <w:p>
      <w:pPr>
        <w:spacing w:after="0" w:line="21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Integra Life Sciences is a growing company with an excellent future. Building our company is a rewarding experience, and we are looking forward to having you join us.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18" w:lineRule="exact"/>
        <w:rPr>
          <w:sz w:val="20"/>
          <w:szCs w:val="20"/>
          <w:color w:val="auto"/>
        </w:rPr>
      </w:pPr>
    </w:p>
    <w:p>
      <w:pPr>
        <w:spacing w:after="0"/>
        <w:rPr>
          <w:sz w:val="20"/>
          <w:szCs w:val="20"/>
          <w:color w:val="auto"/>
        </w:rPr>
      </w:pPr>
      <w:r>
        <w:rPr>
          <w:rFonts w:ascii="Arial" w:cs="Arial" w:eastAsia="Arial" w:hAnsi="Arial"/>
          <w:sz w:val="36"/>
          <w:szCs w:val="36"/>
          <w:color w:val="auto"/>
        </w:rPr>
        <w:t>Lisa Evoli</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Lisa Evoli</w:t>
      </w:r>
    </w:p>
    <w:p>
      <w:pPr>
        <w:spacing w:after="0"/>
        <w:rPr>
          <w:sz w:val="20"/>
          <w:szCs w:val="20"/>
          <w:color w:val="auto"/>
        </w:rPr>
      </w:pPr>
      <w:r>
        <w:rPr>
          <w:rFonts w:ascii="Arial" w:cs="Arial" w:eastAsia="Arial" w:hAnsi="Arial"/>
          <w:sz w:val="20"/>
          <w:szCs w:val="20"/>
          <w:color w:val="auto"/>
        </w:rPr>
        <w:t>Corporate Vice President &amp;</w:t>
      </w:r>
    </w:p>
    <w:p>
      <w:pPr>
        <w:spacing w:after="0"/>
        <w:rPr>
          <w:sz w:val="20"/>
          <w:szCs w:val="20"/>
          <w:color w:val="auto"/>
        </w:rPr>
      </w:pPr>
      <w:r>
        <w:rPr>
          <w:rFonts w:ascii="Arial" w:cs="Arial" w:eastAsia="Arial" w:hAnsi="Arial"/>
          <w:sz w:val="20"/>
          <w:szCs w:val="20"/>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I accept your offer of employment.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Signature: /s/ Eric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-22860</wp:posOffset>
            </wp:positionV>
            <wp:extent cx="10756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569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Date:__</w:t>
      </w:r>
      <w:r>
        <w:rPr>
          <w:rFonts w:ascii="Arial" w:cs="Arial" w:eastAsia="Arial" w:hAnsi="Arial"/>
          <w:sz w:val="20"/>
          <w:szCs w:val="20"/>
          <w:u w:val="single" w:color="auto"/>
          <w:color w:val="auto"/>
        </w:rPr>
        <w:t>10/2/18</w:t>
      </w:r>
    </w:p>
    <w:p>
      <w:pPr>
        <w:sectPr>
          <w:pgSz w:w="11900" w:h="16838" w:orient="portrait"/>
          <w:cols w:equalWidth="0" w:num="1">
            <w:col w:w="11420"/>
          </w:cols>
          <w:pgMar w:left="240" w:top="144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July 25,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2019</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July 25, 2019</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2019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2019</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1."/>
      <w:numFmt w:val="lowerRoman"/>
      <w:start w:val="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Roman"/>
      <w:start w:val="1"/>
    </w:lvl>
  </w:abstractNum>
  <w:abstractNum w:abstractNumId="8">
    <w:nsid w:val="140E0F76"/>
    <w:multiLevelType w:val="hybridMultilevel"/>
    <w:lvl w:ilvl="0">
      <w:lvlJc w:val="left"/>
      <w:lvlText w:val="%1."/>
      <w:numFmt w:val="decimal"/>
      <w:start w:val="36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2019-12-28T10:00:29Z</dcterms:created>
  <dcterms:modified xsi:type="dcterms:W3CDTF">2019-12-28T10:00:29Z</dcterms:modified>
</cp:coreProperties>
</file>