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transition period from to</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NO. 0-26224</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DELAWARE</w:t>
            </w:r>
          </w:p>
        </w:tc>
        <w:tc>
          <w:tcPr>
            <w:tcW w:w="5120" w:type="dxa"/>
            <w:vAlign w:val="bottom"/>
            <w:gridSpan w:val="2"/>
          </w:tcPr>
          <w:p>
            <w:pPr>
              <w:jc w:val="right"/>
              <w:ind w:right="1790"/>
              <w:spacing w:after="0"/>
              <w:rPr>
                <w:sz w:val="20"/>
                <w:szCs w:val="20"/>
                <w:color w:val="auto"/>
              </w:rPr>
            </w:pPr>
            <w:r>
              <w:rPr>
                <w:rFonts w:ascii="Arial" w:cs="Arial" w:eastAsia="Arial" w:hAnsi="Arial"/>
                <w:sz w:val="18"/>
                <w:szCs w:val="18"/>
                <w:color w:val="auto"/>
              </w:rPr>
              <w:t>51-0317849</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600" w:type="dxa"/>
            <w:vAlign w:val="bottom"/>
          </w:tcPr>
          <w:p>
            <w:pPr>
              <w:jc w:val="center"/>
              <w:spacing w:after="0"/>
              <w:rPr>
                <w:sz w:val="20"/>
                <w:szCs w:val="20"/>
                <w:color w:val="auto"/>
              </w:rPr>
            </w:pPr>
            <w:r>
              <w:rPr>
                <w:rFonts w:ascii="Arial" w:cs="Arial" w:eastAsia="Arial" w:hAnsi="Arial"/>
                <w:sz w:val="18"/>
                <w:szCs w:val="18"/>
                <w:color w:val="auto"/>
                <w:w w:val="94"/>
              </w:rPr>
              <w:t>311 ENTERPRISE DRIVE</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5"/>
              </w:rPr>
              <w:t>PLAINSBORO, NEW JERSEY</w:t>
            </w:r>
          </w:p>
        </w:tc>
        <w:tc>
          <w:tcPr>
            <w:tcW w:w="5120" w:type="dxa"/>
            <w:vAlign w:val="bottom"/>
            <w:gridSpan w:val="2"/>
          </w:tcPr>
          <w:p>
            <w:pPr>
              <w:jc w:val="right"/>
              <w:ind w:right="2010"/>
              <w:spacing w:after="0"/>
              <w:rPr>
                <w:sz w:val="20"/>
                <w:szCs w:val="20"/>
                <w:color w:val="auto"/>
              </w:rPr>
            </w:pPr>
            <w:r>
              <w:rPr>
                <w:rFonts w:ascii="Arial" w:cs="Arial" w:eastAsia="Arial" w:hAnsi="Arial"/>
                <w:sz w:val="18"/>
                <w:szCs w:val="18"/>
                <w:color w:val="auto"/>
              </w:rPr>
              <w:t>08536</w:t>
            </w:r>
          </w:p>
        </w:tc>
      </w:tr>
      <w:tr>
        <w:trPr>
          <w:trHeight w:val="224"/>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(ADDRESS OF PRINCIPAL EXECUTIVE OFFICES)</w:t>
            </w:r>
          </w:p>
        </w:tc>
        <w:tc>
          <w:tcPr>
            <w:tcW w:w="48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and accelerated filer in Rule 12b-2 of the Exchange Act).</w:t>
      </w:r>
    </w:p>
    <w:p>
      <w:pPr>
        <w:spacing w:after="0" w:line="138" w:lineRule="exact"/>
        <w:rPr>
          <w:sz w:val="20"/>
          <w:szCs w:val="20"/>
          <w:color w:val="auto"/>
        </w:rPr>
      </w:pPr>
    </w:p>
    <w:p>
      <w:pPr>
        <w:ind w:left="880"/>
        <w:spacing w:after="0" w:line="207" w:lineRule="exact"/>
        <w:tabs>
          <w:tab w:leader="none" w:pos="4500" w:val="left"/>
          <w:tab w:leader="none" w:pos="7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98" w:lineRule="exact"/>
        <w:rPr>
          <w:sz w:val="20"/>
          <w:szCs w:val="20"/>
          <w:color w:val="auto"/>
        </w:rPr>
      </w:pPr>
    </w:p>
    <w:p>
      <w:pPr>
        <w:ind w:left="340"/>
        <w:spacing w:after="0" w:line="207" w:lineRule="exact"/>
        <w:tabs>
          <w:tab w:leader="none" w:pos="5640" w:val="left"/>
        </w:tabs>
        <w:rPr>
          <w:sz w:val="20"/>
          <w:szCs w:val="20"/>
          <w:color w:val="auto"/>
        </w:rPr>
      </w:pPr>
      <w:r>
        <w:rPr>
          <w:rFonts w:ascii="Arial" w:cs="Arial" w:eastAsia="Arial" w:hAnsi="Arial"/>
          <w:sz w:val="18"/>
          <w:szCs w:val="18"/>
          <w:color w:val="auto"/>
        </w:rPr>
        <w:t>Indicate by check mark whether the registrant is a shell company. 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the registrant’s Common Stock, $.01 par value, outstanding as of November 5, 2007 was 26,363,053.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151130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826135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60" w:type="dxa"/>
            <w:vAlign w:val="bottom"/>
            <w:gridSpan w:val="10"/>
          </w:tcPr>
          <w:p>
            <w:pPr>
              <w:jc w:val="center"/>
              <w:ind w:right="1300"/>
              <w:spacing w:after="0"/>
              <w:rPr>
                <w:sz w:val="20"/>
                <w:szCs w:val="20"/>
                <w:color w:val="auto"/>
              </w:rPr>
            </w:pPr>
            <w:r>
              <w:rPr>
                <w:rFonts w:ascii="Arial" w:cs="Arial" w:eastAsia="Arial" w:hAnsi="Arial"/>
                <w:sz w:val="18"/>
                <w:szCs w:val="18"/>
                <w:b w:val="1"/>
                <w:bCs w:val="1"/>
                <w:color w:val="auto"/>
              </w:rPr>
              <w:t>INTEGRA LIFESCIENCES HOLDINGS CORPORATION</w:t>
            </w:r>
          </w:p>
        </w:tc>
        <w:tc>
          <w:tcPr>
            <w:tcW w:w="10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0" w:type="dxa"/>
            <w:vAlign w:val="bottom"/>
            <w:gridSpan w:val="8"/>
          </w:tcPr>
          <w:p>
            <w:pPr>
              <w:jc w:val="center"/>
              <w:ind w:right="1860"/>
              <w:spacing w:after="0"/>
              <w:rPr>
                <w:sz w:val="20"/>
                <w:szCs w:val="20"/>
                <w:color w:val="auto"/>
              </w:rPr>
            </w:pPr>
            <w:r>
              <w:rPr>
                <w:rFonts w:ascii="Arial" w:cs="Arial" w:eastAsia="Arial" w:hAnsi="Arial"/>
                <w:sz w:val="18"/>
                <w:szCs w:val="18"/>
                <w:b w:val="1"/>
                <w:bCs w:val="1"/>
                <w:color w:val="auto"/>
              </w:rPr>
              <w:t>INDEX</w:t>
            </w:r>
          </w:p>
        </w:tc>
        <w:tc>
          <w:tcPr>
            <w:tcW w:w="104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Page Number</w:t>
            </w:r>
          </w:p>
        </w:tc>
      </w:tr>
      <w:tr>
        <w:trPr>
          <w:trHeight w:val="385"/>
        </w:trPr>
        <w:tc>
          <w:tcPr>
            <w:tcW w:w="28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800" w:type="dxa"/>
            <w:vAlign w:val="bottom"/>
            <w:gridSpan w:val="8"/>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620" w:type="dxa"/>
            <w:vAlign w:val="bottom"/>
            <w:gridSpan w:val="11"/>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8680" w:type="dxa"/>
            <w:vAlign w:val="bottom"/>
            <w:gridSpan w:val="2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and nine months ended September 30, 2007 and 2006</w:t>
              </w:r>
            </w:hyperlink>
          </w:p>
        </w:tc>
        <w:tc>
          <w:tcPr>
            <w:tcW w:w="104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0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6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2007 and December 31, 2006 (Unaudited)</w:t>
              </w:r>
            </w:hyperlink>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78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2007 and 2006</w:t>
              </w:r>
            </w:hyperlink>
          </w:p>
        </w:tc>
        <w:tc>
          <w:tcPr>
            <w:tcW w:w="84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04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6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68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w:t>
            </w:r>
          </w:p>
        </w:tc>
      </w:tr>
      <w:tr>
        <w:trPr>
          <w:trHeight w:val="412"/>
        </w:trPr>
        <w:tc>
          <w:tcPr>
            <w:tcW w:w="4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680" w:type="dxa"/>
            <w:vAlign w:val="bottom"/>
            <w:gridSpan w:val="4"/>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35</w:t>
            </w:r>
          </w:p>
        </w:tc>
      </w:tr>
      <w:tr>
        <w:trPr>
          <w:trHeight w:val="412"/>
        </w:trPr>
        <w:tc>
          <w:tcPr>
            <w:tcW w:w="23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Item 4. Controls and Procedures</w:t>
              </w:r>
            </w:hyperlink>
          </w:p>
        </w:tc>
        <w:tc>
          <w:tcPr>
            <w:tcW w:w="6360" w:type="dxa"/>
            <w:vAlign w:val="bottom"/>
            <w:gridSpan w:val="10"/>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36</w:t>
            </w:r>
          </w:p>
        </w:tc>
      </w:tr>
      <w:tr>
        <w:trPr>
          <w:trHeight w:val="412"/>
        </w:trPr>
        <w:tc>
          <w:tcPr>
            <w:tcW w:w="868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1040" w:type="dxa"/>
            <w:vAlign w:val="bottom"/>
          </w:tcPr>
          <w:p>
            <w:pPr>
              <w:spacing w:after="0"/>
              <w:rPr>
                <w:sz w:val="24"/>
                <w:szCs w:val="24"/>
                <w:color w:val="auto"/>
              </w:rPr>
            </w:pPr>
          </w:p>
        </w:tc>
      </w:tr>
      <w:tr>
        <w:trPr>
          <w:trHeight w:val="412"/>
        </w:trPr>
        <w:tc>
          <w:tcPr>
            <w:tcW w:w="2560" w:type="dxa"/>
            <w:vAlign w:val="bottom"/>
            <w:tcBorders>
              <w:top w:val="single" w:sz="8" w:color="0000EE"/>
            </w:tcBorders>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 Legal Proceedings</w:t>
              </w:r>
            </w:hyperlink>
          </w:p>
        </w:tc>
        <w:tc>
          <w:tcPr>
            <w:tcW w:w="6120" w:type="dxa"/>
            <w:vAlign w:val="bottom"/>
            <w:gridSpan w:val="9"/>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38</w:t>
            </w:r>
          </w:p>
        </w:tc>
      </w:tr>
      <w:tr>
        <w:trPr>
          <w:trHeight w:val="412"/>
        </w:trPr>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6800" w:type="dxa"/>
            <w:vAlign w:val="bottom"/>
            <w:gridSpan w:val="12"/>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39</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2. Unregistered Sales of Equity Securities and Use of Proceeds</w:t>
              </w:r>
            </w:hyperlink>
          </w:p>
        </w:tc>
        <w:tc>
          <w:tcPr>
            <w:tcW w:w="3780" w:type="dxa"/>
            <w:vAlign w:val="bottom"/>
            <w:gridSpan w:val="6"/>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45</w:t>
            </w:r>
          </w:p>
        </w:tc>
      </w:tr>
      <w:tr>
        <w:trPr>
          <w:trHeight w:val="412"/>
        </w:trPr>
        <w:tc>
          <w:tcPr>
            <w:tcW w:w="868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46</w:t>
            </w:r>
          </w:p>
        </w:tc>
      </w:tr>
      <w:tr>
        <w:trPr>
          <w:trHeight w:val="412"/>
        </w:trPr>
        <w:tc>
          <w:tcPr>
            <w:tcW w:w="1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540" w:type="dxa"/>
            <w:vAlign w:val="bottom"/>
            <w:gridSpan w:val="14"/>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47</w:t>
            </w:r>
          </w:p>
        </w:tc>
      </w:tr>
      <w:tr>
        <w:trPr>
          <w:trHeight w:val="412"/>
        </w:trPr>
        <w:tc>
          <w:tcPr>
            <w:tcW w:w="8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EXHIBITS</w:t>
              </w:r>
            </w:hyperlink>
          </w:p>
        </w:tc>
        <w:tc>
          <w:tcPr>
            <w:tcW w:w="7860" w:type="dxa"/>
            <w:vAlign w:val="bottom"/>
            <w:gridSpan w:val="18"/>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48</w:t>
            </w:r>
          </w:p>
        </w:tc>
      </w:tr>
      <w:tr>
        <w:trPr>
          <w:trHeight w:val="412"/>
        </w:trPr>
        <w:tc>
          <w:tcPr>
            <w:tcW w:w="40" w:type="dxa"/>
            <w:vAlign w:val="bottom"/>
          </w:tcPr>
          <w:p>
            <w:pPr>
              <w:spacing w:after="0"/>
              <w:rPr>
                <w:sz w:val="24"/>
                <w:szCs w:val="24"/>
                <w:color w:val="auto"/>
              </w:rPr>
            </w:pPr>
          </w:p>
        </w:tc>
        <w:tc>
          <w:tcPr>
            <w:tcW w:w="8640" w:type="dxa"/>
            <w:vAlign w:val="bottom"/>
            <w:gridSpan w:val="20"/>
          </w:tcPr>
          <w:p>
            <w:pPr>
              <w:spacing w:after="0"/>
              <w:rPr>
                <w:sz w:val="20"/>
                <w:szCs w:val="20"/>
                <w:color w:val="auto"/>
              </w:rPr>
            </w:pPr>
            <w:r>
              <w:rPr>
                <w:rFonts w:ascii="Arial" w:cs="Arial" w:eastAsia="Arial" w:hAnsi="Arial"/>
                <w:sz w:val="18"/>
                <w:szCs w:val="18"/>
                <w:color w:val="0000EE"/>
              </w:rPr>
              <w:t>Exhibit 31.1</w:t>
            </w:r>
          </w:p>
        </w:tc>
        <w:tc>
          <w:tcPr>
            <w:tcW w:w="10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0"/>
        </w:trPr>
        <w:tc>
          <w:tcPr>
            <w:tcW w:w="3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10"/>
        </w:trPr>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116,647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392,814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293,903</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152,248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116,869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10,991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18,845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20,518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43,431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160,326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111,770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2,852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9,661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r>
      <w:tr>
        <w:trPr>
          <w:trHeight w:val="27"/>
        </w:trPr>
        <w:tc>
          <w:tcPr>
            <w:tcW w:w="3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104,833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341,080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255,307</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18,336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11,814</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51,734</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38,596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(4,362)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(9,896)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(8,117)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(1,832)</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43,987</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30,640</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11,364</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27,202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29,193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27,909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29,457</w:t>
            </w: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30,162</w:t>
            </w:r>
          </w:p>
        </w:tc>
      </w:tr>
    </w:tbl>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tcPr>
          <w:p>
            <w:pPr>
              <w:jc w:val="center"/>
              <w:ind w:left="153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40" w:type="dxa"/>
            <w:vAlign w:val="bottom"/>
          </w:tcPr>
          <w:p>
            <w:pPr>
              <w:jc w:val="center"/>
              <w:ind w:left="155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September 30,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129,498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allowances of $4,806 and $4,114</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92,313</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85,018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126,371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13,562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06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380,359</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55,262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Identifiable intangible assets, net</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181,194</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179,716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179,260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14,002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810,077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119,962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Accounts payable, trade</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26,928</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38,509</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188,185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274,017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Long-term convertible securities</w:t>
            </w:r>
          </w:p>
        </w:tc>
        <w:tc>
          <w:tcPr>
            <w:tcW w:w="24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26,828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Long-term income taxes payable</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8,652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559,680</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13)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60,000 authorized shares;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5"/>
              </w:rPr>
              <w:t>32,178 and 31,464 issued at September 30, 2007 and December 31, 2006, respectively</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368,544</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367,277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Treasury stock, at cost; 5,854 and 4,147 shares at September 30, 2007 and December 31,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2006, respectively</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(231,914)</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(145,846)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Minimum pension liability adjustment, net of tax</w:t>
            </w: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(2,047)</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92,768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66,336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60" w:type="dxa"/>
            <w:vAlign w:val="bottom"/>
            <w:gridSpan w:val="2"/>
          </w:tcPr>
          <w:p>
            <w:pPr>
              <w:ind w:left="4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250,397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810,077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6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rPr>
              <w:t>INTEGRA LIFESCIENCES HOLDINGS CORPORATION</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0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jc w:val="center"/>
              <w:ind w:left="157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color w:val="auto"/>
                <w:w w:val="90"/>
              </w:rPr>
              <w:t>(In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7"/>
          </w:tcPr>
          <w:p>
            <w:pPr>
              <w:jc w:val="right"/>
              <w:ind w:right="140"/>
              <w:spacing w:after="0"/>
              <w:rPr>
                <w:sz w:val="20"/>
                <w:szCs w:val="20"/>
                <w:color w:val="auto"/>
              </w:rPr>
            </w:pPr>
            <w:r>
              <w:rPr>
                <w:rFonts w:ascii="Arial" w:cs="Arial" w:eastAsia="Arial" w:hAnsi="Arial"/>
                <w:sz w:val="18"/>
                <w:szCs w:val="18"/>
                <w:color w:val="auto"/>
                <w:w w:val="89"/>
              </w:rPr>
              <w:t>Nine Months Ended 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28,089</w:t>
            </w:r>
          </w:p>
        </w:tc>
        <w:tc>
          <w:tcPr>
            <w:tcW w:w="4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19,276</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19,209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13,181</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 (benefit) provision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(7,821)</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Amortization of bond issuance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1,910</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loss on sale of assets/investments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Amortization of discount/premium on investments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10,499</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(730)</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5,600</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(18,373)</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(17,321)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5,726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4,215</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(9,833)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4,776</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accrued expenses and current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7,781</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10,409</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r>
      <w:tr>
        <w:trPr>
          <w:trHeight w:val="230"/>
        </w:trPr>
        <w:tc>
          <w:tcPr>
            <w:tcW w:w="34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50,768</w:t>
            </w:r>
          </w:p>
        </w:tc>
        <w:tc>
          <w:tcPr>
            <w:tcW w:w="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(36,423)</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(227,114)</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sales/maturities of investments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109,872</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Purchases of available-for-sale investments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(13,074)</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(17,245)</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(7,236)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(53,265)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(137,552)</w:t>
            </w:r>
          </w:p>
        </w:tc>
      </w:tr>
      <w:tr>
        <w:trPr>
          <w:trHeight w:val="223"/>
        </w:trPr>
        <w:tc>
          <w:tcPr>
            <w:tcW w:w="3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140,000</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Repayment of loans and credit facility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(175,122)</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(54,463)</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Proceeds from sale of stock purchase warrants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21,662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option hedge on convertible notes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(46,771)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Convertible note issuance and other financing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(9,830)</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9,155</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(86,069)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(31,825)</w:t>
            </w:r>
          </w:p>
        </w:tc>
      </w:tr>
      <w:tr>
        <w:trPr>
          <w:trHeight w:val="230"/>
        </w:trPr>
        <w:tc>
          <w:tcPr>
            <w:tcW w:w="34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126,279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63,597</w:t>
            </w:r>
          </w:p>
        </w:tc>
        <w:tc>
          <w:tcPr>
            <w:tcW w:w="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106,801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(22,567)</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22,697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46,889</w:t>
            </w:r>
          </w:p>
        </w:tc>
      </w:tr>
      <w:tr>
        <w:trPr>
          <w:trHeight w:val="223"/>
        </w:trPr>
        <w:tc>
          <w:tcPr>
            <w:tcW w:w="3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129,498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24,322</w:t>
            </w:r>
          </w:p>
        </w:tc>
        <w:tc>
          <w:tcPr>
            <w:tcW w:w="1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In the opinion of management, the September 30, 2007 unaudited condensed consolidated financial statements contain all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2006 included in the Company’s Annual Report on Form 10-K. Operating results for the nine-month period ended September 30, 2007 are not necessarily indicative of the results to be expected for the entire year.</w:t>
      </w:r>
    </w:p>
    <w:p>
      <w:pPr>
        <w:spacing w:after="0" w:line="152"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Certain reclassifications have been made to the prior-year financial statements to conform to the current-period presentation.</w:t>
      </w:r>
    </w:p>
    <w:p>
      <w:pPr>
        <w:spacing w:after="0" w:line="22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three and nine months ended September 30, 2007, the Company recognized increases to net income of approximately $0.9 million and $0.6 million, respectively, related to prior periods. The Company deemed the amounts immaterial and, therefore, recorded such increases in the respective current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w:t>
      </w:r>
    </w:p>
    <w:p>
      <w:pPr>
        <w:spacing w:after="0" w:line="189"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Effective January 1, 2007, the Company adopted Financial Accounting Standards Board (“FASB”) Interpretation No. 48 “Accounting for Uncertainty in Income Taxes” (“FIN 48”). FIN 48 specifies the way public companies are to account for uncertainty in income tax reporting, and prescribes a methodology for recognizing, reversing, and measuring the tax benefits of a tax position taken, or expected to be taken, in a tax return. As a result of adopting the new standard, the Company recorded a $2.0 million increase to reserves resulting in a “cumulative effect” decrease to opening retained earnings of $1.7 million as of January 1, 2007 and an increase to goodwill of $0.3 million for the portion associated with a tax reserve related to a recent acquisition. Including this “cumulative effect” adjustment, the Company had unrecognized tax reserves of $8.1 million at January 1, 2007, of which $1.1 million related to accrued interest and penalties. In 2007, these unrecognized tax benefits are classified as long-term income taxes payable in the condensed consolidated balance sheet and, if recognized, $3.3 million would affect the Company’s effective tax rate.</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For the three months and nine months ended September 30, 2007, the Company accrued no additional amount and $0.2 million, respectively, in unrecognized tax benefits and $0.1 and $0.3 million, respectively, of interest related to its uncertain tax positions, all of which is recorded as a component of the Company’s provision for income taxes in the condensed consolidated statement of operations. As of September 30, 2007 the Company had unrecognized tax benefits of $8.6 million accrued in the balance sheet.</w:t>
      </w:r>
    </w:p>
    <w:p>
      <w:pPr>
        <w:spacing w:after="0" w:line="12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 files Federal income tax returns, as well as multiple state, local and foreign jurisdiction tax returns. The Company is no longer subject to examinations of its federal income tax returns by the Internal Revenue Service (“IRS”) through fiscal 2003. All significant state and local matters have been concluded through fiscal 2003. All significant foreign matters have been settled through fiscal 2001. The IRS has begun an examination of the tax returns of the Company’s subsidiary in Puerto Rico for fiscal 2004 and 2005. Further, the IRS notified the Company it will examine the U.S. consolidated Federal return for 2005. At this time the Company does not anticipate that any material adjustments will result from this examination. Other than this matter, the Company does not believe it is reasonably possible that its unrecognized tax benefits will significantly change within the next twelve months.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 and Other Matters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September 2006, FASB issued Statement of Financial Accounting Standards No. 157, Fair Value Measurements (“SFAS 157”). This standard establishes a framework for measuring fair value and expands disclosures about fair value measurement of a company’s assets and liabilities. This standard also requires that the fair value measurement should be determined based on the assumptions that market participants would use in pricing the asset or liability. SFAS 157 is effective for financial statements issued for fiscal years beginning after November 15, 2007 and, generally, must be applied prospectively. The Company expects to adopt this standard beginning in January 2008. The Company is evaluating the impact this new standard will have on its financial position and results of operations.</w:t>
      </w:r>
    </w:p>
    <w:p>
      <w:pPr>
        <w:spacing w:after="0" w:line="16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February 2007, the FASB issued Statement of Financial Accounting Standards No. 159, The Fair Value Option for Financial Assets and Financial Liabilities (“SFAS 159”). The statement provides companies an option to report certain financial assets and 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beginning after November 15, 2007. The Company is evaluating the impact this new standard will have on its financial position and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ACQUISITIONS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Physician Industries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May 11, 2007, the Company acquired certain assets of the pain management business of Physician Industries, Inc. (“Physician Industries”) for approximately $4.0 million in cash, subject to certain adjustments and acquisition expenses of $74,000. In addition, the Company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will be combined with the Company’s similar Spinal Specialties products line and the products will be sold under the name Integra Pain Management.</w:t>
      </w:r>
    </w:p>
    <w:p>
      <w:pPr>
        <w:spacing w:after="0" w:line="14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92"/>
        </w:trPr>
        <w:tc>
          <w:tcPr>
            <w:tcW w:w="714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96"/>
              </w:rPr>
              <w:t>Wtd. Avg. Life</w:t>
            </w:r>
          </w:p>
        </w:tc>
      </w:tr>
      <w:tr>
        <w:trPr>
          <w:trHeight w:val="21"/>
        </w:trPr>
        <w:tc>
          <w:tcPr>
            <w:tcW w:w="7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10 years</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Noncompetition agreements</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5 years</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&lt;1 year</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Management determined the preliminary fair value of assets acquired during the second quarter 2007. The purchase price allocation was finalized during the third quarter with no changes being recorded. The goodwill recorded in connection with this acquisition is based on the benefits the Company expects to generate from Physician Industries’ future cash flows.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LXU Healthcare, Inc.</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On May 8, 2007, the Company acquired the shares of LXU Healthcare, Inc. (“LXU”) for $30.0 million in cash paid at closing and $0.5 million of acquisition-related expenses. LXU is operated as part of the Company’s surgical instruments business. We received proceeds of $0.4 million from escrow accounts in the third quarter relating to adjustments for working capital and benefit plans, which was accounted for as a reduction in the total purchase price. LXU, based in West Boylston, Massachusetts, was comprised of three distinct businesses:</w:t>
      </w:r>
    </w:p>
    <w:p>
      <w:pPr>
        <w:spacing w:after="0" w:line="161" w:lineRule="exact"/>
        <w:rPr>
          <w:sz w:val="20"/>
          <w:szCs w:val="20"/>
          <w:color w:val="auto"/>
        </w:rPr>
      </w:pPr>
    </w:p>
    <w:p>
      <w:pPr>
        <w:ind w:left="1080" w:right="179" w:hanging="370"/>
        <w:spacing w:after="0" w:line="308" w:lineRule="auto"/>
        <w:tabs>
          <w:tab w:leader="none" w:pos="10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Luxtec — The market-leading manufacturer of fiber optic headlight systems for the medical industry through its Luxtec</w:t>
      </w:r>
      <w:r>
        <w:rPr>
          <w:rFonts w:ascii="Arial" w:cs="Arial" w:eastAsia="Arial" w:hAnsi="Arial"/>
          <w:sz w:val="14"/>
          <w:szCs w:val="14"/>
          <w:color w:val="auto"/>
        </w:rPr>
        <w:t>®</w:t>
      </w:r>
      <w:r>
        <w:rPr>
          <w:rFonts w:ascii="Arial" w:cs="Arial" w:eastAsia="Arial" w:hAnsi="Arial"/>
          <w:sz w:val="17"/>
          <w:szCs w:val="17"/>
          <w:color w:val="auto"/>
        </w:rPr>
        <w:t xml:space="preserve"> brand. The Luxtec products are manufactured in a 31,000 square foot leased facility located in West Boylston.</w:t>
      </w:r>
    </w:p>
    <w:p>
      <w:pPr>
        <w:spacing w:after="0" w:line="106" w:lineRule="exact"/>
        <w:rPr>
          <w:rFonts w:ascii="Arial" w:cs="Arial" w:eastAsia="Arial" w:hAnsi="Arial"/>
          <w:sz w:val="17"/>
          <w:szCs w:val="17"/>
          <w:b w:val="1"/>
          <w:bCs w:val="1"/>
          <w:color w:val="auto"/>
        </w:rPr>
      </w:pPr>
    </w:p>
    <w:p>
      <w:pPr>
        <w:jc w:val="both"/>
        <w:ind w:left="1080" w:right="159" w:hanging="370"/>
        <w:spacing w:after="0" w:line="286" w:lineRule="auto"/>
        <w:tabs>
          <w:tab w:leader="none" w:pos="10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LXU Medical — A leading specialty surgical products distributor with a sales force calling on surgeons and key clinical decision makers, covering 18,000 operating rooms in the southeastern, midwestern and mid-Atlantic United States. LXU Medical is the exclusive distributor of the Luxtec fiber optic headlight systems in these territories.</w:t>
      </w:r>
    </w:p>
    <w:p>
      <w:pPr>
        <w:spacing w:after="0" w:line="125" w:lineRule="exact"/>
        <w:rPr>
          <w:rFonts w:ascii="Arial" w:cs="Arial" w:eastAsia="Arial" w:hAnsi="Arial"/>
          <w:sz w:val="17"/>
          <w:szCs w:val="17"/>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Bimeco — A critical care products distributor with direct sales coverage in the southeastern United States.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As was the intention at the time of the acquisition, the Company is winding down the Bimeco business, which is not aligned with the Company’s strategy. The Company is integrating the LXU Medical sales force and distributor network with the Jarit sales and distribution organization.</w:t>
      </w:r>
    </w:p>
    <w:p>
      <w:pPr>
        <w:spacing w:after="0" w:line="154"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92"/>
        </w:trPr>
        <w:tc>
          <w:tcPr>
            <w:tcW w:w="71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tcPr>
          <w:p>
            <w:pPr>
              <w:jc w:val="center"/>
              <w:ind w:left="290"/>
              <w:spacing w:after="0"/>
              <w:rPr>
                <w:sz w:val="20"/>
                <w:szCs w:val="20"/>
                <w:color w:val="auto"/>
              </w:rPr>
            </w:pPr>
            <w:r>
              <w:rPr>
                <w:rFonts w:ascii="Arial" w:cs="Arial" w:eastAsia="Arial" w:hAnsi="Arial"/>
                <w:sz w:val="18"/>
                <w:szCs w:val="18"/>
                <w:color w:val="auto"/>
                <w:w w:val="96"/>
              </w:rPr>
              <w:t>Wtd. Avg. Life</w:t>
            </w:r>
          </w:p>
        </w:tc>
      </w:tr>
      <w:tr>
        <w:trPr>
          <w:trHeight w:val="21"/>
        </w:trPr>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15 years</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Trade name (Luxtec)</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Indefinite</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5 years</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second quarter 2007 with the assistance of a third-party valuation firm. The purchase price allocation was finalized during the third quarter with only minor changes recorded to goodwill. The goodwill recorded in connection with this acquisition is based on the benefits the Company expects to generate from LXU’s future cash flows.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On January 3, 2007, the Company’s subsidiary Miltex, Inc. acquired the DenLite product line from Welch Allyn in an asset purchase for $2.2 million in cash paid at closing and approximately $35,000 of acquisition-related expenses. This transaction was treated as a business combination. DenLite is a lighted mouth mirror used in dental procedures.</w:t>
      </w:r>
    </w:p>
    <w:p>
      <w:pPr>
        <w:spacing w:after="0" w:line="14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7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6"/>
              </w:rPr>
              <w:t>Wtd. Avg. Life</w:t>
            </w:r>
          </w:p>
        </w:tc>
      </w:tr>
      <w:tr>
        <w:trPr>
          <w:trHeight w:val="216"/>
        </w:trPr>
        <w:tc>
          <w:tcPr>
            <w:tcW w:w="714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Trade name</w:t>
            </w:r>
          </w:p>
        </w:tc>
        <w:tc>
          <w:tcPr>
            <w:tcW w:w="3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642</w:t>
            </w: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 years</w:t>
            </w:r>
          </w:p>
        </w:tc>
        <w:tc>
          <w:tcPr>
            <w:tcW w:w="4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10 years</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Patents</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5 years</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1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Management determined the preliminary fair value of assets acquired during the first quarter 2007. The purchase price allocation was finalized in the second quarter with no changes being recorded.</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Radionics</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March 3, 2006, the Company acquired the assets of the Radionics Division of Tyco Healthcare Group, L.P. (“Radionics”)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 ultrasonic surgical aspiration system, the CRW</w:t>
      </w:r>
      <w:r>
        <w:rPr>
          <w:rFonts w:ascii="Arial" w:cs="Arial" w:eastAsia="Arial" w:hAnsi="Arial"/>
          <w:sz w:val="14"/>
          <w:szCs w:val="14"/>
          <w:color w:val="auto"/>
        </w:rPr>
        <w:t>®</w:t>
      </w:r>
      <w:r>
        <w:rPr>
          <w:rFonts w:ascii="Arial" w:cs="Arial" w:eastAsia="Arial" w:hAnsi="Arial"/>
          <w:sz w:val="17"/>
          <w:szCs w:val="17"/>
          <w:color w:val="auto"/>
        </w:rPr>
        <w:t xml:space="preserve"> stereotactic system, the XKnife</w:t>
      </w:r>
      <w:r>
        <w:rPr>
          <w:rFonts w:ascii="Arial" w:cs="Arial" w:eastAsia="Arial" w:hAnsi="Arial"/>
          <w:sz w:val="14"/>
          <w:szCs w:val="14"/>
          <w:color w:val="auto"/>
        </w:rPr>
        <w:t>®</w:t>
      </w:r>
      <w:r>
        <w:rPr>
          <w:rFonts w:ascii="Arial" w:cs="Arial" w:eastAsia="Arial" w:hAnsi="Arial"/>
          <w:sz w:val="17"/>
          <w:szCs w:val="17"/>
          <w:color w:val="auto"/>
        </w:rPr>
        <w:t xml:space="preserve"> stereotactic radiosurgery system, and the Omni Sight</w:t>
      </w:r>
      <w:r>
        <w:rPr>
          <w:rFonts w:ascii="Arial" w:cs="Arial" w:eastAsia="Arial" w:hAnsi="Arial"/>
          <w:sz w:val="14"/>
          <w:szCs w:val="14"/>
          <w:color w:val="auto"/>
        </w:rPr>
        <w:t>®</w:t>
      </w:r>
      <w:r>
        <w:rPr>
          <w:rFonts w:ascii="Arial" w:cs="Arial" w:eastAsia="Arial" w:hAnsi="Arial"/>
          <w:sz w:val="17"/>
          <w:szCs w:val="17"/>
          <w:color w:val="auto"/>
        </w:rPr>
        <w:t xml:space="preserve"> EXcel image-guided surgery system.</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Miltex</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May 12, 2006, the Company acquired all of the outstanding capital stock of Miltex Holdings, Inc. (“Miltex”) for $102.7 million in cash paid at closing, subject to certain adjustments, and $0.7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w:t>
      </w:r>
      <w:r>
        <w:rPr>
          <w:rFonts w:ascii="Arial" w:cs="Arial" w:eastAsia="Arial" w:hAnsi="Arial"/>
          <w:sz w:val="15"/>
          <w:szCs w:val="15"/>
          <w:color w:val="auto"/>
        </w:rPr>
        <w:t>®</w:t>
      </w:r>
      <w:r>
        <w:rPr>
          <w:rFonts w:ascii="Arial" w:cs="Arial" w:eastAsia="Arial" w:hAnsi="Arial"/>
          <w:sz w:val="18"/>
          <w:szCs w:val="18"/>
          <w:color w:val="auto"/>
        </w:rPr>
        <w:t>, Meisterhand</w:t>
      </w:r>
      <w:r>
        <w:rPr>
          <w:rFonts w:ascii="Arial" w:cs="Arial" w:eastAsia="Arial" w:hAnsi="Arial"/>
          <w:sz w:val="15"/>
          <w:szCs w:val="15"/>
          <w:color w:val="auto"/>
        </w:rPr>
        <w:t>®</w:t>
      </w:r>
      <w:r>
        <w:rPr>
          <w:rFonts w:ascii="Arial" w:cs="Arial" w:eastAsia="Arial" w:hAnsi="Arial"/>
          <w:sz w:val="18"/>
          <w:szCs w:val="18"/>
          <w:color w:val="auto"/>
        </w:rPr>
        <w:t>, Vantage</w:t>
      </w:r>
      <w:r>
        <w:rPr>
          <w:rFonts w:ascii="Arial" w:cs="Arial" w:eastAsia="Arial" w:hAnsi="Arial"/>
          <w:sz w:val="15"/>
          <w:szCs w:val="15"/>
          <w:color w:val="auto"/>
        </w:rPr>
        <w:t>®</w:t>
      </w:r>
      <w:r>
        <w:rPr>
          <w:rFonts w:ascii="Arial" w:cs="Arial" w:eastAsia="Arial" w:hAnsi="Arial"/>
          <w:sz w:val="18"/>
          <w:szCs w:val="18"/>
          <w:color w:val="auto"/>
        </w:rPr>
        <w:t>, Moyco</w:t>
      </w:r>
      <w:r>
        <w:rPr>
          <w:rFonts w:ascii="Arial" w:cs="Arial" w:eastAsia="Arial" w:hAnsi="Arial"/>
          <w:sz w:val="15"/>
          <w:szCs w:val="15"/>
          <w:color w:val="auto"/>
        </w:rPr>
        <w:t>®</w:t>
      </w:r>
      <w:r>
        <w:rPr>
          <w:rFonts w:ascii="Arial" w:cs="Arial" w:eastAsia="Arial" w:hAnsi="Arial"/>
          <w:sz w:val="18"/>
          <w:szCs w:val="18"/>
          <w:color w:val="auto"/>
        </w:rPr>
        <w:t>, Union Broach</w:t>
      </w:r>
      <w:r>
        <w:rPr>
          <w:rFonts w:ascii="Arial" w:cs="Arial" w:eastAsia="Arial" w:hAnsi="Arial"/>
          <w:sz w:val="15"/>
          <w:szCs w:val="15"/>
          <w:color w:val="auto"/>
        </w:rPr>
        <w:t>®</w:t>
      </w:r>
      <w:r>
        <w:rPr>
          <w:rFonts w:ascii="Arial" w:cs="Arial" w:eastAsia="Arial" w:hAnsi="Arial"/>
          <w:sz w:val="18"/>
          <w:szCs w:val="18"/>
          <w:color w:val="auto"/>
        </w:rPr>
        <w:t>, and Thompson</w:t>
      </w:r>
      <w:r>
        <w:rPr>
          <w:rFonts w:ascii="Arial" w:cs="Arial" w:eastAsia="Arial" w:hAnsi="Arial"/>
          <w:sz w:val="15"/>
          <w:szCs w:val="15"/>
          <w:color w:val="auto"/>
        </w:rPr>
        <w:t>®</w:t>
      </w:r>
      <w:r>
        <w:rPr>
          <w:rFonts w:ascii="Arial" w:cs="Arial" w:eastAsia="Arial" w:hAnsi="Arial"/>
          <w:sz w:val="18"/>
          <w:szCs w:val="18"/>
          <w:color w:val="auto"/>
        </w:rPr>
        <w:t xml:space="preserve">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Canada Microsurgical</w:t>
      </w:r>
    </w:p>
    <w:p>
      <w:pPr>
        <w:spacing w:after="0" w:line="185"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On July 5, 2006, the Company acquired a direct sales force in Canada through the acquisition of the Company’s longstanding distributor; Canada Microsurgical Ltd. (“Canada Microsurgical”). Canada Microsurgical has nine sales representatives. The Company paid $5.8 million (6.4 million Canadian dollars) for Canada Microsurgical at closing and $0.1 million of transaction-related costs. In addition, the Company paid $0.7 million (0.7 million Canadian dollars) during the third quarter of 2007 and may pay up to an additional 1.4 million Canadian dollars over the next two years, depending on the performance of the business.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KMI</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On July 31, 2006, the Company acquired the shares of Kinetikos Medical, Inc. (“KMI”) for $39.5 million in cash, subject to certain adjustments, including future payments based on the performance of the KMI business after the acquisition. No such payments were due nor made during 2006 or during the nine months of 2007.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IsoTis</w:t>
      </w:r>
      <w:r>
        <w:rPr>
          <w:rFonts w:ascii="Arial" w:cs="Arial" w:eastAsia="Arial" w:hAnsi="Arial"/>
          <w:sz w:val="18"/>
          <w:szCs w:val="18"/>
          <w:color w:val="auto"/>
        </w:rPr>
        <w:t xml:space="preserve"> — see Note 14 — Subsequent Event.</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months and nine months ended September 30, 2007 and 2006 as if the acquisitions completed by the Company during 2006 and 2007 had been completed as of the beginning of 2006. The pro forma results are based upon certain assumptions and estimates, and they give effect to actual operating results prior to the acquisitions and adjustments to reflect decreased interest income, increased interest expense, depreciation expense, intangible asset amortization, and income taxes at a rate consistent with the Company’s applicable statutory rates in each year. No effect has been given to cost reductions or operating synergies. As a result, these pro forma results do not necessarily represent results that would have occurred if the acquisitions had taken place on the basis assumed above, nor are they indicative of the expected results of future combined operations.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135,015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412,572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364,545</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9,673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27,067</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impact of the DenLite acquisition was not material to and, therefore, not included within the above pro forma results. The acquisition of IsoTis closed after September 30, 2007 and, therefore, is not included within the above pro forma results.</w:t>
      </w:r>
    </w:p>
    <w:p>
      <w:pPr>
        <w:spacing w:after="0" w:line="10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060" w:type="dxa"/>
            <w:vAlign w:val="bottom"/>
          </w:tcPr>
          <w:p>
            <w:pPr>
              <w:ind w:left="380"/>
              <w:spacing w:after="0"/>
              <w:rPr>
                <w:sz w:val="20"/>
                <w:szCs w:val="20"/>
                <w:color w:val="auto"/>
              </w:rPr>
            </w:pPr>
            <w:r>
              <w:rPr>
                <w:rFonts w:ascii="Arial" w:cs="Arial" w:eastAsia="Arial" w:hAnsi="Arial"/>
                <w:sz w:val="18"/>
                <w:szCs w:val="18"/>
                <w:color w:val="auto"/>
              </w:rPr>
              <w:t>Inventories, net consisted of the following (in thousands):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0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December 31,</w:t>
            </w:r>
          </w:p>
        </w:tc>
      </w:tr>
      <w:tr>
        <w:trPr>
          <w:trHeight w:val="230"/>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Work-in process</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24,352</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14,416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93,182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74,324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Less: reserves</w:t>
            </w: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(18,499)</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(14,786)</w:t>
            </w:r>
          </w:p>
        </w:tc>
      </w:tr>
      <w:tr>
        <w:trPr>
          <w:trHeight w:val="27"/>
        </w:trPr>
        <w:tc>
          <w:tcPr>
            <w:tcW w:w="7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126,371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94,387</w:t>
            </w:r>
          </w:p>
        </w:tc>
      </w:tr>
      <w:tr>
        <w:trPr>
          <w:trHeight w:val="20"/>
        </w:trPr>
        <w:tc>
          <w:tcPr>
            <w:tcW w:w="7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Changes in the carrying amount of goodwill for the nine months ended September 30, 2007, were as follows (in thousands):</w:t>
      </w:r>
    </w:p>
    <w:p>
      <w:pPr>
        <w:sectPr>
          <w:pgSz w:w="11900" w:h="16838" w:orient="portrait"/>
          <w:cols w:equalWidth="0" w:num="1">
            <w:col w:w="10219"/>
          </w:cols>
          <w:pgMar w:left="240" w:top="419" w:right="1440" w:bottom="1440" w:gutter="0" w:footer="0" w:header="0"/>
        </w:sect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DenLite acquisition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Miltex tax-related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Physician Industries acquisition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LXU Healthcare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Canada Microsurgical earnout payment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September 30, 2007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480" w:hanging="479"/>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162,414</w:t>
      </w:r>
    </w:p>
    <w:p>
      <w:pPr>
        <w:spacing w:after="0" w:line="4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5"/>
          <w:szCs w:val="15"/>
          <w:color w:val="auto"/>
        </w:rPr>
        <w:t>207</w:t>
      </w:r>
    </w:p>
    <w:p>
      <w:pPr>
        <w:spacing w:after="0" w:line="44"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1,028</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1,301</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8,146</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682</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5,482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77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 w:lineRule="exact"/>
        <w:rPr>
          <w:sz w:val="20"/>
          <w:szCs w:val="20"/>
          <w:color w:val="auto"/>
        </w:rPr>
      </w:pPr>
    </w:p>
    <w:p>
      <w:pPr>
        <w:ind w:left="480" w:hanging="479"/>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179,260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6775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6775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160" w:space="720"/>
            <w:col w:w="1339"/>
          </w:cols>
          <w:pgMar w:left="240" w:top="419" w:right="1440" w:bottom="1440" w:gutter="0" w:footer="0" w:header="0"/>
          <w:type w:val="continuous"/>
        </w:sectPr>
      </w:pPr>
    </w:p>
    <w:p>
      <w:pPr>
        <w:spacing w:after="0" w:line="3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assessment of the recoverability of goodwill is based upon a comparison of the carrying value of goodwill with its estimated fair value, determined using a discounted cash flow methodology. This test was performed during the second quarter and resulted in no impairment for any of the periods presented.</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320" w:type="dxa"/>
            <w:vAlign w:val="bottom"/>
            <w:gridSpan w:val="12"/>
          </w:tcPr>
          <w:p>
            <w:pPr>
              <w:ind w:left="380"/>
              <w:spacing w:after="0"/>
              <w:rPr>
                <w:sz w:val="20"/>
                <w:szCs w:val="20"/>
                <w:color w:val="auto"/>
              </w:rPr>
            </w:pPr>
            <w:r>
              <w:rPr>
                <w:rFonts w:ascii="Arial" w:cs="Arial" w:eastAsia="Arial" w:hAnsi="Arial"/>
                <w:sz w:val="18"/>
                <w:szCs w:val="18"/>
                <w:color w:val="auto"/>
                <w:w w:val="90"/>
              </w:rPr>
              <w:t>The components of the Company’s identifiable intangible assets were as follows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24"/>
                <w:szCs w:val="24"/>
                <w:color w:val="auto"/>
              </w:rPr>
            </w:pPr>
          </w:p>
        </w:tc>
        <w:tc>
          <w:tcPr>
            <w:tcW w:w="2500" w:type="dxa"/>
            <w:vAlign w:val="bottom"/>
            <w:gridSpan w:val="7"/>
          </w:tcPr>
          <w:p>
            <w:pPr>
              <w:jc w:val="right"/>
              <w:ind w:right="820"/>
              <w:spacing w:after="0"/>
              <w:rPr>
                <w:sz w:val="20"/>
                <w:szCs w:val="20"/>
                <w:color w:val="auto"/>
              </w:rPr>
            </w:pPr>
            <w:r>
              <w:rPr>
                <w:rFonts w:ascii="Arial" w:cs="Arial" w:eastAsia="Arial" w:hAnsi="Arial"/>
                <w:sz w:val="18"/>
                <w:szCs w:val="18"/>
                <w:color w:val="auto"/>
              </w:rPr>
              <w:t>September 30, 2007</w:t>
            </w:r>
          </w:p>
        </w:tc>
        <w:tc>
          <w:tcPr>
            <w:tcW w:w="200" w:type="dxa"/>
            <w:vAlign w:val="bottom"/>
          </w:tcPr>
          <w:p>
            <w:pPr>
              <w:spacing w:after="0"/>
              <w:rPr>
                <w:sz w:val="24"/>
                <w:szCs w:val="2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color w:val="auto"/>
              </w:rPr>
              <w:t>December 31, 2006</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90"/>
              </w:rPr>
              <w:t>Accumulated</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Life</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Cost</w:t>
            </w:r>
          </w:p>
        </w:tc>
        <w:tc>
          <w:tcPr>
            <w:tcW w:w="2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Cost</w:t>
            </w:r>
          </w:p>
        </w:tc>
        <w:tc>
          <w:tcPr>
            <w:tcW w:w="1060" w:type="dxa"/>
            <w:vAlign w:val="bottom"/>
            <w:gridSpan w:val="3"/>
          </w:tcPr>
          <w:p>
            <w:pPr>
              <w:spacing w:after="0"/>
              <w:rPr>
                <w:sz w:val="20"/>
                <w:szCs w:val="20"/>
                <w:color w:val="auto"/>
              </w:rPr>
            </w:pPr>
            <w:r>
              <w:rPr>
                <w:rFonts w:ascii="Arial" w:cs="Arial" w:eastAsia="Arial" w:hAnsi="Arial"/>
                <w:sz w:val="18"/>
                <w:szCs w:val="18"/>
                <w:color w:val="auto"/>
              </w:rPr>
              <w:t>Amortization</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12 years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w:t>
            </w: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12 years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72,455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(15,424)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67,872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(10,671)</w:t>
            </w: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14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Trademarks/brand names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34 years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35,635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(4,820)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35,350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(4,029)</w:t>
            </w: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5 years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(4,079)</w:t>
            </w: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Supplier relationships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30 years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(1,351)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29,300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15 years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208,525</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(37,219)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(28,809)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181,194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179,716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Annual amortization expense is expected to approximate $15.1 million in 2007, $15.1 million in 2008, $13.7 million in 2009, $11.9 million in 2010, and $11.8 million in 2011. Identifiable intangible assets are initially recorded at fair market value at the time of acquisition generally using an income or cost approach.</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ACTIVITIES</w:t>
      </w:r>
    </w:p>
    <w:p>
      <w:pPr>
        <w:spacing w:after="0" w:line="189"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In October 2006, the Company announced plans to restructure our French sales and marketing organization, which includes elimination of a number of positions at our Biot, France facility, and the closing of our facility in Nantes, France. These activities have been transferred to the sales and marketing headquarters in Lyon, France and payments should be completed in early 2008.</w:t>
      </w:r>
    </w:p>
    <w:p>
      <w:pPr>
        <w:spacing w:after="0" w:line="12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charges during the three and nine months ended September 30, 2007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Cost of</w:t>
            </w:r>
          </w:p>
        </w:tc>
        <w:tc>
          <w:tcPr>
            <w:tcW w:w="1340" w:type="dxa"/>
            <w:vAlign w:val="bottom"/>
            <w:gridSpan w:val="3"/>
          </w:tcPr>
          <w:p>
            <w:pPr>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General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Sales</w:t>
            </w:r>
          </w:p>
        </w:tc>
        <w:tc>
          <w:tcPr>
            <w:tcW w:w="1340" w:type="dxa"/>
            <w:vAlign w:val="bottom"/>
            <w:gridSpan w:val="3"/>
          </w:tcPr>
          <w:p>
            <w:pPr>
              <w:spacing w:after="0"/>
              <w:rPr>
                <w:sz w:val="20"/>
                <w:szCs w:val="20"/>
                <w:color w:val="auto"/>
              </w:rPr>
            </w:pPr>
            <w:r>
              <w:rPr>
                <w:rFonts w:ascii="Arial" w:cs="Arial" w:eastAsia="Arial" w:hAnsi="Arial"/>
                <w:sz w:val="18"/>
                <w:szCs w:val="18"/>
                <w:color w:val="auto"/>
              </w:rPr>
              <w:t>Development</w:t>
            </w:r>
          </w:p>
        </w:tc>
        <w:tc>
          <w:tcPr>
            <w:tcW w:w="146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Three months ended September 30, 2007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bl>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reconciliation of the restructuring accrual activity recorded during 2007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Employee</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Facility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Termination</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Exit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Costs</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Payments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Acquired through acquisitions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Effects of Foreign Exchange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7"/>
        </w:trPr>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0"/>
        </w:trPr>
        <w:tc>
          <w:tcPr>
            <w:tcW w:w="4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expects to pay all of the remaining employee termination costs by early 2008.</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DEBT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pays interest on its $120 million contingent convertible subordinated notes (the “2008 Notes”) at an annual rate of 2.5% each September 15 and March 15. The Company will also pay contingent interest on the 2008 Notes if, at thirty days prior to maturity, the Company’s common stock price is greater than $37.56. The contingent interest will be payable at maturity for each of the last three years the 2008 Notes remain outstanding in an amount equal to the greater of (1) 0.50% of the face amount of the 2008 Notes and (2) the amount of regular cash dividends paid during each such year on the number of shares of common stock into which each 2008 Note is convertible. Holders of the 2008 Notes may convert the 2008 Notes under certain circumstances, including when the market price of its common stock on the previous trading day is more than $37.56 per share, based on an initial conversion price of $34.15 per share. During the nine months ended September 30, 2007, the Company’s stock price exceeded $37.56 and, therefore, the total amount outstanding under the 2008 Notes has been classified as current. Additionally, as of September 30, 2007, $38,000 of the 2008 Notes have been converted to common stock or cash.</w:t>
      </w:r>
    </w:p>
    <w:p>
      <w:pPr>
        <w:spacing w:after="0" w:line="137"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2008 Notes are general, unsecured obligations of the Company and are subordinate to any senior indebtedness. The Company cannot redeem the 2008 Notes prior to their maturity, and the 2008 Notes’ holders may compel the Company to repurchase the 2008 Notes upon a change of control. The fair value of the Company’s $120.0 million principal amount 2.5% contingent convertible subordinated notes outstanding at September 30, 2007 was approximately $112.4 million. There are no financial covenants associated with the convertible 2008 Notes.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 The fair value of the 2010 Notes and the 2012 Notes at September 30, 2007 was approximately $146.7 million and $134.7 million, respectively.</w:t>
      </w:r>
    </w:p>
    <w:p>
      <w:pPr>
        <w:spacing w:after="0" w:line="118"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September 30, 2007, none of these conditions existed and, as a result, the $330 million balance of the 2010 Notes and the 2012 Notes is classified as long-term.</w:t>
      </w:r>
    </w:p>
    <w:p>
      <w:pPr>
        <w:spacing w:after="0" w:line="15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80" w:firstLine="38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60"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initial strike price of the call transactions is (1) for the 2010 Notes, approximately $66.26 per share of Common Stock, and</w:t>
      </w:r>
    </w:p>
    <w:p>
      <w:pPr>
        <w:spacing w:after="0" w:line="23" w:lineRule="exact"/>
        <w:rPr>
          <w:sz w:val="20"/>
          <w:szCs w:val="20"/>
          <w:color w:val="auto"/>
        </w:rPr>
      </w:pPr>
    </w:p>
    <w:p>
      <w:pPr>
        <w:jc w:val="both"/>
        <w:ind w:left="340" w:right="1360" w:hanging="8"/>
        <w:spacing w:after="0" w:line="277" w:lineRule="auto"/>
        <w:tabs>
          <w:tab w:leader="none" w:pos="613"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98" w:lineRule="exact"/>
        <w:rPr>
          <w:sz w:val="20"/>
          <w:szCs w:val="20"/>
          <w:color w:val="auto"/>
        </w:rPr>
      </w:pPr>
    </w:p>
    <w:p>
      <w:pPr>
        <w:jc w:val="both"/>
        <w:ind w:left="340" w:right="1560" w:firstLine="381"/>
        <w:spacing w:after="0" w:line="264" w:lineRule="auto"/>
        <w:rPr>
          <w:sz w:val="20"/>
          <w:szCs w:val="20"/>
          <w:color w:val="auto"/>
        </w:rPr>
      </w:pPr>
      <w:r>
        <w:rPr>
          <w:rFonts w:ascii="Arial" w:cs="Arial" w:eastAsia="Arial" w:hAnsi="Arial"/>
          <w:sz w:val="18"/>
          <w:szCs w:val="18"/>
          <w:color w:val="auto"/>
        </w:rPr>
        <w:t>The Company has a $300 million, five-year, senior secured revolving credit facility, which it utilizes for working capital, capital expenditures, share repurchases, acquisitions and other general corporate purposes. We had no outstanding borrowings under the credit facility as of September 30, 2007.</w:t>
      </w:r>
    </w:p>
    <w:p>
      <w:pPr>
        <w:spacing w:after="0" w:line="141" w:lineRule="exact"/>
        <w:rPr>
          <w:sz w:val="20"/>
          <w:szCs w:val="20"/>
          <w:color w:val="auto"/>
        </w:rPr>
      </w:pPr>
    </w:p>
    <w:p>
      <w:pPr>
        <w:jc w:val="both"/>
        <w:ind w:left="340" w:right="1360" w:firstLine="389"/>
        <w:spacing w:after="0" w:line="312" w:lineRule="auto"/>
        <w:rPr>
          <w:sz w:val="20"/>
          <w:szCs w:val="20"/>
          <w:color w:val="auto"/>
        </w:rPr>
      </w:pPr>
      <w:r>
        <w:rPr>
          <w:rFonts w:ascii="Arial" w:cs="Arial" w:eastAsia="Arial" w:hAnsi="Arial"/>
          <w:sz w:val="16"/>
          <w:szCs w:val="16"/>
          <w:color w:val="auto"/>
        </w:rPr>
        <w:t>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jc w:val="both"/>
        <w:ind w:left="340" w:right="1360" w:firstLine="389"/>
        <w:spacing w:after="0" w:line="273" w:lineRule="auto"/>
        <w:rPr>
          <w:sz w:val="20"/>
          <w:szCs w:val="20"/>
          <w:color w:val="auto"/>
        </w:rPr>
      </w:pPr>
      <w:r>
        <w:rPr>
          <w:rFonts w:ascii="Arial" w:cs="Arial" w:eastAsia="Arial" w:hAnsi="Arial"/>
          <w:sz w:val="17"/>
          <w:szCs w:val="17"/>
          <w:color w:val="auto"/>
        </w:rPr>
        <w:t>As of September 30, 2007,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or the 1996 Plan.</w:t>
      </w:r>
    </w:p>
    <w:p>
      <w:pPr>
        <w:spacing w:after="0" w:line="138" w:lineRule="exact"/>
        <w:rPr>
          <w:sz w:val="20"/>
          <w:szCs w:val="20"/>
          <w:color w:val="auto"/>
        </w:rPr>
      </w:pPr>
    </w:p>
    <w:p>
      <w:pPr>
        <w:jc w:val="both"/>
        <w:ind w:left="340" w:right="1360" w:firstLine="389"/>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summary of stock option activity for the nine-month period ended September 30, 2007 (shares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Wtd. Avg.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Remaining</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Wtd. Avg.</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Ex. Price</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Term Years</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49.33</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27.10</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35.11</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2007</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$41 million</w:t>
            </w:r>
          </w:p>
        </w:tc>
        <w:tc>
          <w:tcPr>
            <w:tcW w:w="13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Options exercisable at September 30, 2007</w:t>
            </w:r>
          </w:p>
        </w:tc>
        <w:tc>
          <w:tcPr>
            <w:tcW w:w="980" w:type="dxa"/>
            <w:vAlign w:val="bottom"/>
          </w:tcPr>
          <w:p>
            <w:pPr>
              <w:jc w:val="right"/>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27.09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$52 million</w:t>
            </w:r>
          </w:p>
        </w:tc>
        <w:tc>
          <w:tcPr>
            <w:tcW w:w="1360" w:type="dxa"/>
            <w:vAlign w:val="bottom"/>
          </w:tcPr>
          <w:p>
            <w:pPr>
              <w:spacing w:after="0"/>
              <w:rPr>
                <w:sz w:val="19"/>
                <w:szCs w:val="19"/>
                <w:color w:val="auto"/>
              </w:rPr>
            </w:pPr>
          </w:p>
        </w:tc>
      </w:tr>
      <w:tr>
        <w:trPr>
          <w:trHeight w:val="782"/>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The intrinsic value of options exercised during the nine months ended September 30, 2007 and 2006 was $11.7 million and $7.7 million, respectively. The Company granted options of 31,420 shares during the nine months ended September 30, 2007, and the weighted-average per share fair value of stock options granted was $49.33 during the nine months ended September 30, 2007.</w:t>
      </w:r>
    </w:p>
    <w:p>
      <w:pPr>
        <w:spacing w:after="0" w:line="120"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As of September 30, 2007, there were approximately $11.8 million of total unrecognized compensation costs related to unvested stock options. These costs are expected to be recognized over a weighted-average period of approximately 3.5 years.</w:t>
      </w:r>
    </w:p>
    <w:p>
      <w:pPr>
        <w:spacing w:after="0" w:line="10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fair value of options granted prior to October 1, 2004 was calculated using the Black-Scholes model, while the fair value of options granted on or after October 1, 2004 was calculated using a binomial distribution model.</w:t>
      </w:r>
    </w:p>
    <w:p>
      <w:pPr>
        <w:spacing w:after="0" w:line="130"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Expected volatilities are based on historical volatility of the Company’s stock price with forward-looking assumptions. The expected life of stock options is estimated based on historical data on exercises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 The estimate of the forfeiture rate is based primarily upon historical experience of employee turnover. As individual grant awards become fully vested, stock-based compensation expense is adjusted to recognize actual forfeitures.</w:t>
      </w:r>
    </w:p>
    <w:p>
      <w:pPr>
        <w:spacing w:after="0" w:line="15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used the following weighted-average assumptions to calculate the fair value for stock options granted during the following periods: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520" w:type="dxa"/>
            <w:vAlign w:val="bottom"/>
            <w:gridSpan w:val="5"/>
          </w:tcPr>
          <w:p>
            <w:pPr>
              <w:ind w:left="440"/>
              <w:spacing w:after="0"/>
              <w:rPr>
                <w:sz w:val="20"/>
                <w:szCs w:val="20"/>
                <w:color w:val="auto"/>
              </w:rPr>
            </w:pPr>
            <w:r>
              <w:rPr>
                <w:rFonts w:ascii="Arial" w:cs="Arial" w:eastAsia="Arial" w:hAnsi="Arial"/>
                <w:sz w:val="18"/>
                <w:szCs w:val="18"/>
                <w:color w:val="auto"/>
              </w:rPr>
              <w:t>Nine Months Ended</w:t>
            </w:r>
          </w:p>
        </w:tc>
      </w:tr>
      <w:tr>
        <w:trPr>
          <w:trHeight w:val="230"/>
        </w:trPr>
        <w:tc>
          <w:tcPr>
            <w:tcW w:w="43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 30,</w:t>
            </w:r>
          </w:p>
        </w:tc>
        <w:tc>
          <w:tcPr>
            <w:tcW w:w="6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w w:val="92"/>
              </w:rPr>
              <w:t>September,</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2006</w:t>
            </w:r>
          </w:p>
        </w:tc>
        <w:tc>
          <w:tcPr>
            <w:tcW w:w="460" w:type="dxa"/>
            <w:vAlign w:val="bottom"/>
          </w:tcPr>
          <w:p>
            <w:pPr>
              <w:spacing w:after="0"/>
              <w:rPr>
                <w:sz w:val="18"/>
                <w:szCs w:val="18"/>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2006</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w:t>
            </w: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4.3 to 5.1%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4.3 to 5.1%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Expected life of option from grant date</w:t>
            </w:r>
          </w:p>
        </w:tc>
        <w:tc>
          <w:tcPr>
            <w:tcW w:w="1700" w:type="dxa"/>
            <w:vAlign w:val="bottom"/>
            <w:gridSpan w:val="3"/>
          </w:tcPr>
          <w:p>
            <w:pPr>
              <w:ind w:left="480"/>
              <w:spacing w:after="0"/>
              <w:rPr>
                <w:sz w:val="20"/>
                <w:szCs w:val="20"/>
                <w:color w:val="auto"/>
              </w:rPr>
            </w:pPr>
            <w:r>
              <w:rPr>
                <w:rFonts w:ascii="Arial" w:cs="Arial" w:eastAsia="Arial" w:hAnsi="Arial"/>
                <w:sz w:val="18"/>
                <w:szCs w:val="18"/>
                <w:color w:val="auto"/>
              </w:rPr>
              <w:t>6.1 years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1640" w:type="dxa"/>
            <w:vAlign w:val="bottom"/>
            <w:gridSpan w:val="3"/>
          </w:tcPr>
          <w:p>
            <w:pPr>
              <w:ind w:left="460"/>
              <w:spacing w:after="0"/>
              <w:rPr>
                <w:sz w:val="20"/>
                <w:szCs w:val="20"/>
                <w:color w:val="auto"/>
              </w:rPr>
            </w:pPr>
            <w:r>
              <w:rPr>
                <w:rFonts w:ascii="Arial" w:cs="Arial" w:eastAsia="Arial" w:hAnsi="Arial"/>
                <w:sz w:val="18"/>
                <w:szCs w:val="18"/>
                <w:color w:val="auto"/>
              </w:rPr>
              <w:t>6.1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 years</w:t>
            </w:r>
          </w:p>
        </w:tc>
      </w:tr>
    </w:tbl>
    <w:p>
      <w:pPr>
        <w:spacing w:after="0" w:line="147"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received proceeds of $16.6 million and $9.2 million from stock option exercises for the nine months ended September 30, 2007 and 2006,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is a summary of awards of restricted stock, performance stock and contract stock for the nine-month period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2007 (shares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5"/>
          </w:tcPr>
          <w:p>
            <w:pPr>
              <w:jc w:val="right"/>
              <w:ind w:right="400"/>
              <w:spacing w:after="0"/>
              <w:rPr>
                <w:sz w:val="20"/>
                <w:szCs w:val="20"/>
                <w:color w:val="auto"/>
              </w:rPr>
            </w:pPr>
            <w:r>
              <w:rPr>
                <w:rFonts w:ascii="Arial" w:cs="Arial" w:eastAsia="Arial" w:hAnsi="Arial"/>
                <w:sz w:val="18"/>
                <w:szCs w:val="18"/>
                <w:color w:val="auto"/>
              </w:rPr>
              <w:t>Performance Stock and</w:t>
            </w:r>
          </w:p>
        </w:tc>
      </w:tr>
      <w:tr>
        <w:trPr>
          <w:trHeight w:val="230"/>
        </w:trPr>
        <w:tc>
          <w:tcPr>
            <w:tcW w:w="4580" w:type="dxa"/>
            <w:vAlign w:val="bottom"/>
          </w:tcPr>
          <w:p>
            <w:pPr>
              <w:spacing w:after="0"/>
              <w:rPr>
                <w:sz w:val="20"/>
                <w:szCs w:val="20"/>
                <w:color w:val="auto"/>
              </w:rPr>
            </w:pPr>
          </w:p>
        </w:tc>
        <w:tc>
          <w:tcPr>
            <w:tcW w:w="2740" w:type="dxa"/>
            <w:vAlign w:val="bottom"/>
            <w:gridSpan w:val="6"/>
          </w:tcPr>
          <w:p>
            <w:pPr>
              <w:jc w:val="right"/>
              <w:ind w:right="680"/>
              <w:spacing w:after="0"/>
              <w:rPr>
                <w:sz w:val="20"/>
                <w:szCs w:val="20"/>
                <w:color w:val="auto"/>
              </w:rPr>
            </w:pPr>
            <w:r>
              <w:rPr>
                <w:rFonts w:ascii="Arial" w:cs="Arial" w:eastAsia="Arial" w:hAnsi="Arial"/>
                <w:sz w:val="18"/>
                <w:szCs w:val="18"/>
                <w:color w:val="auto"/>
              </w:rPr>
              <w:t>Restricted Stock Awards</w:t>
            </w:r>
          </w:p>
        </w:tc>
        <w:tc>
          <w:tcPr>
            <w:tcW w:w="2400" w:type="dxa"/>
            <w:vAlign w:val="bottom"/>
            <w:gridSpan w:val="5"/>
          </w:tcPr>
          <w:p>
            <w:pPr>
              <w:jc w:val="right"/>
              <w:ind w:right="420"/>
              <w:spacing w:after="0"/>
              <w:rPr>
                <w:sz w:val="20"/>
                <w:szCs w:val="20"/>
                <w:color w:val="auto"/>
              </w:rPr>
            </w:pPr>
            <w:r>
              <w:rPr>
                <w:rFonts w:ascii="Arial" w:cs="Arial" w:eastAsia="Arial" w:hAnsi="Arial"/>
                <w:sz w:val="18"/>
                <w:szCs w:val="18"/>
                <w:color w:val="auto"/>
              </w:rPr>
              <w:t>Contract Stock Awards</w:t>
            </w:r>
          </w:p>
        </w:tc>
      </w:tr>
      <w:tr>
        <w:trPr>
          <w:trHeight w:val="195"/>
        </w:trPr>
        <w:tc>
          <w:tcPr>
            <w:tcW w:w="45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4"/>
              </w:rPr>
              <w:t>Wtd. Avg.</w:t>
            </w:r>
          </w:p>
        </w:tc>
        <w:tc>
          <w:tcPr>
            <w:tcW w:w="3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Wtd. Avg.</w:t>
            </w: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Fair Value</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Fair Value</w:t>
            </w:r>
          </w:p>
        </w:tc>
      </w:tr>
      <w:tr>
        <w:trPr>
          <w:trHeight w:val="230"/>
        </w:trPr>
        <w:tc>
          <w:tcPr>
            <w:tcW w:w="4580" w:type="dxa"/>
            <w:vAlign w:val="bottom"/>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Per Share</w:t>
            </w:r>
          </w:p>
        </w:tc>
        <w:tc>
          <w:tcPr>
            <w:tcW w:w="380" w:type="dxa"/>
            <w:vAlign w:val="bottom"/>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3"/>
              </w:rPr>
              <w:t>Per Share</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45.91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Cancellations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40.22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35.82</w:t>
            </w:r>
          </w:p>
        </w:tc>
      </w:tr>
      <w:tr>
        <w:trPr>
          <w:trHeight w:val="27"/>
        </w:trPr>
        <w:tc>
          <w:tcPr>
            <w:tcW w:w="4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Unvested, September 30, 2007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September 30, 2007, there were approximately $11 million of total unrecognized compensation costs related to unvested awards. These costs are expected to be recognized over a weighted-average period of approximately 2.9 years. The Company granted 139,045 restricted stock awards with a weighted average fair value of $46.14 during the nine months ended September 30, 2007.</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5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of Financial Accounting Standards No. 123(R) — Share-Based Payment, a Revision of FASB Statement 123 (“SFAS 123(R)”).</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 PLANS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maintains defined benefit pension plans that cover employees in its manufacturing plants located in York, Pennsylvania (the “Miltex Plan”), Andover, United Kingdom and Tuttlingen, Germany (the “Germany Plan”). The Miltex Plan is frozen and all future benefits were curtailed prior to the acquisition of Miltex by the Company. The Company closed the Tuttlingen, Germany plant in December, 2005. However, the Germany Plan was not terminated, and the Company remains obligated for the accrued benefits related to this plan. The plans cover certain current and former employees. The plans are no longer open to new participants.</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0"/>
        </w:trPr>
        <w:tc>
          <w:tcPr>
            <w:tcW w:w="3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10"/>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7"/>
        </w:trPr>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0"/>
        </w:trPr>
        <w:tc>
          <w:tcPr>
            <w:tcW w:w="3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made $473,000 and $126,000 of contributions to its defined benefit pension plans for the nine months ended September 30, 2007 and 2006,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TREASURY STOCK</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In October 2006, the Company’s Board of Directors authorized the Company to repurchase shares of its common stock for an aggregate purchase price not to exceed $75 million through December 31, 2007 and terminated its prior repurchase program. The Company purchased 264,000 shares of its common stock for $11.1 million during the first three months of 2007 under this program. On May 17, 2007, the Company’s Board of Directors terminated the repurchase authorization it adopted in October 2006 and authorized the Company to repurchase shares of its common stock for an aggregate purchase price not to exceed $75 million through December 31, 2007. The Company did not repurchase any shares of its common stock under this program. On October 30, 2007, the Company’s Board of Directors terminated the repurchase authorization it adopted on May 17, 2007 and authorized the company to repurchase shares of its common stock for an aggregate purchase price not to exceed $75 million through December 31, 2008. Shares may be purchased either in the open market or in privately negotiated transactions. As of September 30, 2007, there remained $75 million available for share repurchases under this authorization. The Company did not purchase any shares of its common stock under this repurchase program during the three months ended September 30, 2007.</w:t>
      </w: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May 2, 2007, the Company’s Board of Directors authorized a one-time repurchase of shares of its common stock, in connection with the Notes offering that closed in June 2007, for an aggregate purchase price not to exceed $150 million. Under this authorization, the Company repurchased 1,443,000 outstanding shares in privately negotiated transactions at the closing price of the common stock on June 5, 2007 of $51.97 for approximately $75 million.</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10. COMPREHENSIVE 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580" w:type="dxa"/>
            <w:vAlign w:val="bottom"/>
          </w:tcPr>
          <w:p>
            <w:pPr>
              <w:ind w:left="380"/>
              <w:spacing w:after="0"/>
              <w:rPr>
                <w:sz w:val="20"/>
                <w:szCs w:val="20"/>
                <w:color w:val="auto"/>
              </w:rPr>
            </w:pPr>
            <w:r>
              <w:rPr>
                <w:rFonts w:ascii="Arial" w:cs="Arial" w:eastAsia="Arial" w:hAnsi="Arial"/>
                <w:sz w:val="18"/>
                <w:szCs w:val="18"/>
                <w:color w:val="auto"/>
                <w:w w:val="96"/>
              </w:rPr>
              <w:t>Comprehensive income was as follows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4"/>
          </w:tcPr>
          <w:p>
            <w:pPr>
              <w:jc w:val="right"/>
              <w:ind w:right="170"/>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9,673</w:t>
            </w:r>
          </w:p>
        </w:tc>
        <w:tc>
          <w:tcPr>
            <w:tcW w:w="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2,594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8,393</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1,312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12,597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7,310</w:t>
            </w: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holding gains on available-for-sale securities,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Reclassification adjustment for gains (losses) included 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net income, net of tax</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adjustment, net of tax</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4,136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27,238</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NET INCOME PER SHARE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9,673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28,089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29,457</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9,673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28,089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Add back: Interest expense and other income/(expense)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convertible notes payable, net of tax</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income available to common stock</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 Basic</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4380" w:type="dxa"/>
            <w:vAlign w:val="bottom"/>
          </w:tcPr>
          <w:p>
            <w:pPr>
              <w:ind w:left="200"/>
              <w:spacing w:after="0"/>
              <w:rPr>
                <w:sz w:val="20"/>
                <w:szCs w:val="20"/>
                <w:color w:val="auto"/>
              </w:rPr>
            </w:pPr>
            <w:r>
              <w:rPr>
                <w:rFonts w:ascii="Arial" w:cs="Arial" w:eastAsia="Arial" w:hAnsi="Arial"/>
                <w:sz w:val="18"/>
                <w:szCs w:val="18"/>
                <w:color w:val="auto"/>
              </w:rPr>
              <w:t>Shares issuable upon conversion of notes payable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for diluted earnings per</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29,867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29,834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30,162</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0.94</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Options outstanding at September 30, 2007 and 2006 to acquire approximately 0.2 million shares and 1.8 million shares of common stock, respectively, were excluded from the computation of diluted net income per share for the three months ended September 30, 2007 and 2006, respectively, because their effects would be anti-dilutive. Options outstanding at September 30, 2007 and 2006 to acquire approximately 0.5 million shares and 1.9 million shares of common stock, respectively, were excluded from the computation of diluted net income per share for the nine months ended September 30, 2007 and 2006, respectively, because their effects would be anti-dilutive. The Company excluded from the computation of diluted earnings per share for the three months and nine months ended September 30, 2006 approximately 3.5 million shares issuable upon conversion of its 2008 convertible notes payable because their effects would be anti-dilutive.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0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presents its revenues in two categories: Neurosurgical and Orthopedic Implants and Medical Surgical Equipment.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revenues were as follows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Medical Surgical Equipment and other</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85,873</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73,511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247,177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175,125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Neurosurgical and Orthopedic Implants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145,637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118,778</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135,015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392,814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293,903</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Certain of the Company’s products, including the DuraGen</w:t>
      </w:r>
      <w:r>
        <w:rPr>
          <w:rFonts w:ascii="Arial" w:cs="Arial" w:eastAsia="Arial" w:hAnsi="Arial"/>
          <w:sz w:val="14"/>
          <w:szCs w:val="14"/>
          <w:color w:val="auto"/>
        </w:rPr>
        <w:t>®</w:t>
      </w:r>
      <w:r>
        <w:rPr>
          <w:rFonts w:ascii="Arial" w:cs="Arial" w:eastAsia="Arial" w:hAnsi="Arial"/>
          <w:sz w:val="17"/>
          <w:szCs w:val="17"/>
          <w:color w:val="auto"/>
        </w:rPr>
        <w:t xml:space="preserve"> and NeuraGen™ product families and the INTEGRA</w:t>
      </w:r>
      <w:r>
        <w:rPr>
          <w:rFonts w:ascii="Arial" w:cs="Arial" w:eastAsia="Arial" w:hAnsi="Arial"/>
          <w:sz w:val="14"/>
          <w:szCs w:val="14"/>
          <w:color w:val="auto"/>
        </w:rPr>
        <w:t>®</w:t>
      </w:r>
      <w:r>
        <w:rPr>
          <w:rFonts w:ascii="Arial" w:cs="Arial" w:eastAsia="Arial" w:hAnsi="Arial"/>
          <w:sz w:val="17"/>
          <w:szCs w:val="17"/>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23% of total revenues in each of the three-month periods ended September 30, 2007 and 2006, and 23% and 26% of total revenues in each of the nine-month periods ending September 30, 2007 and 2006, respectively. Accordingly, a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States</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Foreign</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195"/>
        </w:trPr>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September 30,</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105,594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135,015</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Three months ended September 30,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88,740</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21,165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2,815</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3,927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116,647</w:t>
            </w:r>
          </w:p>
        </w:tc>
      </w:t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8"/>
              </w:rPr>
              <w:t>Nine months ended September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298,378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61,155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392,814</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w w:val="98"/>
              </w:rPr>
              <w:t>Nine months ended September 30,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220,393</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56,884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8,809</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7,817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293,903</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3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 xml:space="preserve">In May 2006, Codman &amp; Shurtleff, Inc. (“Codman”),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 </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The action seeks declaratory relief that Codman’s DURAFORM™ product does not infringe the Company’s patent and that the Company’s patent is invalid. Codman does not seek either damages from Integra or injunctive relief for selling the DuraGen </w:t>
      </w:r>
      <w:r>
        <w:rPr>
          <w:rFonts w:ascii="Arial" w:cs="Arial" w:eastAsia="Arial" w:hAnsi="Arial"/>
          <w:sz w:val="15"/>
          <w:szCs w:val="15"/>
          <w:color w:val="auto"/>
        </w:rPr>
        <w:t>®</w:t>
      </w:r>
      <w:r>
        <w:rPr>
          <w:rFonts w:ascii="Arial" w:cs="Arial" w:eastAsia="Arial" w:hAnsi="Arial"/>
          <w:sz w:val="18"/>
          <w:szCs w:val="18"/>
          <w:color w:val="auto"/>
        </w:rPr>
        <w:t xml:space="preserve"> Dural Graft Matrix. The Company has filed a counterclaim against Codman, alleging that Codman’s DURAFORM™ product infringes the ‘895 Patent, seeking injunctive relief preventing the sale and use of DURAFORM™, and seeking damages, including treble damages, for past infringement.</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July 1996, the Company sued Merck KGaA, a German corporation, seeking damages for patent infringement. The patents in question are part of a group of patents granted to The Burnham Institute and licensed by the Company that are based on the interaction between a family of cell surface proteins called integrins and the arginine-glycine-aspartic acid peptide sequence found in many extra cellular matrix proteins.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case has been tried, appealed, returned to the trial court and further appealed. Most recently, on July 27, 2007, the United States Court of Appeals for the Federal Circuit reversed the judgment of the United States District Court and held that the evidence did not support the jury’s verdict that Merck KGaA infringed on the Company’s patents. In October 2007, the parties entered into a stipulation that concludes the case upon the Company’s payment to Merck of fees relating to certain expenses of Merck. The disposition of this case does not affect any of the Company’s products or development projects.</w:t>
      </w:r>
    </w:p>
    <w:p>
      <w:pPr>
        <w:spacing w:after="0" w:line="13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and cash flows in a particular period could be materially affected by these contingencies or the costs related thereto.</w:t>
      </w:r>
    </w:p>
    <w:p>
      <w:pPr>
        <w:spacing w:after="0" w:line="16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Our international operations subject us to customs, import-export and sanctioned country laws. These laws restrict, and in some cases prohibit, United States companies from directly or indirectly selling goods, technology or services to people or entities in certain countries. These laws also prohibit transactions with certain designated persons. In addition, the United States’ foreign corrupt practices laws could inhibit our ability to transact business in countries where companies that are not subject to those laws compete against the Company and engage in practices that such laws prohibit the Company from engaging in.</w:t>
      </w:r>
    </w:p>
    <w:p>
      <w:pPr>
        <w:spacing w:after="0" w:line="13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accrues for loss contingencies in accordance with Statement of Financial Accounting Standards No. 5 — Accounting for Contingencies;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in connection with loss contingencies as those fees are incurred by outside counsel as a period cost.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SUBSEQUENT EVENT</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announced on October 29, 2007 that it had acquired all of the outstanding common stock of IsoTis, Inc. (“IsoTis”) for $7.25 in cash per share of IsoTis common stock, representing total consideration to IsoTis stockholders of approximately $51 million. The Company also repaid all of IsoTis’ outstanding $12.6 million in debt at closing.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2006 included in our Annual Report on Form 10-K.</w:t>
      </w:r>
    </w:p>
    <w:p>
      <w:pPr>
        <w:spacing w:after="0" w:line="12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as amended, and Section 21E of the Securities Exchange Act of 1934, as amended.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2006 and in subsequent Quarterly Reports on Form 10-Q.</w:t>
      </w:r>
    </w:p>
    <w:p>
      <w:pPr>
        <w:spacing w:after="0" w:line="153"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 In the United States, our distribution channels include two direct sales organizations (Integra NeuroSciences and Integra Reconstructive Surgery), a network of dealers managed by, and selling in concert with, a direct sales organization (acute and alternate site surgical instruments and lighting) and strategic alliances. Outside of the United States, we sell our products directly through sales representatives in major European markets and through stocking distributors elsewhere. We invest substantial resources and management effort to develop our sales organizations, and we believe that we compete very effectively in this aspect of our business.</w:t>
      </w:r>
    </w:p>
    <w:p>
      <w:pPr>
        <w:spacing w:after="0" w:line="14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We present revenues in two categories: Neurosurgical and Orthopedic Implants and Medical Surgical Equipment. Our Neurosurgical and Orthopedic Implants product group includes collagen matrices that are indicated for the repair of the dura mater, dermal regeneration and engineered wound dressings, implants used in small bone and joint fixation, repair of peripheral nerves, and hydrocephalus management, and implants used in bone regeneration and in guided tissue regeneration in periodontal surgery. In general, our implant products tend to have higher internal growth rates than our corporate average, and higher gross margins. Our Medical Surgical Equipment product group includes ultrasonic surgery systems for tissue ablation, cranial stabilization and brain retraction systems, instrumentation used in general, neurosurgical, spinal and plastic and reconstructive surgery and dental procedures, systems for the measurement of various brain parameters, and devices used to gain access to the cranial cavity and to drain excess cerebrospinal fluid from the ventricles of the brain. In general, our Medical Surgical Equipment products have lower internal growth rates than our corporate average, and lower gross margins.</w:t>
      </w:r>
    </w:p>
    <w:p>
      <w:pPr>
        <w:spacing w:after="0" w:line="15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manufacturing and distribution of medical devices.</w:t>
      </w:r>
    </w:p>
    <w:p>
      <w:pPr>
        <w:spacing w:after="0" w:line="130"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We manufacture many of our products in various plants located in the United States, Puerto Rico, France, Germany, Ireland and the United Kingdom. We source most of our hand-held surgical instruments through specialized third-party vendors.</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We believe that we have a particular advantage in the development, manufacture and sale of specialty tissue repair products derived from bovine collagen. Products that contain materials derived from animal sources, including food as well as pharmaceuticals and medical devices, are increasingly subject to scrutiny from the press and regulatory authorities. These products comprised 23% and 26% of total revenues in each of the nine-month periods ended September 30, 2007 and 2006, respectively. Accordingly, widespread public controversy concerning collagen products, new regulation, or a ban of our products containing material derived from bovine tissue, could have a material adverse effect on our current business and our ability to expand our business.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46"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We aim to achieve this growth in revenues while maintaining strong financial results. While we pay attention to any meaningful trend in our financial results, we focus on measurements that are indicative of long-term profitable growth. These measurements include revenue growth (derived through acquisitions and products developed internally), gross margins on total revenues, operating margins (which we aim to expand on as we leverage our existing infrastructure), and earnings per fully diluted share of common stock.</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Our strategy for growing our business includes the acquisition of complementary product lines and companies. Our recent acquisitions of businesses, assets and product lines may make our financial results for the three- and nine-month periods ended September 30, 2007 not directly comparable to those of the corresponding prior-year period. See Note 2 to the unaudited condensed consolidated financial statements for a further discussion. Since the beginning of 2006, we have acquired the following businesses: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Radionics</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March 3, 2006, Integra acquired certain assets of the Radionics Division of Tyco Healthcare Group, L.P. (“Radionics”)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 ultrasonic surgical aspiration system, the CRW</w:t>
      </w:r>
      <w:r>
        <w:rPr>
          <w:rFonts w:ascii="Arial" w:cs="Arial" w:eastAsia="Arial" w:hAnsi="Arial"/>
          <w:sz w:val="14"/>
          <w:szCs w:val="14"/>
          <w:color w:val="auto"/>
        </w:rPr>
        <w:t>®</w:t>
      </w:r>
      <w:r>
        <w:rPr>
          <w:rFonts w:ascii="Arial" w:cs="Arial" w:eastAsia="Arial" w:hAnsi="Arial"/>
          <w:sz w:val="17"/>
          <w:szCs w:val="17"/>
          <w:color w:val="auto"/>
        </w:rPr>
        <w:t xml:space="preserve"> stereotactic system, the XKnife stereotactic radiosurgery system, and the OmniSight</w:t>
      </w:r>
      <w:r>
        <w:rPr>
          <w:rFonts w:ascii="Arial" w:cs="Arial" w:eastAsia="Arial" w:hAnsi="Arial"/>
          <w:sz w:val="14"/>
          <w:szCs w:val="14"/>
          <w:color w:val="auto"/>
        </w:rPr>
        <w:t>®</w:t>
      </w:r>
      <w:r>
        <w:rPr>
          <w:rFonts w:ascii="Arial" w:cs="Arial" w:eastAsia="Arial" w:hAnsi="Arial"/>
          <w:sz w:val="17"/>
          <w:szCs w:val="17"/>
          <w:color w:val="auto"/>
        </w:rPr>
        <w:t xml:space="preserve"> EXcel image guided surgery system.</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Miltex</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May 12, 2006, we acquired all of the outstanding capital stock of Miltex Holdings, Inc. (“Miltex”) for $102.7 million in cash paid at closing, subject to certain adjustments, and $0.7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w:t>
      </w:r>
      <w:r>
        <w:rPr>
          <w:rFonts w:ascii="Arial" w:cs="Arial" w:eastAsia="Arial" w:hAnsi="Arial"/>
          <w:sz w:val="15"/>
          <w:szCs w:val="15"/>
          <w:color w:val="auto"/>
        </w:rPr>
        <w:t>®</w:t>
      </w:r>
      <w:r>
        <w:rPr>
          <w:rFonts w:ascii="Arial" w:cs="Arial" w:eastAsia="Arial" w:hAnsi="Arial"/>
          <w:sz w:val="18"/>
          <w:szCs w:val="18"/>
          <w:color w:val="auto"/>
        </w:rPr>
        <w:t>, Meisterhand</w:t>
      </w:r>
      <w:r>
        <w:rPr>
          <w:rFonts w:ascii="Arial" w:cs="Arial" w:eastAsia="Arial" w:hAnsi="Arial"/>
          <w:sz w:val="15"/>
          <w:szCs w:val="15"/>
          <w:color w:val="auto"/>
        </w:rPr>
        <w:t>®</w:t>
      </w:r>
      <w:r>
        <w:rPr>
          <w:rFonts w:ascii="Arial" w:cs="Arial" w:eastAsia="Arial" w:hAnsi="Arial"/>
          <w:sz w:val="18"/>
          <w:szCs w:val="18"/>
          <w:color w:val="auto"/>
        </w:rPr>
        <w:t>, Vantage</w:t>
      </w:r>
      <w:r>
        <w:rPr>
          <w:rFonts w:ascii="Arial" w:cs="Arial" w:eastAsia="Arial" w:hAnsi="Arial"/>
          <w:sz w:val="15"/>
          <w:szCs w:val="15"/>
          <w:color w:val="auto"/>
        </w:rPr>
        <w:t>®</w:t>
      </w:r>
      <w:r>
        <w:rPr>
          <w:rFonts w:ascii="Arial" w:cs="Arial" w:eastAsia="Arial" w:hAnsi="Arial"/>
          <w:sz w:val="18"/>
          <w:szCs w:val="18"/>
          <w:color w:val="auto"/>
        </w:rPr>
        <w:t>, Moyco</w:t>
      </w:r>
      <w:r>
        <w:rPr>
          <w:rFonts w:ascii="Arial" w:cs="Arial" w:eastAsia="Arial" w:hAnsi="Arial"/>
          <w:sz w:val="15"/>
          <w:szCs w:val="15"/>
          <w:color w:val="auto"/>
        </w:rPr>
        <w:t>®</w:t>
      </w:r>
      <w:r>
        <w:rPr>
          <w:rFonts w:ascii="Arial" w:cs="Arial" w:eastAsia="Arial" w:hAnsi="Arial"/>
          <w:sz w:val="18"/>
          <w:szCs w:val="18"/>
          <w:color w:val="auto"/>
        </w:rPr>
        <w:t>, Union Broach</w:t>
      </w:r>
      <w:r>
        <w:rPr>
          <w:rFonts w:ascii="Arial" w:cs="Arial" w:eastAsia="Arial" w:hAnsi="Arial"/>
          <w:sz w:val="15"/>
          <w:szCs w:val="15"/>
          <w:color w:val="auto"/>
        </w:rPr>
        <w:t>®</w:t>
      </w:r>
      <w:r>
        <w:rPr>
          <w:rFonts w:ascii="Arial" w:cs="Arial" w:eastAsia="Arial" w:hAnsi="Arial"/>
          <w:sz w:val="18"/>
          <w:szCs w:val="18"/>
          <w:color w:val="auto"/>
        </w:rPr>
        <w:t>, and Thompson</w:t>
      </w:r>
      <w:r>
        <w:rPr>
          <w:rFonts w:ascii="Arial" w:cs="Arial" w:eastAsia="Arial" w:hAnsi="Arial"/>
          <w:sz w:val="15"/>
          <w:szCs w:val="15"/>
          <w:color w:val="auto"/>
        </w:rPr>
        <w:t>®</w:t>
      </w:r>
      <w:r>
        <w:rPr>
          <w:rFonts w:ascii="Arial" w:cs="Arial" w:eastAsia="Arial" w:hAnsi="Arial"/>
          <w:sz w:val="18"/>
          <w:szCs w:val="18"/>
          <w:color w:val="auto"/>
        </w:rPr>
        <w:t xml:space="preserve">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Canada Microsurgical</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On July 5, 2006, we acquired a direct sales force in Canada through the acquisition of our longstanding distributor; Canada Microsurgical Ltd. (“Canada Microsurgical”). Canada Microsurgical has nine sales representatives. We paid $5.8 million (6.4 million Canadian dollars) for Canada Microsurgical in cash at closing and $0.1 million of transaction-related costs. In addition, we paid $0.7 million (0.7 million Canadian dollars) this year and may pay up to an additional 1.4 million Canadian dollars over the next two years, depending on the performance of the business.</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KMI</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On July 31, 2006 we acquired the shares of Kinetikos Medical, Inc. (“KMI”) for $39.5 million in cash, subject to certain adjustments, including future payments based on the performance of the KMI business after the acquisition. No such payments were due nor made during 2006 or during the nine months of 2007.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On January 3, 2007, our Company’s subsidiary Miltex, Inc. acquired the DenLite product line from Welch Allyn in an asset purchase, for $2.2 million in cash paid at closing, and approximately $35,000 of acquisition-related expenses in a transaction treated as a business combination. DenLite is a lighted mouth mirror to be used in dental procedures.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LXU Healthcare, Inc.</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On May 8, 2007, we acquired the shares of LXU Healthcare, Inc. (“LXU”) for $30.0 million in cash paid at closing and $0.5 million of acquisition-related expenses. Subsequently, we received proceeds of $0.4 million from escrow accounts in the third quarter relating to adjustments for working capital and benefit plans, which was accounted for as a reduction in the total purchase price. LXU is operated as part of Integra’s surgical instruments business. LXU, based in West Boylston, Massachusetts, was comprised of three distinct businesses:</w:t>
      </w:r>
    </w:p>
    <w:p>
      <w:pPr>
        <w:spacing w:after="0" w:line="148" w:lineRule="exact"/>
        <w:rPr>
          <w:sz w:val="20"/>
          <w:szCs w:val="20"/>
          <w:color w:val="auto"/>
        </w:rPr>
      </w:pPr>
    </w:p>
    <w:p>
      <w:pPr>
        <w:ind w:left="1080" w:right="179" w:hanging="370"/>
        <w:spacing w:after="0" w:line="308" w:lineRule="auto"/>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Luxtec — The market-leading manufacturer of fiber optic headlight systems for the medical industry through its Luxtec</w:t>
      </w:r>
      <w:r>
        <w:rPr>
          <w:rFonts w:ascii="Arial" w:cs="Arial" w:eastAsia="Arial" w:hAnsi="Arial"/>
          <w:sz w:val="14"/>
          <w:szCs w:val="14"/>
          <w:color w:val="auto"/>
        </w:rPr>
        <w:t>®</w:t>
      </w:r>
      <w:r>
        <w:rPr>
          <w:rFonts w:ascii="Arial" w:cs="Arial" w:eastAsia="Arial" w:hAnsi="Arial"/>
          <w:sz w:val="17"/>
          <w:szCs w:val="17"/>
          <w:color w:val="auto"/>
        </w:rPr>
        <w:t xml:space="preserve"> brand. The Luxtec products are manufactured in a 31,000 square foot leased facility located in West Boylston.</w:t>
      </w:r>
    </w:p>
    <w:p>
      <w:pPr>
        <w:spacing w:after="0" w:line="24" w:lineRule="exact"/>
        <w:rPr>
          <w:rFonts w:ascii="Arial" w:cs="Arial" w:eastAsia="Arial" w:hAnsi="Arial"/>
          <w:sz w:val="17"/>
          <w:szCs w:val="17"/>
          <w:b w:val="1"/>
          <w:bCs w:val="1"/>
          <w:color w:val="auto"/>
        </w:rPr>
      </w:pPr>
    </w:p>
    <w:p>
      <w:pPr>
        <w:jc w:val="both"/>
        <w:ind w:left="1080" w:right="159" w:hanging="370"/>
        <w:spacing w:after="0" w:line="286" w:lineRule="auto"/>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LXU Medical — A leading specialty surgical products distributor with a sales force calling on surgeons and key clinical decision makers, covering 18,000 operating rooms in the southeastern, midwestern and mid-Atlantic United States. LXU Medical is the exclusive distributor of the Luxtec fiber optic headlight systems in these territories.</w:t>
      </w:r>
    </w:p>
    <w:p>
      <w:pPr>
        <w:spacing w:after="0" w:line="43" w:lineRule="exact"/>
        <w:rPr>
          <w:rFonts w:ascii="Arial" w:cs="Arial" w:eastAsia="Arial" w:hAnsi="Arial"/>
          <w:sz w:val="17"/>
          <w:szCs w:val="17"/>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Bimeco — A critical care products distributor with direct sales coverage in the southeastern United States.</w:t>
      </w:r>
    </w:p>
    <w:p>
      <w:pPr>
        <w:spacing w:after="0" w:line="19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As was the intention at the time of the acquisition, we are winding down the Bimeco business, which is not aligned with our strategy. The LXU Medical sales force and distributor network is being integrated with the Jarit sales and distribution organization.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Physician Industries</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May, 11, 2007, we acquired certain assets of the pain management business of Physician Industries, Inc. (“Physicians Industries”) for $4.0 million in cash, subject to certain adjustments and approximately $74,000 of acquisition-related expenses.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will be combined with our similar Spinal Specialties line and sold under the name Integra Pain Management.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IsoTis</w:t>
      </w:r>
      <w:r>
        <w:rPr>
          <w:rFonts w:ascii="Arial" w:cs="Arial" w:eastAsia="Arial" w:hAnsi="Arial"/>
          <w:sz w:val="18"/>
          <w:szCs w:val="18"/>
          <w:color w:val="auto"/>
        </w:rPr>
        <w:t xml:space="preserve"> — see Note 14 to the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RESTRUCTURING ACTIVITIES</w:t>
      </w:r>
    </w:p>
    <w:p>
      <w:pPr>
        <w:spacing w:after="0" w:line="20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In October 2006, we announced plans to restructure our French sales and marketing organization, which includes elimination of a number of positions at our Biot, France facility, and the closing of our facility in Nantes, France. These activities have been transferred to the sales and marketing headquarters in Lyon, France and payments should be completed in early 2008.</w:t>
      </w:r>
    </w:p>
    <w:p>
      <w:pPr>
        <w:spacing w:after="0" w:line="106"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connection with these restructuring activities, we updated our estimate of employee termination costs based on the final settlement of those obligations and reduced our provisions by $0.3 million during the nine months ended September 30, 2007. We recorded net reversals of previously recorded provisions based on the final settlement of those obligations. While we expect to achieve a positive impact from the restructuring and integration activities, such results remain uncertain. We have reinvested most of the savings from these restructuring and integration activities into further expanding our European sales, marketing and distribution organization, and integrating the Radionics, KMI and Newdeal businesses into our existing sales and distribution network.</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Net income for the three months ended September 30, 2007 was $9.7 million, or $0.33 per diluted share, as compared with net income of $2.6 million, or $0.09 per diluted share, for the three months ended September 30, 2006.</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Net income for the nine months ended September 30, 2007 was $28.1 million, or $0.94 per diluted share, as compared with a net income of $19.3 million, or $0.64 per diluted share, for the nine months ended September 30, 2006.</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amounts include the following charges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0"/>
        </w:trPr>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340" w:type="dxa"/>
            <w:vAlign w:val="bottom"/>
          </w:tcPr>
          <w:p>
            <w:pPr>
              <w:ind w:left="200"/>
              <w:spacing w:after="0" w:line="201" w:lineRule="exact"/>
              <w:rPr>
                <w:sz w:val="20"/>
                <w:szCs w:val="20"/>
                <w:color w:val="auto"/>
              </w:rPr>
            </w:pPr>
            <w:r>
              <w:rPr>
                <w:rFonts w:ascii="Arial" w:cs="Arial" w:eastAsia="Arial" w:hAnsi="Arial"/>
                <w:sz w:val="18"/>
                <w:szCs w:val="18"/>
                <w:color w:val="auto"/>
              </w:rPr>
              <w:t>Inventory fair market value purchase accounting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4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1,239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4,012</w:t>
            </w: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Charges associated with convertible debt exchange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offering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Charges associated with termination of 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Employee termination and related costs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Facility consolidation, acquisition integration,</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manufacturing transfer, enterprise business system,</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integration and related costs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Litigation settlements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of inventory and fixed assets related to</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development project and product lines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Charges associated with discontinued or withdrawn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product lines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7"/>
              </w:rPr>
              <w:t>Charges related to restructuring European legal entities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16,233</w:t>
            </w: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Of these amounts, $4.7 million and $5.4 million were charged to cost of product revenues in the nine-month periods ended September 30, 2007 and 2006, respectively, and $7.2 million was charged to research and development in the three and nine months ended September 30, 2006. The remaining amounts were primarily charged to selling, general and administrative expenses and intangible asset amortization.</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Employee termination and related costs for the nine months ended September 30, 2007 reflect the reversal of previously recorded accruals for anticipated terminations due to changes in estimates during the second quarter. Charges associated with discontinued or withdrawn product lines reflect the discontinuation of the Endura line of dural repair products distributed by the Company for Shelhigh, Inc. Intangible asset impairments include termination of various trademarks associated with the Spinal Specialties business as such products will now be re-branded as part of Integra Pain Management, and the impairment of certain other technology and trademarks based on business and operating decisions during the second quarter of 2007.</w:t>
      </w:r>
    </w:p>
    <w:p>
      <w:pPr>
        <w:spacing w:after="0" w:line="15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4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three and nine months ended September 30, 2007, the Company recognized increases to net income of $0.9 million and $0.6 million, respectively, related to prior periods. The Company has deemed the amounts immaterial and, therefore, recorded such increases in the respective current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Medical Surgical Equipment and other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85,873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73,511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247,177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175,125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Neurosurgical and Orthopedic Implants</w:t>
            </w: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49,142</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43,136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145,637</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118,778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135,015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116,647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392,814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293,903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50,863</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47,559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152,248</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116,869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84,152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69,088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240,566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177,034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THREE MONTHS ENDED SEPTEMBER 30, 2007 AS COMPARED TO THE THREE MONTHS ENDED SEPTEMBER 30, 2006</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For the three-month period ended September 30, 2007, total revenues increased by $18.4 million, or 16%, to $135.0 million from $116.6 million for the same period last year. Domestic revenues increased by $16.9 million to $105.6 million from $88.7 million, or 78% of total revenues, as compared to 76% of revenues in the three months ended September 30, 2006. International revenues increased to $29.4 million from $27.9 million in the prior-year period, an increase of 5%.</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 xml:space="preserve">The Neurosurgical and Orthopedic Implants category grew 14% over the prior year. Sales of our bone repair products, extremity reconstruction implants, and dermal repair products led the revenue growth. Nerve and tendon repair products, the Newdeal </w:t>
      </w:r>
      <w:r>
        <w:rPr>
          <w:rFonts w:ascii="Arial" w:cs="Arial" w:eastAsia="Arial" w:hAnsi="Arial"/>
          <w:sz w:val="14"/>
          <w:szCs w:val="14"/>
          <w:color w:val="auto"/>
        </w:rPr>
        <w:t>®</w:t>
      </w:r>
      <w:r>
        <w:rPr>
          <w:rFonts w:ascii="Arial" w:cs="Arial" w:eastAsia="Arial" w:hAnsi="Arial"/>
          <w:sz w:val="17"/>
          <w:szCs w:val="17"/>
          <w:color w:val="auto"/>
        </w:rPr>
        <w:t xml:space="preserve"> family of products and private-label products all experienced strong year-over-year growth in the third quarter. Adverse regional reimbursement decisions tempered sales of our dermal products into the wound-healing indication. KMI products, which are sold into the extremities indication, contributed $2.5 million of sales in the third quarter of 2007.</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Medical Surgical Equipment category grew 17% over the prior year. The majority of the increase was due to acquired products. Revenues from the LXU/Luxtec and Physician Industries and non-Integra distributed products sold through our former Canadian distributor (all acquired during the last twelve months) contributed $13.0 million of sales in the third quarter of 2007, compared to $16.3 million in revenue from products acquired in the prior year for the same period in 2006. The Miltex and Jarit surgical instrument lines and the Mayfield cranial stabilization products led internally generated growth. Growth in these product lines was offset by lower sales of ultrasonic aspirator products in the third quarter of 2007 compared to the prior-year period. Ultrasonic aspirator product sales were unusually high in the third quarter of 2006 because of initial stocking orders from certain foreign distributors which took over distribution from Tyco affiliates.</w:t>
      </w:r>
    </w:p>
    <w:p>
      <w:pPr>
        <w:spacing w:after="0" w:line="15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Included in revenues are royalties of $2.5 million and $7.6 million, respectively, for the three and nine months ended September 30, 2007 and $1.8 million and $5.5 million for the three and nine months ended September 30, 2006.</w:t>
      </w:r>
    </w:p>
    <w:p>
      <w:pPr>
        <w:spacing w:after="0" w:line="130"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We have generated our product revenue growth through acquisitions, new product launches and increased direct sales and marketing efforts both domestically and in Europe. We expect that our expanded domestic sales force,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there has been, and we expect there will continue to be, some cannibalization of sales of our existing products that will affect our internal growth.</w:t>
      </w:r>
    </w:p>
    <w:p>
      <w:pPr>
        <w:spacing w:after="0" w:line="13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Gross margin increased by $15.1 million to $84.2 million for the three-month period ended September 30, 2007, from $69.1 million for the same period last year. Gross margin as a percentage of total revenue is 62% for the third quarter 2007, compared to 59% in 2006. Cost of goods sold included inventory fair value purchase accounting adjustments from acquisitions of $1.2 million and $1.4 million, respectively, for the three months ended September 30, 2007 and 2006. We also recognized a $1.3 million change in estimate related to consignment inventory and $0.6 million in restructuring and manufacturing transfer and systems integration costs during the third quarter of 2006. All together these charges reduced our gross margin in the third quarter of 2006 by approximately 2 percentage points.</w:t>
      </w:r>
    </w:p>
    <w:p>
      <w:pPr>
        <w:spacing w:after="0" w:line="162"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In the absence of acquisitions, we expect that the faster internal growth of our higher margin implant products will increase their proportion of total product revenues and therefore our consolidated gross margins will increase to reflect that trend.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Total other operating expenses</w:t>
            </w: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73" w:lineRule="auto"/>
        <w:rPr>
          <w:sz w:val="20"/>
          <w:szCs w:val="20"/>
          <w:color w:val="auto"/>
        </w:rPr>
      </w:pPr>
      <w:r>
        <w:rPr>
          <w:rFonts w:ascii="Arial" w:cs="Arial" w:eastAsia="Arial" w:hAnsi="Arial"/>
          <w:sz w:val="17"/>
          <w:szCs w:val="17"/>
          <w:color w:val="auto"/>
        </w:rPr>
        <w:t>Total other operating expenses, which consist of research and development expense, selling, general and administrative expense and amortization expense, increased $8.5 million, or 15%, to $65.8 million in the third quarter of 2007, compared to $57.3 million in the third quarter of 2006. Research and development expenses decreased by $4.5 million to $6.5 million in the third quarter of 2007 compared to $11.0 million in the same period last year. Research and development expenses in the third quarter of 2006 included a $5.6 million in-process research and development (“IPR&amp;D”) charge related to the acquisition of KMI. In 2007 there was no IPR&amp;D charge, however we did increase spending on our biomaterial development programs.</w:t>
      </w:r>
    </w:p>
    <w:p>
      <w:pPr>
        <w:spacing w:after="0" w:line="13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2007, we continued to direct our research and development expenses toward expanding the indications for use of our absorbable implant technology products, including a multi-center clinical trial suitable to support an application to the FDA for approval of the DuraGen Plus</w:t>
      </w:r>
      <w:r>
        <w:rPr>
          <w:rFonts w:ascii="Arial" w:cs="Arial" w:eastAsia="Arial" w:hAnsi="Arial"/>
          <w:sz w:val="15"/>
          <w:szCs w:val="15"/>
          <w:color w:val="auto"/>
        </w:rPr>
        <w:t>®</w:t>
      </w:r>
      <w:r>
        <w:rPr>
          <w:rFonts w:ascii="Arial" w:cs="Arial" w:eastAsia="Arial" w:hAnsi="Arial"/>
          <w:sz w:val="18"/>
          <w:szCs w:val="18"/>
          <w:color w:val="auto"/>
        </w:rPr>
        <w:t xml:space="preserve"> Adhesion Barrier Matrix product in the United States.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Selling, general and administrative expenses in the third quarter of 2007 increased by $12.8 million to $56.2 million, or 42% of revenue, compared to $43.4 million, or 37% of revenue, in the same period last year. The increase in selling, general and administrative expense over the prior year was due primarily to substantial increases in the size of our selling organizations, particularly for spine and extremity reconstruction, and higher expenses for corporate staff and consulting. As we gain more leverage from our larger selling organizations, we expect selling, general and administrative expenses to decrease to between 38% and 40% of revenue over the remainder of 2007 and into 2008.</w:t>
      </w:r>
    </w:p>
    <w:p>
      <w:pPr>
        <w:spacing w:after="0" w:line="16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While we expect a slowing in the growth of the spending on our direct sales and marketing organizations in the direct selling platforms, we will continue to increase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also have incurred additional expenses in connection with the hiring of consultants to support some corporate staff functions. We expect to continue to incur costs related to these activities in 2007 and 2008 as we complete these on-going projects.</w:t>
      </w:r>
    </w:p>
    <w:p>
      <w:pPr>
        <w:spacing w:after="0" w:line="14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Amortization expense increased by $0.1 million to $3.0 million in the third quarter of 2007 compared to $2.9 million in the same period last year.</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7140" w:type="dxa"/>
            <w:vAlign w:val="bottom"/>
          </w:tcPr>
          <w:p>
            <w:pPr>
              <w:ind w:left="380"/>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2006</w:t>
            </w:r>
          </w:p>
        </w:tc>
        <w:tc>
          <w:tcPr>
            <w:tcW w:w="12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(4,362)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(1,765)</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Interest income increased in the three-month period ended September 30, 2007, compared to the same period last year, primarily due to higher average cash and investment balances. The average balance on our cash and investments was approximately $130.9 million in the three month period ended September 30, 2007, compared to approximately $36.0 million for the same period last year.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Interest expense decreased in the three-month period ended September 30, 2007, compared to the same period last year, primarily due to decreases in outstanding borrowings under our $300 million senior secured credit facility, partially offset by interest expense on our convertible notes due 2010 and 2012 which were issued on June 11, 2007. We had no outstanding borrowings under the credit facility as of September 30, 2007.</w:t>
      </w:r>
    </w:p>
    <w:p>
      <w:pPr>
        <w:spacing w:after="0" w:line="146"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Our reported interest expense for the three-month periods ended September 30, 2007 and 2006 includes amortization of $0.7 million and $0.2 million of debt issuance costs, respectively. Debt issuance costs associated with the 2010 and 2012 convertible notes were $3.8 million for each series and are being amortized using the straight-line method over the three- and five-year terms of the notes.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may pay additional interest on our convertible notes due in 2008 under certain conditions. The fair value of this contingent interest obligation is marked to its fair value at each balance sheet date, with changes in the fair value recorded to interest expense. The changes in the estimated fair value of the contingent interest obligation increased interest expense by $0.3 million and $0.1 million for the three months ended September 30, 2007 and 2006, respectively.</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We had an interest rate swap agreement with a $50 million notional amount to hedge the risk of changes in fair value attributable to interest rate risk with respect to a portion of our fixed rate convertible notes. The net amount to be paid or received under the interest rate swap agreement was recorded as a component of interest expense. Interest expense associated with the interest rate swap for the three months ended September 30, 2006 was $0.3 million. On September 27, 2006, we terminated this interest rate swap agreement in connection with the exchange of our convertible notes due in 2008 and paid the counterparty approximately $2.2 million consisting of a $0.6 million payment of accrued interest and a $1.6 million payment representing the fair market value of the interest rate swap on the termination date. Because we terminated this swap agreement, we did not incur any expense for the three months ended September 30, 2007 associated with this swap.</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expenses decreased in the three-month period ended September 30, 2007, compared to the same period last year, primarily due to the $1.6 million payment representing the fair market value of the interest rate swap on the termination date and realized losses on the sale of investments in the third quarter of 2006.</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67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15,666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5,993</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Our effective income tax rate for the three months ended September 30, 2007 and 2006 was 38.3% and 57.2%, respectively. The third quarter of 2006 included a $5.6 million in-process research and development charge related to the KMI acquisition, which is not deductible for tax purposes. The change in the effective tax rate year-over-year was primarily due to changes in the geographic mix of taxable income offset by the non-deductible IPR&amp;D charge.</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37" w:lineRule="exact"/>
        <w:rPr>
          <w:sz w:val="20"/>
          <w:szCs w:val="20"/>
          <w:color w:val="auto"/>
        </w:rPr>
      </w:pPr>
    </w:p>
    <w:p>
      <w:pPr>
        <w:jc w:val="both"/>
        <w:ind w:left="340" w:right="179"/>
        <w:spacing w:after="0" w:line="282" w:lineRule="auto"/>
        <w:rPr>
          <w:sz w:val="20"/>
          <w:szCs w:val="20"/>
          <w:color w:val="auto"/>
        </w:rPr>
      </w:pPr>
      <w:r>
        <w:rPr>
          <w:rFonts w:ascii="Arial" w:cs="Arial" w:eastAsia="Arial" w:hAnsi="Arial"/>
          <w:sz w:val="18"/>
          <w:szCs w:val="18"/>
          <w:b w:val="1"/>
          <w:bCs w:val="1"/>
          <w:color w:val="auto"/>
        </w:rPr>
        <w:t>NINE MONTHS ENDED SEPTEMBER 30, 2007 AS COMPARED TO THE NINE MONTHS ENDED SEPTEMBER 30, 2006</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For the nine-month period ended September 30, 2007, total revenues increased 34% over the prior-year period to $392.8 million. Domestic revenues increased by $78.0 million to $298.4 million and were 76% of total revenues, as compared to 75% of revenues in the nine months ended September 30, 2006. International revenues increased $20.9 million to $94.4 million, an increase of 28%.</w:t>
      </w:r>
    </w:p>
    <w:p>
      <w:pPr>
        <w:spacing w:after="0" w:line="10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Neurosurgical and Orthopedic Implants category grew 23% over the prior year. Sales of our DuraGen</w:t>
      </w:r>
      <w:r>
        <w:rPr>
          <w:rFonts w:ascii="Arial" w:cs="Arial" w:eastAsia="Arial" w:hAnsi="Arial"/>
          <w:sz w:val="15"/>
          <w:szCs w:val="15"/>
          <w:color w:val="auto"/>
        </w:rPr>
        <w:t>®</w:t>
      </w:r>
      <w:r>
        <w:rPr>
          <w:rFonts w:ascii="Arial" w:cs="Arial" w:eastAsia="Arial" w:hAnsi="Arial"/>
          <w:sz w:val="18"/>
          <w:szCs w:val="18"/>
          <w:color w:val="auto"/>
        </w:rPr>
        <w:t xml:space="preserve"> family of products, extremity reconstruction implants, and bone repair products led the revenue growth, offsetting the impact of the recall of the Endura™ products and slow growth in sales of dermal repair products. KMI products contributed $7.1 million of sales in the first three quarters of 2007 compared to $1.8 million in the same period last year. The Medical Surgical Equipment category grew 41% over the prior year. Acquired products, surgical instruments, ultrasonic surgical systems, and Mayfield cranial stabilization products provided most of the year-over-year growth.</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Gross margin increased by $63.6 million to $240.6 million for the nine-month period ended September 30, 2007, from $177.0 million for the same period last year. Gross margin as a percentage of total revenue was 61% for the first three quarters of 2007, compared to 60% in 2006.</w:t>
      </w:r>
    </w:p>
    <w:p>
      <w:pPr>
        <w:spacing w:after="0" w:line="15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the absence of acquisitions, we expect that the faster internal growth of our higher margin implant products will increase their proportion of total product revenues and therefore our consolidated gross margins will increase to reflect that trend. Should we acquire Medical Surgical Equipment businesses or product lines with lower gross margins, as we have from time to time in the past, such acquisitions would have the effect of slowing or reversing the favorable impact on gross margins of the more quickly growing implants products.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6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 selling, general and administrative expense and amortization expense, increased $50.4 million, or 36%, to $188.8 million in the first nine months of 2007, compared to $138.4 million in the same period last year.</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Research and development expenses in the first nine months of 2007 decreased by $1.7 million to $18.8 million, compared to $20.5 million in the same period last year. Research and development expenses in 2006 included a $5.6 million in-process research and development charge associated with the KMI acquisition and a charge of $1.6 million for the discontinuation of a development project.</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2007, we continued to direct our research and development expenses toward expanding the indications for use of our absorbable implant technology products, including a multi-center clinical trial suitable to support an application to the FDA for approval of the DuraGen Plus</w:t>
      </w:r>
      <w:r>
        <w:rPr>
          <w:rFonts w:ascii="Arial" w:cs="Arial" w:eastAsia="Arial" w:hAnsi="Arial"/>
          <w:sz w:val="15"/>
          <w:szCs w:val="15"/>
          <w:color w:val="auto"/>
        </w:rPr>
        <w:t>®</w:t>
      </w:r>
      <w:r>
        <w:rPr>
          <w:rFonts w:ascii="Arial" w:cs="Arial" w:eastAsia="Arial" w:hAnsi="Arial"/>
          <w:sz w:val="18"/>
          <w:szCs w:val="18"/>
          <w:color w:val="auto"/>
        </w:rPr>
        <w:t xml:space="preserve"> Adhesion Barrier Matrix product in the United States.</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Selling, general and administrative expenses in the nine months ended September 30, 2007 increased by $48.5 million to $160.3 million, compared to $111.8 million in the same period last year. Selling and marketing expenses increased by $25.0 million primarily due to the accelerated ramp up in our extremities reconstructive, intensive care unit specialist and spine sales forces and the impact of acquisitions. General and administrative expenses increased $23.5 million in the nine months of 2007 compared to the same period last year primarily because of the impact of acquisitions and increases in headcount, compensation, and consulting services charged to corporate operations.</w:t>
      </w:r>
    </w:p>
    <w:p>
      <w:pPr>
        <w:spacing w:after="0" w:line="15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do not expect substantial further increases in our direct sales and marketing organizations for our direct selling platforms this year, but will continue to increase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also have incurred additional expenses in connection with the hiring of consultants to support some corporate staff functions. We expect to continue to incur costs related to these activities in 2007 as we complete these on-going projects.</w:t>
      </w:r>
    </w:p>
    <w:p>
      <w:pPr>
        <w:spacing w:after="0" w:line="14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Amortization expense increased by $3.5 million to $9.7 million in the first nine months of 2007 compared to $6.2 million in the same period last year. The increase was primarily related to intangible assets of Miltex and KMI acquired in 2006, intangible assets of DenLite, LXU and Physician Industries acquired in 2007 and the impact of impairment charges recorded in the second quarter of 2007.</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140" w:type="dxa"/>
            <w:vAlign w:val="bottom"/>
            <w:gridSpan w:val="2"/>
          </w:tcPr>
          <w:p>
            <w:pPr>
              <w:ind w:left="380"/>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2006</w:t>
            </w:r>
          </w:p>
        </w:tc>
        <w:tc>
          <w:tcPr>
            <w:tcW w:w="1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1,993</w:t>
            </w:r>
          </w:p>
        </w:tc>
      </w:tr>
      <w:tr>
        <w:trPr>
          <w:trHeight w:val="216"/>
        </w:trPr>
        <w:tc>
          <w:tcPr>
            <w:tcW w:w="3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(9,896)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(8,117)</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(1,832)</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Interest income increased in the nine-month period ended September 30, 2007, compared to the same period last year, primarily due to higher returns on cash and investments. The average yield on our cash and investments was 5.0% for the nine-month period ended September 30, 2007, compared to approximately 3.1% for the same period last year.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Interest expense increased in the nine-month period ended September 30, 2007, compared to the same period last year, primarily due to increases in average outstanding borrowings under our $300 million senior secured credit facility. We made net additional borrowings under our credit facility during the nine months ended September 30, 2007, but we repaid the entire amount of the outstanding loan on June 11, 2007 following the issuance of $330 million of convertible notes. We had no outstanding borrowings under the credit facility as of September 30, 2007.</w:t>
      </w:r>
    </w:p>
    <w:p>
      <w:pPr>
        <w:spacing w:after="0" w:line="14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We also incurred additional interest expense on our convertible notes due 2010 and 2012, which were issued on June 11, 2007. The 2010 Notes and the 2012 Notes bear interest at a rate of 2.75% and 2.375% per annum, respectively, in each case payable semi-annually in arrears on December 1 and June 1 of each year.</w:t>
      </w:r>
    </w:p>
    <w:p>
      <w:pPr>
        <w:spacing w:after="0" w:line="154"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Our reported interest expense for the nine-month periods ended September 30, 2007 and 2006 includes $1.2 million and $0.6 million, respectively, of non-cash amortization of debt issuance costs.</w:t>
      </w:r>
    </w:p>
    <w:p>
      <w:pPr>
        <w:spacing w:after="0" w:line="13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Changes in the fair value of the contingent interest obligation increased interest expense by $0.5 million and $0.3 million in the nine months ended September 30, 2007 and 2006, respectively. Interest expense associated with the interest rate swap for the nine months ended September 30, 2006 was $0.8 million. On September 27, 2006, we terminated this interest rate swap agreement in connection with the exchange of our convertible notes and paid the counterparty approximately $2.2 million consisting of a $0.6 million payment of accrued interest and a $1.6 million payment representing the fair market value of the interest rate swap on the termination date. Because we terminated this swap agreement, we did not incur any expense for the nine months ended September 30, 2007 associated with this swap.</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expense decreased in the nine-month period ended September 30, 2007, compared to the same period last year, primarily due to $1.6 million payment representing the fair market value of the interest rate swap on the termination date and realized losses on the sale of investments in the third quarter of 2006. This decrease was partially offset by $0.1 million of foreign exchange losses realized in the nine months ended September 30, 2007.</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43,987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67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Our effective income tax rate for the nine months ended September 30, 2007 and 2006 was 36.1% and 37.1%, respectively. The third quarter of 2006 included a $5.6 million in-process research and development charge associated with the KMI acquisition, which is not deductible for tax purposes. The change in the effective income tax rate year-over-year was primarily due to approximately $0.7 million of taxes incurred in connection with the Company’s restructuring of its European entities, the changes in the geographic mix of taxable income due in part to recently acquired businesses and the non-deductible IPR&amp;D charge in the prior year.</w:t>
      </w:r>
    </w:p>
    <w:p>
      <w:pPr>
        <w:spacing w:after="0" w:line="11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PRODUCT REVENUES AND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States</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Foreign</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195"/>
        </w:trPr>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September 30,</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105,594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135,015</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Three months ended September 30,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88,740</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21,165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2,815</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3,927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116,647</w:t>
            </w:r>
          </w:p>
        </w:tc>
      </w:t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8"/>
              </w:rPr>
              <w:t>Nine months ended September 30,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298,378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61,155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392,814</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w w:val="98"/>
              </w:rPr>
              <w:t>Nine months ended September 30,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220,393</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56,884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8,809</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7,817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293,903</w:t>
            </w:r>
          </w:p>
        </w:tc>
      </w:tr>
    </w:tbl>
    <w:p>
      <w:pPr>
        <w:spacing w:after="0" w:line="147"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For the three months ended September 30, 2007, revenues from customers outside the United States totaled $29.4 million, or 22% of total revenues, of which approximately 66% were to European customers. Foreign exchange positively affected revenues by $1.3 million in the quarter. Revenues from customers outside the United States included $17.9 million of revenues generated in foreign currencies.</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the three months ending September 30, 2006, revenues from customers outside the United States totaled $27.9 million, or 24% of total revenues, of which approximately 76% were from European customers. Revenues from customers outside the United States included $22.3 million of revenues generated in foreign currencies.</w:t>
      </w:r>
    </w:p>
    <w:p>
      <w:pPr>
        <w:spacing w:after="0" w:line="15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For the nine months ended September 30, 2007, revenues from customers outside the United States totaled $94.4 million, or 24% of total revenues, of which approximately 65% were to European customers. Revenues from customers outside the United States included $58.9 million of revenues generated in foreign currencies.</w:t>
      </w:r>
    </w:p>
    <w:p>
      <w:pPr>
        <w:spacing w:after="0" w:line="14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the nine months ending September 30, 2006, revenues from customers outside the United States totaled $73.5 million, or 25% of total revenues, of which approximately 77% were from European customers. Revenues from customers outside the United States included $52.9 million of revenues generated in foreign currencies.</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Because we have operations based in Europe and we generate revenues and incur operating expenses in Euros and British pounds, we experience currency exchange risk with respect to those foreign currency denominated revenues or expenses. A weakening of the dollar against the Euro and British pound could positively affect future revenues and negatively affect future gross margins and operating margins, while a strengthening of the dollar against the Euro and the British pound could negatively affect future revenues and positively affect future gross margins and operating margins. We are exposed to various market risks, including changes in foreign currency exchange rates and interest rates that could adversely affect our results of operations and financial condition. We do not hold or issue derivative instruments for trading or other speculative purposes.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51"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8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At September 30, 2007, we had cash, cash equivalents and current and non-current investments totaling approximately $129.5 million. Our investments consist almost entirely of highly liquid, interest bearing-debt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Cash provided by operations has recently been and is expected to continue to be our primary means of funding existing operations and capital expenditures. We generated positive operating cash flows of $50.8 million for the nine months ended September 30, 2006 and $71.7 million for the year ended December 31, 2006. Cash flows from operating activities decreased to $32.4 million for the nine months ended September 30, 2007, due primarily to increases in inventory and income tax payments. Inventory increased for the period ending September 30, 2007 from the year ended December 31, 2006 due to the start up of manufacturing in Ireland and planned increases to support greater extremity reconstruction and surgical instrument sales anticipated for the fourth quarter of 2007. Higher net income and improvement in accounts receivable collections added cash flows to partially reduce these cash outflows.</w:t>
      </w:r>
    </w:p>
    <w:p>
      <w:pPr>
        <w:spacing w:after="0" w:line="15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2007, was $53.3 million. The Company closed three acquisitions for a total of $36.4 million and had capital expenditures of $17.2 million in this period.</w:t>
      </w:r>
    </w:p>
    <w:p>
      <w:pPr>
        <w:spacing w:after="0" w:line="13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Cash provided by financing activities was $126.3 million for the nine months ended September 30, 2007, consisting primarily of gross proceeds from the issuance of the 2010 and 2012 convertible notes of $330.0 million, sales of the stock purchase warrants of $21.7 million and exercise of stock options of $16.6 million. Partially offsetting these cash inflows were net payments of $100.1 million to pay down the entire amount outstanding under our credit facility, $86.1 million for the repurchase of 1.7 million shares of our common stock, $46.8 million to purchase call options with respect to our common stock which are designed to mitigate potential dilution from the conversion of the notes and the payment of $9.2 million of bond issuance costs.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At September 30, 2007 and December 31, 2006, working capital was $192.2 million and $(52.4) million, respectively. The increase in working capital is primarily related to the net proceeds received from the issuance of long-term convertible notes, which increased cash and which was also used to pay down the senior credit facility balance which had been classified as current.</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85"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We pay interest on our $120 million contingent convertible subordinated notes (the “2008 Notes”) at an annual rate of 2.5% each September 15 and March 15. We will also pay contingent interest on the 2008 Notes if, at thirty days prior to maturity, our common stock price is greater than $37.56. The contingent interest will be payable at maturity for each of the last three years the 2008 Notes remain outstanding in an amount equal to the greater of (1) 0.50% of the face amount of the 2008 Notes and (2) the amount of regular cash dividends paid during each such year on the number of shares of common stock into which each 2008 Note is convertible. Holders of the 2008 Notes may convert the 2008 Notes under certain circumstances, including when the market price of our common stock on the previous trading day is more than $37.56 per share, based on an initial conversion price of $34.15 per share. During the nine months ended September 30, 2007, our stock price exceeded $37.56, and $38,000 of the 2008 Notes have been converted to common stock or cash.</w:t>
      </w:r>
    </w:p>
    <w:p>
      <w:pPr>
        <w:spacing w:after="0" w:line="157"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2008 Notes are general, unsecured obligations of Integra and are subordinate to any senior indebtedness. We cannot redeem the 2008 Notes prior to their maturity, and the 2008 Notes holders may compel us to repurchase the 2008 Notes upon a change of control. There are no financial covenants associated with the convertible 2008 Notes.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w:t>
      </w:r>
    </w:p>
    <w:p>
      <w:pPr>
        <w:spacing w:after="0" w:line="114"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Notes are senior, unsecured obligations of the Company,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September 30, 2007, none of these conditions existed and, as a result, the $330 million balance of the 2010 Notes and the 2012 Notes is classified as long-term.</w:t>
      </w:r>
    </w:p>
    <w:p>
      <w:pPr>
        <w:spacing w:after="0" w:line="15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Integra repurchase some or all of the Notes for cash at a repurchase price equal to 100% of the principal amount of the notes being repurchased, plus accrued and unpaid interest, if any.</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 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which involve the Company’s selling call options to the hedge participants with a higher strike price than the purchased call options.</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159" w:hanging="8"/>
        <w:spacing w:after="0" w:line="277" w:lineRule="auto"/>
        <w:tabs>
          <w:tab w:leader="none" w:pos="613"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85" w:lineRule="exact"/>
        <w:rPr>
          <w:sz w:val="20"/>
          <w:szCs w:val="20"/>
          <w:color w:val="auto"/>
        </w:rPr>
      </w:pPr>
    </w:p>
    <w:p>
      <w:pPr>
        <w:jc w:val="both"/>
        <w:ind w:left="340" w:right="359" w:firstLine="381"/>
        <w:spacing w:after="0" w:line="264" w:lineRule="auto"/>
        <w:rPr>
          <w:sz w:val="20"/>
          <w:szCs w:val="20"/>
          <w:color w:val="auto"/>
        </w:rPr>
      </w:pPr>
      <w:r>
        <w:rPr>
          <w:rFonts w:ascii="Arial" w:cs="Arial" w:eastAsia="Arial" w:hAnsi="Arial"/>
          <w:sz w:val="18"/>
          <w:szCs w:val="18"/>
          <w:color w:val="auto"/>
        </w:rPr>
        <w:t>The Company has a $300 million, five-year, senior secured revolving credit facility, which it utilizes for working capital, capital expenditures, share repurchases, acquisitions and other general corporate purposes. We had no outstanding borrowings under the credit facility as of September 30, 2007.</w:t>
      </w:r>
    </w:p>
    <w:p>
      <w:pPr>
        <w:spacing w:after="0" w:line="154"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On May 17, 2007, the Company’s Board of Directors authorized the Company to repurchase shares of its common stock for an aggregate purchase price not to exceed $75 million through December 31, 2007. The Company did not repurchase any shares of its common stock under this program. On October 30, 2007, the Company’s Board of Directors terminated the repurchase authorization it adopted on May 17, 2007 and authorized the company to repurchase shares of its common stock for an aggregate purchase price not to exceed $75 million through December 31, 2008. Shares may be purchased either in the open market or in privately negotiated transactions. As of September 30, 2007, there remained $75 million available for share repurchases under this authorization. The Company did not purchase any shares of its common stock under the repurchase program during the three months ended September 30, 2007. See Note 9 to the unaudited condensed consolidated financial statements.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Requirements and Capital Resources</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believe that our cash, borrowings under the senior secured revolving credit facility and cash flow from operations are sufficient to finance our operations and capital expenditures in the near term. We make regular borrowings and payments each month against the credit facility and consider the outstanding amounts to be short-term in nature. See “Convertible Debt and Senior Secured Revolving Credit Facility” for a description of the material terms of our credit facility.</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We announced on October 29, 2007 that we had acquired all of the outstanding common stock of IsoTis, Inc. (“IsoTis”) for $7.25 in cash per share of IsoTis common stock, representing total consideration to IsoTis stockholders of approximately $51 million. We also repaid all of IsoTis’ outstanding $12.6 million in debt at closing.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September 30, 2007, we were obligated to pay the following amounts under various agreements: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More than</w:t>
            </w:r>
          </w:p>
        </w:tc>
      </w:tr>
      <w:tr>
        <w:trPr>
          <w:trHeight w:val="230"/>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1 year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8"/>
                <w:szCs w:val="18"/>
                <w:color w:val="auto"/>
                <w:w w:val="84"/>
              </w:rPr>
              <w:t>Years</w:t>
            </w:r>
          </w:p>
        </w:tc>
        <w:tc>
          <w:tcPr>
            <w:tcW w:w="18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 years</w:t>
            </w:r>
          </w:p>
        </w:tc>
      </w:tr>
      <w:tr>
        <w:trPr>
          <w:trHeight w:val="210"/>
        </w:trPr>
        <w:tc>
          <w:tcPr>
            <w:tcW w:w="3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on Convertible Securities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509.2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139.6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bl>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addition, under other agreements we are required to make payments based on sales levels of certain products. Furthermore, as noted in Note 1 to the Financial Statements, we have identified uncertain tax positions, which, if challenged, could result in additional payments of taxes plus penalties and interest.</w:t>
      </w:r>
    </w:p>
    <w:p>
      <w:pPr>
        <w:spacing w:after="0" w:line="154"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above table does not include contingent interest that we may be obligated to pay on our contingent convertible subordinated notes due in March 2008. See Note 6 to the unaudited condensed consolidated financial statements.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2006 have not materially changed, except for the assessment of uncertain tax positions in accordance with FIN 48.</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Effective January 1, 2007, the Company adopted Financial Accounting Standards Board Interpretation No. 48 “Accounting for Uncertainty in Income Taxes” (“FIN 48”). Refer to Note 1 to our condensed consolidated financial statements entitled “Basis of Presentation” for further details.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September 2006, the FASB issued Statement of Financial Accounting Standards No. 157, Fair Value Measurements (“SFAS 157”). SFAS 157 defines fair value, establishes a framework for measuring fair value in generally accepted accounting principles (“GAAP”) and expands disclosures about fair value measurements. SFAS 157 is effective for financial statements issued for fiscal years beginning after November 15, 2007. We are currently assessing the impact this provision may have on Integra’s financial position or results of operations.</w:t>
      </w:r>
    </w:p>
    <w:p>
      <w:pPr>
        <w:spacing w:after="0" w:line="14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February 2007, the FASB issued Statement of Financial Accounting Standards No. 159, The Fair Value Option for Financial Assets and Financial Liabilities (“SFAS 159”). SFAS 159 provides companies an option to report certain financial assets and 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We are evaluating the impact this new standard will have on Integra’s financial position and results of operations.</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We are exposed to the risk of interest rate fluctuations on the interest paid under the terms of our $300 million senior secured credit facility. At the Company’s option, loans under this facility will bear interest either at a rate equal to LIBOR plus an effective applicable margin or at a base rate, which is defined as the higher of the Federal Funds Rate plus 1/2 of 1% or the rate of interest announced publicly by the Administrative Agent as its “prime rate.” A hypothetical 100 basis point movement in interest rates applicable to this credit facility could increase or decrease interest expense by up to approximately $3,000,000 on an annual basis depending on the amount outstanding. However, we had no borrowings under the credit facility as of September 30, 2007.</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In connection with the preparation of this Quarterly Report on Form 10-Q, our management carried out an evaluation, under the supervision and with the participation of our management, including our principal executive officer and principal financial officer, of the effectiveness of the design and operation of our disclosure controls and procedures, as such term is defined under Rule 13a-15(e) under the Exchange Act. Based upon this evaluation, our principal executive officer and principal financial officer concluded that our disclosure controls and procedures were not effective at a reasonable assurance level as of September 30, 2007 because of the material weakness discussed below. Notwithstanding the material weakness discussed below, our management has concluded that the condensed consolidated financial statements included in this Quarterly Report on Form 10-Q fairly present in all material respects our financial condition, results of operations and cash flows for the periods presented in conformity with generally accepted accounting principles.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There were no material changes in our internal control over financial reporting (as defined in Rules 13a-15(f) and 15d-15(f) under the Exchange Act) that occurred during the quarter ended September 30, 2007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Action Plan and Progress to Date</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In our Form 10-Q for the three months ended March 31, 2007, management noted it had identified a material weakness in our internal control over financial reporting with respect to the review and approval of certain account reconciliations, particularly in the areas of accrued liabilities, income taxes, intercompany, and certain other asset accounts. Turnover in our finance department was a contributor to the material weakness noted. Remediation of this weakness had not yet been completed and, therefore, this material weakness continued to exist as of September 30, 2007.</w:t>
      </w:r>
    </w:p>
    <w:p>
      <w:pPr>
        <w:spacing w:after="0" w:line="14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response to the material weakness identified as of March 31, 2007, we have taken certain actions and will continue to take further steps in an attempt to strengthen our control processes and procedures in order to remediate such material weakness. We will continue to evaluate the effectiveness of our internal controls and procedures on an ongoing basis and will take further action as appropriate. These actions include an assessment of intercompany accounts and the reconciliation process with the assistance of outside consultants. This was helpful not only in connection with the September 30, 2007 quarterly close, but also identified a number of process improvements which will be implemented in future monthly and quarterly closes.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have taken and are taking the following actions to remediate the material weakness identified above as existing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2007:</w:t>
      </w:r>
    </w:p>
    <w:p>
      <w:pPr>
        <w:spacing w:after="0" w:line="184" w:lineRule="exact"/>
        <w:rPr>
          <w:sz w:val="20"/>
          <w:szCs w:val="20"/>
          <w:color w:val="auto"/>
        </w:rPr>
      </w:pPr>
    </w:p>
    <w:p>
      <w:pPr>
        <w:jc w:val="both"/>
        <w:ind w:left="1080" w:right="179" w:hanging="370"/>
        <w:spacing w:after="0" w:line="259"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Recruit additional accounting and tax professionals who can provide the adequate experience and knowledge to improve the timeliness and effectiveness of our account reconciliation and ultimately the financial reporting processes. We continue to utilize our internal audit group and outside consultants as needed to assist with executing the preparation and/or reviews of reconciliations.</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59" w:hanging="370"/>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Enforce compliance with and revise the processes for intercompany transactions to allow for easier accounting and monitoring of such transactions and implement additional procedures to ensure that intercompany invoices are processed and matched on a more timely basis.</w:t>
      </w:r>
    </w:p>
    <w:p>
      <w:pPr>
        <w:spacing w:after="0" w:line="5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the financial system capabilities and automate transactions which can be automated.</w:t>
      </w:r>
    </w:p>
    <w:p>
      <w:pPr>
        <w:spacing w:after="0" w:line="19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2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We will continue to develop new policies and procedures as well as educate and train our financial reporting department regarding our existing policies and procedures in a continual effort to improve our internal control over financial reporting, and will be taking further actions as appropriate. We view this as an ongoing effort to which we will devote significant resources.</w:t>
      </w:r>
    </w:p>
    <w:p>
      <w:pPr>
        <w:spacing w:after="0" w:line="12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We believe that the foregoing actions have improved and will continue to improve our internal control over financial reporting, as well as our disclosure controls and procedures.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action seeks declaratory relief that Codman’s DURAFORM™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15"/>
          <w:szCs w:val="15"/>
          <w:color w:val="auto"/>
        </w:rPr>
        <w:t>®</w:t>
      </w:r>
      <w:r>
        <w:rPr>
          <w:rFonts w:ascii="Arial" w:cs="Arial" w:eastAsia="Arial" w:hAnsi="Arial"/>
          <w:sz w:val="18"/>
          <w:szCs w:val="18"/>
          <w:color w:val="auto"/>
        </w:rPr>
        <w:t xml:space="preserve"> Dural Graft Matrix. The Company has filed a counterclaim against Codman, alleging that Codman’s DURAFORM™ product infringes the ‘895 Patent, seeking injunctive relief preventing the sale and use of DURAFORM™, and seeking damages, including treble damages, for past infringement.</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July 1996, the Company sued Merck KGaA, a German corporation, seeking damages for patent infringement. The patents in question are part of a group of patents granted to The Burnham Institute and licensed by the Company that are based on the interaction between a family of cell surface proteins called integrins and the arginine-glycine-aspartic acid peptide sequence found in many extracellular matrix proteins.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case has been tried, appealed, returned to the trial court and further appealed. Most recently, on July 27, 2007 the United States Court of Appeals for the Federal Circuit reversed the judgment of the United States District Court and held that the evidence did not support the jury’s verdict that Merck KGaA infringed on the Company’s patents. In October 2007, the parties entered into a stipulation that concludes the case upon the Company’s payment to Merck of fees relating to certain expenses of Merck. The disposition of this case does not affect any of the Company’s products or development projects.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3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Our international operations subject us to customs, import-export and sanctioned country laws. These laws restrict, and in some cases prohibit, United States companies from directly or indirectly selling goods, technology or services to people or entities in certain countries. These laws also prohibit transactions with certain designated persons. In addition, the United States’ foreign corrupt practices laws could inhibit our ability to transact business in countries where companies that are not subject to those laws compete against the Company and engage in practices that such laws prohibit the Company from engaging in.</w:t>
      </w:r>
    </w:p>
    <w:p>
      <w:pPr>
        <w:spacing w:after="0" w:line="13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in connection with loss contingencies as those fees are incurred by outside counsel as a period cost.</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2006 (as modified by the subsequent Quarterly Reports on Form 10-Q for the periods ended March 31, 2007 and June 30, 2007) have not materially changed other than the modifications to the risks factors as set forth below.</w:t>
      </w:r>
    </w:p>
    <w:p>
      <w:pPr>
        <w:spacing w:after="0" w:line="137"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The industry and market segments in which we operate are highly competitive, and we may be unable to compete effectively with other companies.</w:t>
      </w:r>
    </w:p>
    <w:p>
      <w:pPr>
        <w:spacing w:after="0" w:line="125"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40"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 large company introduced a duraplasty product in 2006 and others may be preparing to introduce similar products. Competitors have also been developing products to compete with our extremity reconstruction implants. The introduction and market acceptance of such products could reduce the sales, growth in sales and profitability of our duraplasty products.</w:t>
      </w:r>
    </w:p>
    <w:p>
      <w:pPr>
        <w:spacing w:after="0" w:line="142"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in the orthopedic category. In surgical instruments, we compete with V. Mueller, a division of Cardinal Healthcare, as well as Aesculap. In addition, we compete with Codman and many smaller instrument companies in the reusable and disposable specialty instruments markets. Our private-label products face diverse and broad competition, depending on the market addressed by the product. In the orthobiologic market we compete with several of the large orthopedics companies and small to mid-size specialty companies.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future financial results could be adversely impacted by impairments or other charges.</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Since we have grown through acquisitions, we had $179.3 million of goodwill as of September 30, 2007. Under Statement of Financial Accounting Standards (“SFAS”) No. 142, “Goodwill and Other Intangible Assets,” we are required to test both goodwill and other indefinite-lived intangible assets for impairment on an annual basis based upon a fair value approach, rather than amortizing them over time. We are also required to test goodwill for impairment between annual tests if an event occurs or circumstances change that would more likely than not reduce our enterprise fair value below its book value. See “Management’s Discussion and Analysis of Financial Condition and Results of Operations — Critical Accounting Policies and the Use of Estimates — Goodwill and other Intangible Assets” in our Annual Report on Form 10-K for the year ended December 31, 2006.</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SFAS No. 144, “Accounting for the Impairment or Disposal of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September 30, 2007, we had $181.2 million of other intangible assets.</w:t>
      </w:r>
    </w:p>
    <w:p>
      <w:pPr>
        <w:spacing w:after="0" w:line="16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value of biotechnology and medical device businesses is often volatile, and the assumptions underlying our estimates made in connection with our assessments under SFAS No. 142 or 144 may change as a result of that volatility or other factors outside of our control and may result in impairment charges. The amount of any such impairment charges under SFAS No. 142 or 144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49" w:lineRule="exact"/>
        <w:rPr>
          <w:sz w:val="20"/>
          <w:szCs w:val="20"/>
          <w:color w:val="auto"/>
        </w:rPr>
      </w:pPr>
    </w:p>
    <w:p>
      <w:pPr>
        <w:jc w:val="both"/>
        <w:ind w:left="340" w:right="159"/>
        <w:spacing w:after="0" w:line="266" w:lineRule="auto"/>
        <w:rPr>
          <w:sz w:val="20"/>
          <w:szCs w:val="20"/>
          <w:color w:val="auto"/>
        </w:rPr>
      </w:pPr>
      <w:r>
        <w:rPr>
          <w:rFonts w:ascii="Arial" w:cs="Arial" w:eastAsia="Arial" w:hAnsi="Arial"/>
          <w:sz w:val="18"/>
          <w:szCs w:val="18"/>
          <w:b w:val="1"/>
          <w:b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4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a manufacturer and marketer of medical devices, we are subject to extensive regulation by the Food and Drug Administration (the “FDA”)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166"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could adversely impact our ability to compete against alternative products or technologies, which could impact our sales. In addition, for products with an approved Pre-Marketing Approval (PMA), the FDA requires annual reports and may require post-approval surveillance programs to monitor the products’ safety and effectiveness. Results of post-approval programs may limit or expand the further marketing of the product.</w:t>
      </w:r>
    </w:p>
    <w:p>
      <w:pPr>
        <w:spacing w:after="0" w:line="12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13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Approved products are subject to continuing FDA requirements relating to quality control and quality assurance, maintenance of records, reporting of adverse events and product recalls, documentation, and labeling and promotion of medical devices. For example, our orthobiologics products, acquired in connection with the IsoTis, Inc. transaction, are subject to FDA regulations regarding human cells, tissues, and cellular or tissue-based products, which include requirements for establishment registration and listing, donor eligibility, current good tissue practices, labeling, adverse-event reporting, and inspection and enforcement.</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168"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We are also subject to the regulatory requirements of countries outside the United States where we do business. For example, under the European Union Medical Device Directive, all medical devices must meet the Medical Device Directive standards and receive CE Mark Certification. CE Mark Certification requires a comprehensive Quality System program, comprehensive technical documentation and data on the product, which a “Notified Body” in Europe reviews. In addition, we must be certified to the ISO 13485:2003 Quality System standards and maintain this certification in order to market our products in the European Union, Canada and most other countries outside the United States.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and the Ministry of Health, Labor and Welfare in Japan to comply with the amendment to the Pharmaceutical Affairs Law. These new regulations may affect our ability to obtain approvals of new products for sale in Japan.</w:t>
      </w:r>
    </w:p>
    <w:p>
      <w:pPr>
        <w:spacing w:after="0" w:line="135"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Lack of market acceptance for our products or market preference for technologies that compete with our products could reduce our revenues and profitability.</w:t>
      </w:r>
    </w:p>
    <w:p>
      <w:pPr>
        <w:spacing w:after="0" w:line="125" w:lineRule="exact"/>
        <w:rPr>
          <w:sz w:val="20"/>
          <w:szCs w:val="20"/>
          <w:color w:val="auto"/>
        </w:rPr>
      </w:pPr>
    </w:p>
    <w:p>
      <w:pPr>
        <w:jc w:val="both"/>
        <w:ind w:left="340" w:right="179" w:firstLine="389"/>
        <w:spacing w:after="0" w:line="297" w:lineRule="auto"/>
        <w:rPr>
          <w:sz w:val="20"/>
          <w:szCs w:val="20"/>
          <w:color w:val="auto"/>
        </w:rPr>
      </w:pPr>
      <w:r>
        <w:rPr>
          <w:rFonts w:ascii="Arial" w:cs="Arial" w:eastAsia="Arial" w:hAnsi="Arial"/>
          <w:sz w:val="16"/>
          <w:szCs w:val="16"/>
          <w:color w:val="auto"/>
        </w:rPr>
        <w:t xml:space="preserve">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 </w:t>
      </w:r>
      <w:r>
        <w:rPr>
          <w:rFonts w:ascii="Arial" w:cs="Arial" w:eastAsia="Arial" w:hAnsi="Arial"/>
          <w:sz w:val="13"/>
          <w:szCs w:val="13"/>
          <w:color w:val="auto"/>
        </w:rPr>
        <w:t>®</w:t>
      </w:r>
      <w:r>
        <w:rPr>
          <w:rFonts w:ascii="Arial" w:cs="Arial" w:eastAsia="Arial" w:hAnsi="Arial"/>
          <w:sz w:val="16"/>
          <w:szCs w:val="16"/>
          <w:color w:val="auto"/>
        </w:rPr>
        <w:t xml:space="preserve"> Dermal Regeneration Template.</w:t>
      </w:r>
    </w:p>
    <w:p>
      <w:pPr>
        <w:spacing w:after="0" w:line="13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market acceptance of our bone graft substitutes will depend on our ability to demonstrate that our existing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124"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insurance, against our products or third-party determinations that favor a competitor’s product over ours, could harm acceptance or continued use of our products. The industry is subject to rapid and continuous change arising from, among other things, consolidation, technological improvements and the pressure on third-party payors and providers to reduce healthcare costs. One or more of these factors may vary unpredictably, and such variations could have a material adverse effect on our competitive position. We may not be able to adjust our contemplated plan of development to meet changing market demands.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 may be difficult to replace some of our suppliers.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38" w:lineRule="exact"/>
        <w:rPr>
          <w:sz w:val="20"/>
          <w:szCs w:val="20"/>
          <w:color w:val="auto"/>
        </w:rPr>
      </w:pPr>
    </w:p>
    <w:p>
      <w:pPr>
        <w:ind w:left="1080" w:right="179" w:hanging="370"/>
        <w:spacing w:after="0" w:line="217"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collagen-based products, such as the Integra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Dermal Regeneration Template and wound dressing products, the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products, and our Absorbable Collagen Sponges;</w:t>
      </w:r>
    </w:p>
    <w:p>
      <w:pPr>
        <w:spacing w:after="0" w:line="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our products made from silicone, such as our neurosurgical shunts and drainage systems and hemodynamic shunts; and</w:t>
      </w:r>
    </w:p>
    <w:p>
      <w:pPr>
        <w:spacing w:after="0" w:line="110" w:lineRule="exact"/>
        <w:rPr>
          <w:rFonts w:ascii="Arial" w:cs="Arial" w:eastAsia="Arial" w:hAnsi="Arial"/>
          <w:sz w:val="16"/>
          <w:szCs w:val="16"/>
          <w:b w:val="1"/>
          <w:bCs w:val="1"/>
          <w:color w:val="auto"/>
        </w:rPr>
      </w:pPr>
    </w:p>
    <w:p>
      <w:pPr>
        <w:ind w:left="1080" w:right="179" w:hanging="370"/>
        <w:spacing w:after="0" w:line="277"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products which use many different electronic parts from numerous suppliers, such as our intracranial monitors and catheters.</w:t>
      </w:r>
    </w:p>
    <w:p>
      <w:pPr>
        <w:spacing w:after="0" w:line="14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addition, our orthobiologics products, acquired in the IsoTis, Inc. transaction,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146"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28" w:lineRule="exact"/>
        <w:rPr>
          <w:sz w:val="20"/>
          <w:szCs w:val="20"/>
          <w:color w:val="auto"/>
        </w:rPr>
      </w:pPr>
    </w:p>
    <w:p>
      <w:pPr>
        <w:jc w:val="both"/>
        <w:ind w:left="340" w:right="179"/>
        <w:spacing w:after="0" w:line="282" w:lineRule="auto"/>
        <w:rPr>
          <w:sz w:val="20"/>
          <w:szCs w:val="20"/>
          <w:color w:val="auto"/>
        </w:rPr>
      </w:pPr>
      <w:r>
        <w:rPr>
          <w:rFonts w:ascii="Arial" w:cs="Arial" w:eastAsia="Arial" w:hAnsi="Arial"/>
          <w:sz w:val="18"/>
          <w:szCs w:val="18"/>
          <w:b w:val="1"/>
          <w:bCs w:val="1"/>
          <w:color w:val="auto"/>
        </w:rPr>
        <w:t>If any of our manufacturing facilities were damaged and/or our manufacturing or business processes interrupted, we could experience lost revenues and our business could be seriously harmed.</w:t>
      </w:r>
    </w:p>
    <w:p>
      <w:pPr>
        <w:spacing w:after="0" w:line="13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addition, certain of our surgical instruments have some manufacturing processes performed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are working to develop providers of these services in other countries, we cannot guarantee that we will be completely successful in achieving these relationships. Even if we are successful in establishing these alternative relationships, we cannot guarantee that we will be able to do so at the same level of costs or that we will be able to pass along additional costs to our customers.</w:t>
      </w:r>
    </w:p>
    <w:p>
      <w:pPr>
        <w:spacing w:after="0" w:line="162"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addition, we began implementing an enterprise business system in 2004, which we intend to use in our facilities. This system, the hosting and maintenance of which we outsource, replaces several systems on which we previously relied and will be implemented in several stages. Currently, we do not have a comprehensive disaster recovery plan for these functions, but we have adopted various alternative solutions to help mitigate the risk, including implementing backup equipment, power and communications. We have outsourced our product distribution function in the United States and in Europe. A delay or other problem with the enterprise business system or with our outsourced distribution functions could have a material adverse effect on our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Regulatory oversight of the medical device industry might affect the manner in which we may sell medical devices.</w:t>
      </w:r>
    </w:p>
    <w:p>
      <w:pPr>
        <w:spacing w:after="0" w:line="20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and state law equivalents to these federal laws that are meant to protect against fraud and abuse. Violations of these laws are punishable by criminal and civil sanctions, including, in some instances civil and criminal penalties, damages, fines, exclusion from participation in federal and state healthcare programs, including Medicare and Medicaid, and the curtailment of restructuring of operations. Although we exercise care in structuring our sales and marketing practices and customer discount arrangements to comply with those laws and regulations, we cannot assure you that:</w:t>
      </w:r>
    </w:p>
    <w:p>
      <w:pPr>
        <w:spacing w:after="0" w:line="152" w:lineRule="exact"/>
        <w:rPr>
          <w:sz w:val="20"/>
          <w:szCs w:val="20"/>
          <w:color w:val="auto"/>
        </w:rPr>
      </w:pPr>
    </w:p>
    <w:p>
      <w:pPr>
        <w:ind w:left="1080" w:right="159" w:hanging="370"/>
        <w:spacing w:after="0" w:line="277"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4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government regulators or courts will interpret those laws or regulations in a manner consistent with our interpretation.</w:t>
      </w:r>
    </w:p>
    <w:p>
      <w:pPr>
        <w:spacing w:after="0" w:line="196"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the sales and marketing practices of our industry have been the subject of increased scrutiny from government agencies, and we believe that this trend will continue. For example, proposed legislation would require detailed disclosure of gifts made to health care professionals.</w:t>
      </w:r>
    </w:p>
    <w:p>
      <w:pPr>
        <w:spacing w:after="0" w:line="120"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We are subject to regulatory requirements relating to the use of hazardous substances which may impose significant compliance costs on us.</w:t>
      </w:r>
    </w:p>
    <w:p>
      <w:pPr>
        <w:spacing w:after="0" w:line="139"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For example, our allograft bone tissue processing in both the United States and Europe may generate waste materials, which in the United State, are classified as medical waste under regulations promulgated by the U.S. Environmental Protection Agency and various state and local environmental regulations. Although we believe that our safety procedures for handling and disposing of these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We had a material weakness in our internal control over financial reporting and cannot assure you that additional material weaknesses will not be identified in the future.</w:t>
      </w:r>
    </w:p>
    <w:p>
      <w:pPr>
        <w:spacing w:after="0" w:line="13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Management identified a material weakness in our internal control over the review and approval of certain account reconciliations that existed during the quarter ended March 31, 2007. Turnover in our finance department was a contributor to the material weakness noted. Remediation of this weakness had not yet been completed, and therefore this material weakness continued to exist as of September 30, 2007.</w:t>
      </w:r>
    </w:p>
    <w:p>
      <w:pPr>
        <w:spacing w:after="0" w:line="146"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While we aim to work diligently to ensure a robust accounting system that is devoid of significant deficiencies and material weaknesses, given the growth of our business through acquisitions and the complexity of the accounting rules, we may, in the future, identify additional significant deficiencies or material weaknesses in our disclosure controls and procedures and internal control over financial reporting.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accounting method for our convertible debt securities may be subject to change.</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In July 2007, the Financial Accounting Standards Board (“FASB”) voted unanimously to approve the preparation of a FASB Staff Position (“FSP”) on the accounting for convertible debt securities that requires or permits settlement in cash either in whole or in part upon conversion (“cash settled convertible debt securities”), which includes our convertible debt securities. As publicly discussed by the FASB to date, the proposed FSP would require the proceeds from the issuance of such convertible debt instruments to be allocated between a liability component and an equity component. The resulting debt discount would be amortized over the period the convertible debt is expected to be outstanding as additional non-cash interest expense. The change in accounting treatment would be effective for fiscal years beginning after December 15, 2007, and applied retrospectively to prior periods. If adopted and issued as publicly discussed, this FSP would change the accounting treatment for our 2.5% Contingent Convertible Subordinated Notes due in 2008 and our 2.375% and 2.75% Senior Convertible Notes due in 2010 and 2012, respectively. The impact of this new accounting treatment would be significant and result in an increase to non-cash interest expense beginning in fiscal year 2008 for financial statements covering past and future periods.</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summarizes our repurchases of our common stock during the quarter ended September 30, 2007.</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Dollar Value of</w:t>
            </w:r>
          </w:p>
        </w:tc>
      </w:t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 as</w:t>
            </w:r>
          </w:p>
        </w:tc>
        <w:tc>
          <w:tcPr>
            <w:tcW w:w="1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Shares that May</w:t>
            </w:r>
          </w:p>
        </w:tc>
      </w:tr>
      <w:tr>
        <w:trPr>
          <w:trHeight w:val="216"/>
        </w:trPr>
        <w:tc>
          <w:tcPr>
            <w:tcW w:w="3960" w:type="dxa"/>
            <w:vAlign w:val="bottom"/>
          </w:tcPr>
          <w:p>
            <w:pPr>
              <w:spacing w:after="0"/>
              <w:rPr>
                <w:sz w:val="18"/>
                <w:szCs w:val="18"/>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1680" w:type="dxa"/>
            <w:vAlign w:val="bottom"/>
            <w:gridSpan w:val="3"/>
          </w:tcPr>
          <w:p>
            <w:pPr>
              <w:jc w:val="center"/>
              <w:ind w:left="90"/>
              <w:spacing w:after="0"/>
              <w:rPr>
                <w:sz w:val="20"/>
                <w:szCs w:val="20"/>
                <w:color w:val="auto"/>
              </w:rPr>
            </w:pPr>
            <w:r>
              <w:rPr>
                <w:rFonts w:ascii="Arial" w:cs="Arial" w:eastAsia="Arial" w:hAnsi="Arial"/>
                <w:sz w:val="18"/>
                <w:szCs w:val="18"/>
                <w:color w:val="auto"/>
                <w:w w:val="94"/>
              </w:rPr>
              <w:t>Part of Publicly</w:t>
            </w:r>
          </w:p>
        </w:tc>
        <w:tc>
          <w:tcPr>
            <w:tcW w:w="1500" w:type="dxa"/>
            <w:vAlign w:val="bottom"/>
            <w:gridSpan w:val="4"/>
          </w:tcPr>
          <w:p>
            <w:pPr>
              <w:jc w:val="center"/>
              <w:ind w:left="10"/>
              <w:spacing w:after="0"/>
              <w:rPr>
                <w:sz w:val="20"/>
                <w:szCs w:val="20"/>
                <w:color w:val="auto"/>
              </w:rPr>
            </w:pPr>
            <w:r>
              <w:rPr>
                <w:rFonts w:ascii="Arial" w:cs="Arial" w:eastAsia="Arial" w:hAnsi="Arial"/>
                <w:sz w:val="18"/>
                <w:szCs w:val="18"/>
                <w:color w:val="auto"/>
                <w:w w:val="86"/>
              </w:rPr>
              <w:t>Yet be Purchased</w:t>
            </w:r>
          </w:p>
        </w:tc>
      </w:t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color w:val="auto"/>
              </w:rPr>
              <w:t>of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Price Paid</w:t>
            </w:r>
          </w:p>
        </w:tc>
        <w:tc>
          <w:tcPr>
            <w:tcW w:w="3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Announced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Under the</w:t>
            </w: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Purchased</w:t>
            </w:r>
          </w:p>
        </w:tc>
        <w:tc>
          <w:tcPr>
            <w:tcW w:w="1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per Share</w:t>
            </w:r>
          </w:p>
        </w:tc>
        <w:tc>
          <w:tcPr>
            <w:tcW w:w="3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Program(1)</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July 1, 2007 — July 31, 2007</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August 1, 2007 — August 31, 2007</w:t>
            </w:r>
          </w:p>
        </w:tc>
        <w:tc>
          <w:tcPr>
            <w:tcW w:w="2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2007 — September 30, 2007</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75,000,000</w:t>
            </w:r>
          </w:p>
        </w:tc>
      </w:tr>
      <w:tr>
        <w:trPr>
          <w:trHeight w:val="223"/>
        </w:trPr>
        <w:tc>
          <w:tcPr>
            <w:tcW w:w="396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20" w:right="159" w:hanging="388"/>
        <w:spacing w:after="0" w:line="255"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17, 2007, the Company’s Board of Directors authorized the Company to repurchase shares of its common stock for an aggregate purchase price not to exceed $75 million through December 31, 2007. On October 30, 2007, the Company’s Board of Directors terminated the repurchase authorization it adopted in May 2007 and authorized the Company to repurchase shares of its common stock for an aggregate purchase price not to exceed $75 million through December 31, 2008. Shares may be repurchased either in the open market or in privately negotiated transactions. See Note 9 to the unaudited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560" w:right="259" w:hanging="778"/>
        <w:spacing w:after="0" w:line="297" w:lineRule="auto"/>
        <w:tabs>
          <w:tab w:leader="none" w:pos="1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Fourth Amendment, dated as of September 5, 2007, among Integra LifeSciences Holdings Corporation, the lenders party thereto, Bank of America, N.A., as Administrative Agent, Swing Line Lender and L/C Issuer, Citibank, N.A., successor by merger to Citibank, FSB, as Syndication Agent and JPMorgan Chase Bank, N.A., Deutsche Bank Trust Company Americas and Royal Bank of Canada, as Co-Documentation Agents (Incorporated by reference to Exhibit 4.1 to the Company’s Current Report on Form 8-K filed on September 6, 2007)</w:t>
      </w:r>
    </w:p>
    <w:p>
      <w:pPr>
        <w:spacing w:after="0" w:line="158" w:lineRule="exact"/>
        <w:rPr>
          <w:sz w:val="20"/>
          <w:szCs w:val="20"/>
          <w:color w:val="auto"/>
        </w:rPr>
      </w:pPr>
    </w:p>
    <w:p>
      <w:pPr>
        <w:ind w:left="1560" w:right="379" w:hanging="868"/>
        <w:spacing w:after="0" w:line="264" w:lineRule="auto"/>
        <w:tabs>
          <w:tab w:leader="none" w:pos="1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Agreement and Plan of Merger, dated as of August 6, 2007, among Integra LifeSciences Holdings Corporation, Ice Mergercorp, Inc and IsoTis, Inc. (Incorporated by reference to Exhibit 10.1 to the Company’s Current Report on Form 8-K filed on August 7, 2007)</w:t>
      </w:r>
    </w:p>
    <w:p>
      <w:pPr>
        <w:spacing w:after="0" w:line="181" w:lineRule="exact"/>
        <w:rPr>
          <w:sz w:val="20"/>
          <w:szCs w:val="20"/>
          <w:color w:val="auto"/>
        </w:rPr>
      </w:pPr>
    </w:p>
    <w:p>
      <w:pPr>
        <w:ind w:left="1560" w:right="219" w:hanging="868"/>
        <w:spacing w:after="0" w:line="264" w:lineRule="auto"/>
        <w:tabs>
          <w:tab w:leader="none" w:pos="1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Separation Agreement, dated as of September 6, 2007, by and among Integra LifeSciences Holdings Corporation and Maureen B. Bellantoni (Incorporated by reference to Exhibit 10.1 to the Company’s Current Report on Form 8-K filed on September 7, 2007</w:t>
      </w:r>
    </w:p>
    <w:p>
      <w:pPr>
        <w:spacing w:after="0" w:line="181"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225"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225"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225"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198"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6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c>
          <w:tcPr>
            <w:tcW w:w="234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234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November 9, 2007</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c>
          <w:tcPr>
            <w:tcW w:w="234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c>
          <w:tcPr>
            <w:tcW w:w="2340" w:type="dxa"/>
            <w:vAlign w:val="bottom"/>
          </w:tcPr>
          <w:p>
            <w:pPr>
              <w:spacing w:after="0"/>
              <w:rPr>
                <w:sz w:val="16"/>
                <w:szCs w:val="16"/>
                <w:color w:val="auto"/>
              </w:rPr>
            </w:pPr>
          </w:p>
        </w:tc>
      </w:tr>
      <w:tr>
        <w:trPr>
          <w:trHeight w:val="230"/>
        </w:trPr>
        <w:tc>
          <w:tcPr>
            <w:tcW w:w="50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340" w:type="dxa"/>
            <w:vAlign w:val="bottom"/>
          </w:tcPr>
          <w:p>
            <w:pPr>
              <w:spacing w:after="0"/>
              <w:rPr>
                <w:sz w:val="20"/>
                <w:szCs w:val="20"/>
                <w:color w:val="auto"/>
              </w:rPr>
            </w:pPr>
          </w:p>
        </w:tc>
      </w:tr>
      <w:tr>
        <w:trPr>
          <w:trHeight w:val="864"/>
        </w:trPr>
        <w:tc>
          <w:tcPr>
            <w:tcW w:w="5000" w:type="dxa"/>
            <w:vAlign w:val="bottom"/>
          </w:tcPr>
          <w:p>
            <w:pPr>
              <w:ind w:left="340"/>
              <w:spacing w:after="0"/>
              <w:rPr>
                <w:sz w:val="20"/>
                <w:szCs w:val="20"/>
                <w:color w:val="auto"/>
              </w:rPr>
            </w:pPr>
            <w:r>
              <w:rPr>
                <w:rFonts w:ascii="Arial" w:cs="Arial" w:eastAsia="Arial" w:hAnsi="Arial"/>
                <w:sz w:val="18"/>
                <w:szCs w:val="18"/>
                <w:color w:val="auto"/>
              </w:rPr>
              <w:t>Date: November 9, 2007</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c>
          <w:tcPr>
            <w:tcW w:w="234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c>
          <w:tcPr>
            <w:tcW w:w="234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w w:val="95"/>
              </w:rPr>
              <w:t>Executive Vice President, Chief Administrative Officer</w:t>
            </w:r>
          </w:p>
        </w:tc>
        <w:tc>
          <w:tcPr>
            <w:tcW w:w="234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and Acting Chief Financial Officer</w:t>
            </w:r>
          </w:p>
        </w:tc>
        <w:tc>
          <w:tcPr>
            <w:tcW w:w="2340" w:type="dxa"/>
            <w:vAlign w:val="bottom"/>
          </w:tcPr>
          <w:p>
            <w:pPr>
              <w:spacing w:after="0"/>
              <w:rPr>
                <w:sz w:val="20"/>
                <w:szCs w:val="20"/>
                <w:color w:val="auto"/>
              </w:rPr>
            </w:pPr>
          </w:p>
        </w:tc>
      </w:tr>
      <w:tr>
        <w:trPr>
          <w:trHeight w:val="999"/>
        </w:trPr>
        <w:tc>
          <w:tcPr>
            <w:tcW w:w="500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47</w:t>
            </w:r>
          </w:p>
        </w:tc>
        <w:tc>
          <w:tcPr>
            <w:tcW w:w="2340" w:type="dxa"/>
            <w:vAlign w:val="bottom"/>
          </w:tcPr>
          <w:p>
            <w:pPr>
              <w:spacing w:after="0"/>
              <w:rPr>
                <w:sz w:val="24"/>
                <w:szCs w:val="24"/>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560" w:right="259" w:hanging="778"/>
        <w:spacing w:after="0" w:line="297" w:lineRule="auto"/>
        <w:tabs>
          <w:tab w:leader="none" w:pos="1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Fourth Amendment, dated as of September 5, 2007, among Integra LifeSciences Holdings Corporation, the lenders party thereto, Bank of America, N.A., as Administrative Agent, Swing Line Lender and L/C Issuer, Citibank, N.A., successor by merger to Citibank, FSB, as Syndication Agent and JPMorgan Chase Bank, N.A., Deutsche Bank Trust Company Americas and Royal Bank of Canada, as Co-Documentation Agents (Incorporated by reference to Exhibit 4.1 to the Company’s Current Report on Form 8-K filed on September 6, 2007)</w:t>
      </w:r>
    </w:p>
    <w:p>
      <w:pPr>
        <w:spacing w:after="0" w:line="158" w:lineRule="exact"/>
        <w:rPr>
          <w:sz w:val="20"/>
          <w:szCs w:val="20"/>
          <w:color w:val="auto"/>
        </w:rPr>
      </w:pPr>
    </w:p>
    <w:p>
      <w:pPr>
        <w:ind w:left="1560" w:right="379" w:hanging="868"/>
        <w:spacing w:after="0" w:line="264" w:lineRule="auto"/>
        <w:tabs>
          <w:tab w:leader="none" w:pos="1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Agreement and Plan of Merger, dated as of August 6, 2007, among Integra LifeSciences Holdings Corporation, Ice Mergercorp, Inc and IsoTis, Inc. (Incorporated by reference to Exhibit 10.1 to the Company’s Current Report on Form 8-K filed on August 7, 2007)</w:t>
      </w:r>
    </w:p>
    <w:p>
      <w:pPr>
        <w:spacing w:after="0" w:line="181" w:lineRule="exact"/>
        <w:rPr>
          <w:sz w:val="20"/>
          <w:szCs w:val="20"/>
          <w:color w:val="auto"/>
        </w:rPr>
      </w:pPr>
    </w:p>
    <w:p>
      <w:pPr>
        <w:ind w:left="1560" w:right="219" w:hanging="868"/>
        <w:spacing w:after="0" w:line="264" w:lineRule="auto"/>
        <w:tabs>
          <w:tab w:leader="none" w:pos="1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Separation Agreement, dated as of September 6, 2007, by and among Integra LifeSciences Holdings Corporation and Maureen B. Bellantoni (Incorporated by reference to Exhibit 10.1 to the Company’s Current Report on Form 8-K filed on September 7, 2007)</w:t>
      </w:r>
    </w:p>
    <w:p>
      <w:pPr>
        <w:spacing w:after="0" w:line="181"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225"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225"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225"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198"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19"/>
          </w:cols>
          <w:pgMar w:left="240" w:top="419" w:right="1440" w:bottom="1440" w:gutter="0" w:footer="0" w:header="0"/>
        </w:sectPr>
      </w:pPr>
    </w:p>
    <w:bookmarkStart w:id="49" w:name="page50"/>
    <w:bookmarkEnd w:id="49"/>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9,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931" w:right="1440" w:bottom="1440" w:gutter="0" w:footer="0" w:header="0"/>
        </w:sectPr>
      </w:pPr>
    </w:p>
    <w:bookmarkStart w:id="50" w:name="page51"/>
    <w:bookmarkEnd w:id="50"/>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98"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9,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Executive Vice President, Chief Administrative</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Officer and Acting Chief Financial Officer</w:t>
            </w:r>
          </w:p>
        </w:tc>
      </w:tr>
    </w:tbl>
    <w:p>
      <w:pPr>
        <w:sectPr>
          <w:pgSz w:w="11900" w:h="16838" w:orient="portrait"/>
          <w:cols w:equalWidth="0" w:num="1">
            <w:col w:w="9887"/>
          </w:cols>
          <w:pgMar w:left="572" w:top="932" w:right="1440" w:bottom="1440" w:gutter="0" w:footer="0" w:header="0"/>
        </w:sectPr>
      </w:pPr>
    </w:p>
    <w:bookmarkStart w:id="51" w:name="page52"/>
    <w:bookmarkEnd w:id="51"/>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ind w:left="388" w:right="179" w:hanging="388"/>
        <w:spacing w:after="0" w:line="342" w:lineRule="auto"/>
        <w:tabs>
          <w:tab w:leader="none" w:pos="3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2007 (the “Report”) fully complies with the requirement of Section 13(a) or Section 15(d), as applicable, of the Securities Exchange Act of 1934, as amended; and</w:t>
      </w:r>
    </w:p>
    <w:p>
      <w:pPr>
        <w:spacing w:after="0" w:line="96" w:lineRule="exact"/>
        <w:rPr>
          <w:rFonts w:ascii="Arial" w:cs="Arial" w:eastAsia="Arial" w:hAnsi="Arial"/>
          <w:sz w:val="16"/>
          <w:szCs w:val="16"/>
          <w:color w:val="auto"/>
        </w:rPr>
      </w:pPr>
    </w:p>
    <w:p>
      <w:pPr>
        <w:ind w:left="388" w:right="15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9,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931" w:right="1440" w:bottom="1440" w:gutter="0" w:footer="0" w:header="0"/>
        </w:sectPr>
      </w:pPr>
    </w:p>
    <w:bookmarkStart w:id="52" w:name="page53"/>
    <w:bookmarkEnd w:id="52"/>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159"/>
        <w:spacing w:after="0" w:line="277" w:lineRule="auto"/>
        <w:rPr>
          <w:sz w:val="20"/>
          <w:szCs w:val="20"/>
          <w:color w:val="auto"/>
        </w:rPr>
      </w:pPr>
      <w:r>
        <w:rPr>
          <w:rFonts w:ascii="Arial" w:cs="Arial" w:eastAsia="Arial" w:hAnsi="Arial"/>
          <w:sz w:val="18"/>
          <w:szCs w:val="18"/>
          <w:color w:val="auto"/>
        </w:rPr>
        <w:t>I, John B. Henneman, III, Executive Vice President, Chief Administrative Officer and Acting Chief Financial Officer of Integra LifeSciences Holdings Corporation (the “Company”), hereby certify that, to my knowledge:</w:t>
      </w:r>
    </w:p>
    <w:p>
      <w:pPr>
        <w:spacing w:after="0" w:line="130" w:lineRule="exact"/>
        <w:rPr>
          <w:sz w:val="20"/>
          <w:szCs w:val="20"/>
          <w:color w:val="auto"/>
        </w:rPr>
      </w:pPr>
    </w:p>
    <w:p>
      <w:pPr>
        <w:ind w:left="388" w:right="179" w:hanging="388"/>
        <w:spacing w:after="0" w:line="342" w:lineRule="auto"/>
        <w:tabs>
          <w:tab w:leader="none" w:pos="3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2007 (the “Report”) fully complies with the requirement of Section 13(a) or Section 15(d), as applicable, of the Securities Exchange Act of 1934, as amended; and</w:t>
      </w:r>
    </w:p>
    <w:p>
      <w:pPr>
        <w:spacing w:after="0" w:line="96" w:lineRule="exact"/>
        <w:rPr>
          <w:rFonts w:ascii="Arial" w:cs="Arial" w:eastAsia="Arial" w:hAnsi="Arial"/>
          <w:sz w:val="16"/>
          <w:szCs w:val="16"/>
          <w:color w:val="auto"/>
        </w:rPr>
      </w:pPr>
    </w:p>
    <w:p>
      <w:pPr>
        <w:ind w:left="388" w:right="159" w:hanging="388"/>
        <w:spacing w:after="0" w:line="277"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9,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Executive Vice President, Chief Administrative</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Officer and Acting Chief Financial Officer</w:t>
            </w:r>
          </w:p>
        </w:tc>
      </w:tr>
    </w:tbl>
    <w:p>
      <w:pPr>
        <w:spacing w:after="0" w:line="1" w:lineRule="exact"/>
        <w:rPr>
          <w:sz w:val="20"/>
          <w:szCs w:val="20"/>
          <w:color w:val="auto"/>
        </w:rPr>
      </w:pPr>
    </w:p>
    <w:sectPr>
      <w:pgSz w:w="11900" w:h="16838" w:orient="portrait"/>
      <w:cols w:equalWidth="0" w:num="1">
        <w:col w:w="9887"/>
      </w:cols>
      <w:pgMar w:left="572" w:top="9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2019-12-14T02:24:45Z</dcterms:created>
  <dcterms:modified xsi:type="dcterms:W3CDTF">2019-12-14T02:24:45Z</dcterms:modified>
</cp:coreProperties>
</file>