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31, 2011</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Integra LifeSciences Holdings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932"/>
              <w:spacing w:after="0"/>
              <w:rPr>
                <w:sz w:val="20"/>
                <w:szCs w:val="20"/>
                <w:color w:val="auto"/>
              </w:rPr>
            </w:pPr>
            <w:r>
              <w:rPr>
                <w:rFonts w:ascii="Arial" w:cs="Arial" w:eastAsia="Arial" w:hAnsi="Arial"/>
                <w:sz w:val="18"/>
                <w:szCs w:val="18"/>
                <w:color w:val="auto"/>
              </w:rPr>
              <w:t>000-26244</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510317849</w:t>
            </w:r>
          </w:p>
        </w:tc>
      </w:tr>
      <w:tr>
        <w:trPr>
          <w:trHeight w:val="216"/>
        </w:trPr>
        <w:tc>
          <w:tcPr>
            <w:tcW w:w="3280" w:type="dxa"/>
            <w:vAlign w:val="bottom"/>
          </w:tcPr>
          <w:p>
            <w:pPr>
              <w:jc w:val="right"/>
              <w:ind w:right="65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80" w:type="dxa"/>
            <w:vAlign w:val="bottom"/>
          </w:tcPr>
          <w:p>
            <w:pPr>
              <w:jc w:val="center"/>
              <w:spacing w:after="0"/>
              <w:rPr>
                <w:sz w:val="20"/>
                <w:szCs w:val="20"/>
                <w:color w:val="auto"/>
              </w:rPr>
            </w:pPr>
            <w:r>
              <w:rPr>
                <w:rFonts w:ascii="Arial" w:cs="Arial" w:eastAsia="Arial" w:hAnsi="Arial"/>
                <w:sz w:val="18"/>
                <w:szCs w:val="18"/>
                <w:color w:val="auto"/>
                <w:w w:val="88"/>
              </w:rPr>
              <w:t>311 Enterprise Drive, Plainsboro, New Jersey</w:t>
            </w:r>
          </w:p>
        </w:tc>
        <w:tc>
          <w:tcPr>
            <w:tcW w:w="456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08536</w:t>
            </w:r>
          </w:p>
        </w:tc>
      </w:tr>
      <w:tr>
        <w:trPr>
          <w:trHeight w:val="216"/>
        </w:trPr>
        <w:tc>
          <w:tcPr>
            <w:tcW w:w="3280" w:type="dxa"/>
            <w:vAlign w:val="bottom"/>
          </w:tcPr>
          <w:p>
            <w:pPr>
              <w:jc w:val="right"/>
              <w:ind w:right="132"/>
              <w:spacing w:after="0"/>
              <w:rPr>
                <w:sz w:val="20"/>
                <w:szCs w:val="20"/>
                <w:color w:val="auto"/>
              </w:rPr>
            </w:pPr>
            <w:r>
              <w:rPr>
                <w:rFonts w:ascii="Arial" w:cs="Arial" w:eastAsia="Arial" w:hAnsi="Arial"/>
                <w:sz w:val="18"/>
                <w:szCs w:val="18"/>
                <w:color w:val="auto"/>
                <w:w w:val="92"/>
              </w:rPr>
              <w:t>_________________________________</w:t>
            </w:r>
          </w:p>
        </w:tc>
        <w:tc>
          <w:tcPr>
            <w:tcW w:w="456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40" w:type="dxa"/>
            <w:vAlign w:val="bottom"/>
            <w:gridSpan w:val="2"/>
          </w:tcPr>
          <w:p>
            <w:pPr>
              <w:ind w:left="8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609-275-0500</w:t>
            </w:r>
          </w:p>
        </w:tc>
      </w:tr>
      <w:tr>
        <w:trPr>
          <w:trHeight w:val="426"/>
        </w:trPr>
        <w:tc>
          <w:tcPr>
            <w:tcW w:w="3280" w:type="dxa"/>
            <w:vAlign w:val="bottom"/>
          </w:tcPr>
          <w:p>
            <w:pPr>
              <w:spacing w:after="0"/>
              <w:rPr>
                <w:sz w:val="24"/>
                <w:szCs w:val="24"/>
                <w:color w:val="auto"/>
              </w:rPr>
            </w:pPr>
          </w:p>
        </w:tc>
        <w:tc>
          <w:tcPr>
            <w:tcW w:w="4560" w:type="dxa"/>
            <w:vAlign w:val="bottom"/>
          </w:tcPr>
          <w:p>
            <w:pPr>
              <w:ind w:left="160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80" w:type="dxa"/>
            <w:vAlign w:val="bottom"/>
          </w:tcPr>
          <w:p>
            <w:pPr>
              <w:spacing w:after="0"/>
              <w:rPr>
                <w:sz w:val="19"/>
                <w:szCs w:val="19"/>
                <w:color w:val="auto"/>
              </w:rPr>
            </w:pP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October 31, 2011, Integra LifeSciences Holdings Corporation (the "Company") issued a press release announcing financial results for the quarter ended September 30, 2011 (the "Press Release"). A copy of the Press Release is attached as Exhibit 99.1 to this Current Report on Form 8-K and is incorporated by reference into this Item. In the financial statements portion of the Press Release, the Company has included a reconciliation of GAAP revenues to adjusted revenues for the quarter ended September 30, 2011, and GAAP net income to adjusted earnings before interest, taxes, depreciation and amortization ("EBITDA") and adjusted EBITDA excluding stock-based compensation, GAAP net income to adjusted net income, and GAAP earnings per diluted share to adjusted earnings per diluted share used by management for the quarters ended September 30, 2011 and 2010, as well as GAAP net income to adjusted net income and GAAP earnings per diluted share to adjusted earnings per diluted share used by management for guidance for the year ending December 31, 2011.</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Adjusted Financial Measures</w:t>
      </w:r>
    </w:p>
    <w:p>
      <w:pPr>
        <w:spacing w:after="0" w:line="22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addition to our GAAP results, we provide adjusted revenues, adjusted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 (iii) interest income and expense, (iv) income taxes, (v) those operating expenses also excluded from adjusted net income and, as appropriate (vi) stock-based compensation expense. The measure of adjusted net income consists of GAAP net income, excluding: (i) acquisition-related charges; (ii) certain employee termination and related charges; (iii) intangible asset impairment charges; (iv) charges associated with discontinued product lines; (v) systems implementation charges; (vi) facility consolidation, manufacturing and distribution transfer charges**; (vii) charges related to restructuring our European entities;</w:t>
      </w:r>
    </w:p>
    <w:p>
      <w:pPr>
        <w:ind w:right="20" w:firstLine="8"/>
        <w:spacing w:after="0" w:line="287" w:lineRule="auto"/>
        <w:tabs>
          <w:tab w:leader="none" w:pos="395"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charges related to extending our Chief Executive Officer’s employment contract; (ix) expenses related to issuance costs in connection with the revised credit agreement; (x) expenses related to our Chief Operating Officer joining the Company; (xi) expenses associated with remediation and related unplanned idle time and underutilization at our Plainsboro, New Jersey manufacturing facility; (xii) non-cash amortization of imputed interest for convertible debt; (xiii) intangible asset amortization expense; and (xiv) income tax expense related to above adjustments, quarterly adjustments to income tax expense related to the cumulative impact of changes in estimated tax rates and certain infrequently occurring items that affected the reported tax rate. The adjusted earnings per diluted share measure is calculated by dividing adjusted net income attributable to diluted shares by diluted weighted average shares outstanding. Reconciliations of GAAP revenues to adjusted revenues for the quarter ended September 30, 2011 and GAAP net income to adjusted EBITDA, adjusted EBITDA excluding stock-based compensation and adjusted net income, and GAAP earnings per diluted share to adjusted earnings per diluted share for the quarters ended September 30, 2011 and 2010 appear in the financial tables in the Press Release.</w:t>
      </w:r>
    </w:p>
    <w:p>
      <w:pPr>
        <w:spacing w:after="0" w:line="17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Management uses non-GAAP financial measures in the form of adjusted revenues, adjusted EBITDA, adjusted EBITDA excluding stock-based compensation, adjusted net income and adjusted earnings per diluted share when evaluating operating performance because we believe that the inclusion or exclusion of the items described below, for which the amounts and/or timing may vary significantly depending upon the Company’s acquisition, integration, and restructuring activities, and for which some of the amounts are non-cash in nature, provides a supplemental measure of our operating results that facilitates comparability of our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revenues, adjusted EBITDA, adjusted EBITDA excluding stock-based compensation, adjusted net income and adjusted earnings per diluted share are significant measures used by management for purposes of:</w:t>
      </w:r>
    </w:p>
    <w:p>
      <w:pPr>
        <w:spacing w:after="0" w:line="186"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board of directors;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evaluating, managing and benchmarking the operating performance of the Company;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internal operating budgets;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determining compensation under bonus or other incentive programs;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comparability from period to period;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comparing performance with internal forecasts and targeted business models;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evaluating and valuing potential acquisition candidates.</w:t>
      </w:r>
    </w:p>
    <w:p>
      <w:pPr>
        <w:spacing w:after="0" w:line="21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measure of adjusted revenues that we report reflects the growth in total revenues for the quarter ended September 30, 2011, adjusted for the effects of currency exchange rates on current period revenues. We provide this measure because changes in foreign currency exchange rates can distort our revenue growth favorably or unfavorably, depending upon the strength of the U.S. dollar in relation to the various foreign currencies in which we generate revenues. We generate significant revenues outside the United States in multiple foreign currencies including euros, British pounds, Swiss francs and Australian and Canadian dollars. We believe this measure provides useful information to determine the success of our international selling organizations in increasing sales of products in their local currencies without regard to fluctuations in currency exchanges rates, which we have no control over.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measure of adjusted net income reflects GAAP net income adjusted for one or more of the following items, as applicable:</w:t>
      </w:r>
    </w:p>
    <w:p>
      <w:pPr>
        <w:spacing w:after="0" w:line="225" w:lineRule="exact"/>
        <w:rPr>
          <w:sz w:val="20"/>
          <w:szCs w:val="20"/>
          <w:color w:val="auto"/>
        </w:rPr>
      </w:pPr>
    </w:p>
    <w:p>
      <w:pPr>
        <w:ind w:firstLine="8"/>
        <w:spacing w:after="0" w:line="309" w:lineRule="auto"/>
        <w:tabs>
          <w:tab w:leader="none" w:pos="105" w:val="left"/>
        </w:tabs>
        <w:numPr>
          <w:ilvl w:val="0"/>
          <w:numId w:val="4"/>
        </w:numPr>
        <w:rPr>
          <w:rFonts w:ascii="Arial" w:cs="Arial" w:eastAsia="Arial" w:hAnsi="Arial"/>
          <w:sz w:val="15"/>
          <w:szCs w:val="15"/>
          <w:color w:val="auto"/>
        </w:rPr>
      </w:pPr>
      <w:r>
        <w:rPr>
          <w:rFonts w:ascii="Arial" w:cs="Arial" w:eastAsia="Arial" w:hAnsi="Arial"/>
          <w:sz w:val="15"/>
          <w:szCs w:val="15"/>
          <w:color w:val="auto"/>
        </w:rPr>
        <w:t>Acquisition-related charges. Acquisition-related charges include up-front fees and milestone payments that are expensed as incurred in connection with acquiring licenses or rights to technology for which no product has been approved for sale by regulatory authorities and such approval is not reasonably assured at the time such up-front fees or milestone payments are made, and in-process research and development charges when accounting rules require them to be expensed, inventory fair value purchase accounting adjustments, and legal, accounting and other outside consultants expenses directly related to acquisitions. Inventory fair value purchase accounting adjustments consist of the increase to cost of goods sold that occur as a result of expensing the "step up" in the fair value of inventory that we purchased in connection with acquisitions as that inventory is sold during the financial period. Although recurring given the ongoing character of our development and acquisition programs, these acquisition and in-licensing related charges are not factored into the evaluation of our performance by management after completion of development programs or acquisitions because they are of a temporary nature, they are not related to our core operating performance and the frequency and amount of such charges vary significantly based on the timing and magnitude of our development and acquisition transactions</w:t>
      </w:r>
    </w:p>
    <w:p>
      <w:pPr>
        <w:sectPr>
          <w:pgSz w:w="11900" w:h="16838" w:orient="portrait"/>
          <w:cols w:equalWidth="0" w:num="1">
            <w:col w:w="11420"/>
          </w:cols>
          <w:pgMar w:left="240" w:top="125" w:right="239" w:bottom="0" w:gutter="0" w:footer="0" w:header="0"/>
        </w:sectPr>
      </w:pPr>
    </w:p>
    <w:bookmarkStart w:id="2" w:name="page3"/>
    <w:bookmarkEnd w:id="2"/>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well as the level of inventory on hand at the time of acquisition.</w:t>
      </w:r>
    </w:p>
    <w:p>
      <w:pPr>
        <w:spacing w:after="0" w:line="225" w:lineRule="exact"/>
        <w:rPr>
          <w:sz w:val="20"/>
          <w:szCs w:val="20"/>
          <w:color w:val="auto"/>
        </w:rPr>
      </w:pPr>
    </w:p>
    <w:p>
      <w:pPr>
        <w:ind w:right="140" w:firstLine="8"/>
        <w:spacing w:after="0" w:line="256"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employee termination and related charges. Certain employee termination and related charges consist of charges related to certain significant reductions in force that are not initiated in connection with facility consolidations or manufacturing transfers and senior management level terminations. Management excludes these items when evaluating the Company’s operating performance because these amounts do not affect our core operations and because of the infrequent and/or large scale nature of these activities.</w:t>
      </w:r>
    </w:p>
    <w:p>
      <w:pPr>
        <w:spacing w:after="0" w:line="197" w:lineRule="exact"/>
        <w:rPr>
          <w:rFonts w:ascii="Arial" w:cs="Arial" w:eastAsia="Arial" w:hAnsi="Arial"/>
          <w:sz w:val="18"/>
          <w:szCs w:val="18"/>
          <w:color w:val="auto"/>
        </w:rPr>
      </w:pPr>
    </w:p>
    <w:p>
      <w:pPr>
        <w:ind w:right="40" w:firstLine="8"/>
        <w:spacing w:after="0" w:line="298"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Intangible asset impairment charges. This represents impairment charges recorded against various intangible assets, including completed or core technology, customer relationships, and tradenames. Such impairments result primarily from management decisions to discontinue or significantly reduce promoting certain product lines or tradenames, the inability to incorporate existing product technologies into product development programs, and other circumstances. Management excludes this item when evaluating the Company’s operating performance because of the infrequent and non-cash nature of this activity.</w:t>
      </w:r>
    </w:p>
    <w:p>
      <w:pPr>
        <w:spacing w:after="0" w:line="166" w:lineRule="exact"/>
        <w:rPr>
          <w:rFonts w:ascii="Arial" w:cs="Arial" w:eastAsia="Arial" w:hAnsi="Arial"/>
          <w:sz w:val="16"/>
          <w:szCs w:val="16"/>
          <w:color w:val="auto"/>
        </w:rPr>
      </w:pPr>
    </w:p>
    <w:p>
      <w:pPr>
        <w:ind w:right="36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associated with discontinued product lines. These charges represent charges taken in connection with product lines that the Company discontinues. Management excludes this item when evaluating the Company’s operating performance because discontinued products do not provide useful information regarding the Company’s prospects for future performance.</w:t>
      </w:r>
    </w:p>
    <w:p>
      <w:pPr>
        <w:spacing w:after="0" w:line="194" w:lineRule="exact"/>
        <w:rPr>
          <w:rFonts w:ascii="Arial" w:cs="Arial" w:eastAsia="Arial" w:hAnsi="Arial"/>
          <w:sz w:val="18"/>
          <w:szCs w:val="18"/>
          <w:color w:val="auto"/>
        </w:rPr>
      </w:pPr>
    </w:p>
    <w:p>
      <w:pPr>
        <w:ind w:right="20" w:firstLine="8"/>
        <w:spacing w:after="0" w:line="289"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Systems implementation charges. Systems implementation charges consist of the non-capitalizable portion of internal labor and outside consulting costs related to the implementation of a global enterprise resource planning ("ERP") system. We have inherited many diverse business processes and different information systems through our numerous acquisitions. Accordingly, we are undertaking this initiative in order to standardize business processes globally and to better integrate all of our existing and acquired operations using one information system. Although recurring in nature given the expected timeframe to complete the implementation for our existing operations and our expectation to continue to acquire new businesses and operations, management excludes these charges when evaluating the operating performance of the Company because the frequency and amount of such charges vary significantly based on the timing and magnitude of the Company’s implementation activities. In addition, with the global ERP project entering the application development phase, more costs of the project will be capitalized and, therefore, are not comparable to earlier periods.</w:t>
      </w:r>
    </w:p>
    <w:p>
      <w:pPr>
        <w:spacing w:after="0" w:line="172" w:lineRule="exact"/>
        <w:rPr>
          <w:rFonts w:ascii="Arial" w:cs="Arial" w:eastAsia="Arial" w:hAnsi="Arial"/>
          <w:sz w:val="16"/>
          <w:szCs w:val="16"/>
          <w:color w:val="auto"/>
        </w:rPr>
      </w:pPr>
    </w:p>
    <w:p>
      <w:pPr>
        <w:ind w:firstLine="8"/>
        <w:spacing w:after="0" w:line="290"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Facility consolidation, manufacturing and distribution transfer charges. These charges, which include employee termination and other costs associated with exit or disposal activities, costs related to transferring manufacturing and/or distribution activities to different locations, result from rationalizing and enhancing our existing manufacturing, distribution and administrative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ind w:firstLine="8"/>
        <w:spacing w:after="0" w:line="294"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Charges related to restructuring our European entities. These amounts represent charges recorded in operating or non-operating expenses such as levies and fees paid to government authorities, legal, tax, accounting and consulting fees, and foreign currency gains and losses related to intercompany loan agreements incurred directly as a result of reorganizing our European entities and transfers of business assets between these legal entities. Management excludes this item when evaluating the Company’s operating performance because they are not related to our core operating performance and the frequency and amount of such charges vary significantly based on the timing and magnitude of our legal entity restructuring activities.</w:t>
      </w:r>
    </w:p>
    <w:p>
      <w:pPr>
        <w:spacing w:after="0" w:line="169" w:lineRule="exact"/>
        <w:rPr>
          <w:rFonts w:ascii="Arial" w:cs="Arial" w:eastAsia="Arial" w:hAnsi="Arial"/>
          <w:sz w:val="16"/>
          <w:szCs w:val="16"/>
          <w:color w:val="auto"/>
        </w:rPr>
      </w:pPr>
    </w:p>
    <w:p>
      <w:pPr>
        <w:jc w:val="both"/>
        <w:ind w:right="24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related to extending our Chief Executive Officer’s employment contract. This charge was recognized in the second quarter of 2011 upon the grant of contract stock units that were fully vested at the time of the grant on May 17, 2011. Management excludes this item when evaluating the Company’s operating performance because of the infrequent and non-cash nature of this item.</w:t>
      </w:r>
    </w:p>
    <w:p>
      <w:pPr>
        <w:spacing w:after="0" w:line="194" w:lineRule="exact"/>
        <w:rPr>
          <w:rFonts w:ascii="Arial" w:cs="Arial" w:eastAsia="Arial" w:hAnsi="Arial"/>
          <w:sz w:val="18"/>
          <w:szCs w:val="18"/>
          <w:color w:val="auto"/>
        </w:rPr>
      </w:pPr>
    </w:p>
    <w:p>
      <w:pPr>
        <w:ind w:right="40" w:firstLine="8"/>
        <w:spacing w:after="0" w:line="256"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issuance costs in connection with the revised credit agreement. These expenses related to (i) the remaining unamortized balance of previously capitalized issuance costs relating to certain lenders who are no longer parties to our revised senior credit facility and (ii) a portion of the new issuance costs in connection with amending the credit facility. Management excludes this item when evaluating the Company’s operating performance because of the infrequent nature of this item.</w:t>
      </w:r>
    </w:p>
    <w:p>
      <w:pPr>
        <w:spacing w:after="0" w:line="197" w:lineRule="exact"/>
        <w:rPr>
          <w:rFonts w:ascii="Arial" w:cs="Arial" w:eastAsia="Arial" w:hAnsi="Arial"/>
          <w:sz w:val="18"/>
          <w:szCs w:val="18"/>
          <w:color w:val="auto"/>
        </w:rPr>
      </w:pPr>
    </w:p>
    <w:p>
      <w:pPr>
        <w:ind w:right="14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related to our Chief Operating Officer joining the Company. These amounts represent expenses incurred in connection with the hiring of our Chief Operating Officer, primarily related to the grant of contract stock units that were fully vested on the grant date. Management excludes this item when evaluating the Company‘s operating performance because of the infrequent nature of this activity.</w:t>
      </w:r>
    </w:p>
    <w:p>
      <w:pPr>
        <w:spacing w:after="0" w:line="194" w:lineRule="exact"/>
        <w:rPr>
          <w:rFonts w:ascii="Arial" w:cs="Arial" w:eastAsia="Arial" w:hAnsi="Arial"/>
          <w:sz w:val="18"/>
          <w:szCs w:val="18"/>
          <w:color w:val="auto"/>
        </w:rPr>
      </w:pPr>
    </w:p>
    <w:p>
      <w:pPr>
        <w:ind w:right="160" w:firstLine="8"/>
        <w:spacing w:after="0" w:line="332"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Expenses associated with remediation and related unplanned idle time and underutilization at our Plainsboro, New Jersey manufacturing facility. Management excludes this item when evaluating the Company’s operating performance because of the infrequent nature and the magnitude of this item.</w:t>
      </w:r>
    </w:p>
    <w:p>
      <w:pPr>
        <w:spacing w:after="0" w:line="139" w:lineRule="exact"/>
        <w:rPr>
          <w:rFonts w:ascii="Arial" w:cs="Arial" w:eastAsia="Arial" w:hAnsi="Arial"/>
          <w:sz w:val="16"/>
          <w:szCs w:val="16"/>
          <w:color w:val="auto"/>
        </w:rPr>
      </w:pPr>
    </w:p>
    <w:p>
      <w:pPr>
        <w:ind w:right="40" w:firstLine="8"/>
        <w:spacing w:after="0" w:line="256"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amortization of imputed interest for convertible debt. The convertible debt accounting requires separate accounting for the liability and equity components of the Company’s convertible debt instruments, which may be settled in cash upon conversion, in a manner that reflects an applicable nonconvertible debt borrowing rate at the time that we issued such convertible debt instruments. Management excludes this item when evaluating the Company’s operating performance because of the non-cash nature of the expense.</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Intangible asset amortization expense. Management excludes this item when evaluating the Company’s operating performance because it is a non-cash expense.</w:t>
      </w:r>
    </w:p>
    <w:p>
      <w:pPr>
        <w:spacing w:after="0" w:line="259" w:lineRule="exact"/>
        <w:rPr>
          <w:rFonts w:ascii="Arial" w:cs="Arial" w:eastAsia="Arial" w:hAnsi="Arial"/>
          <w:sz w:val="15"/>
          <w:szCs w:val="15"/>
          <w:color w:val="auto"/>
        </w:rPr>
      </w:pPr>
    </w:p>
    <w:p>
      <w:pPr>
        <w:ind w:right="360" w:firstLine="8"/>
        <w:spacing w:after="0" w:line="268"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expense related to (i) the above adjustments and (ii) quarterly adjustments to income tax expense related to the cumulative impact of changes in estimated tax rates and certain infrequently occurring items that affected the reported tax rate.</w:t>
      </w:r>
    </w:p>
    <w:p>
      <w:pPr>
        <w:spacing w:after="0" w:line="186" w:lineRule="exact"/>
        <w:rPr>
          <w:sz w:val="20"/>
          <w:szCs w:val="20"/>
          <w:color w:val="auto"/>
        </w:rPr>
      </w:pPr>
    </w:p>
    <w:p>
      <w:pPr>
        <w:ind w:firstLine="8"/>
        <w:spacing w:after="0" w:line="332"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tax expense is adjusted by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139" w:lineRule="exact"/>
        <w:rPr>
          <w:rFonts w:ascii="Arial" w:cs="Arial" w:eastAsia="Arial" w:hAnsi="Arial"/>
          <w:sz w:val="16"/>
          <w:szCs w:val="16"/>
          <w:color w:val="auto"/>
        </w:rPr>
      </w:pPr>
    </w:p>
    <w:p>
      <w:pPr>
        <w:ind w:firstLine="8"/>
        <w:spacing w:after="0" w:line="294" w:lineRule="auto"/>
        <w:tabs>
          <w:tab w:leader="none" w:pos="25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tax expense in the current quarter is adjusted by the cumulative impacts in that quarter of changes in income tax rates (statutory and estimated effective tax rates) and certain other infrequently occurring items that relate to prior periods. Management excludes these items when evaluating the Company’s current quarter operating performance because the cumulative impact in the current quarter of these items applies to prior periods and thus distorts the Company’s adjusted income tax rate in the current quarter. The year-to-date adjusted net income and adjusted diluted earnings per share measures are not adjusted by these items, as the cumulative impacts are properly reflected in the year-to-date adjusted results.</w:t>
      </w:r>
    </w:p>
    <w:p>
      <w:pPr>
        <w:spacing w:after="0" w:line="170"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Adjusted revenues, adjusted EBITDA, adjusted EBITDA excluding stock-based compensation, adjusted net income, and adjusted earnings per diluted share are not calculated in accordance with GAAP, and should be considered supplemental to, and not as a substitute for, or superior to, financial measures calculated in</w:t>
      </w:r>
    </w:p>
    <w:p>
      <w:pPr>
        <w:sectPr>
          <w:pgSz w:w="11900" w:h="16854" w:orient="portrait"/>
          <w:cols w:equalWidth="0" w:num="1">
            <w:col w:w="11400"/>
          </w:cols>
          <w:pgMar w:left="240" w:top="131" w:right="259" w:bottom="0" w:gutter="0" w:footer="0" w:header="0"/>
        </w:sectPr>
      </w:pPr>
    </w:p>
    <w:bookmarkStart w:id="3" w:name="page4"/>
    <w:bookmarkEnd w:id="3"/>
    <w:p>
      <w:pPr>
        <w:spacing w:after="0" w:line="254" w:lineRule="auto"/>
        <w:rPr>
          <w:sz w:val="20"/>
          <w:szCs w:val="20"/>
          <w:color w:val="auto"/>
        </w:rPr>
      </w:pPr>
      <w:r>
        <w:rPr>
          <w:rFonts w:ascii="Arial" w:cs="Arial" w:eastAsia="Arial" w:hAnsi="Arial"/>
          <w:sz w:val="18"/>
          <w:szCs w:val="18"/>
          <w:color w:val="auto"/>
        </w:rPr>
        <w:t>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198" w:lineRule="exact"/>
        <w:rPr>
          <w:sz w:val="20"/>
          <w:szCs w:val="20"/>
          <w:color w:val="auto"/>
        </w:rPr>
      </w:pPr>
    </w:p>
    <w:p>
      <w:pPr>
        <w:ind w:firstLine="8"/>
        <w:spacing w:after="0" w:line="259"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94" w:lineRule="exact"/>
        <w:rPr>
          <w:rFonts w:ascii="Arial" w:cs="Arial" w:eastAsia="Arial" w:hAnsi="Arial"/>
          <w:sz w:val="18"/>
          <w:szCs w:val="18"/>
          <w:color w:val="auto"/>
        </w:rPr>
      </w:pPr>
    </w:p>
    <w:p>
      <w:pPr>
        <w:ind w:right="80" w:firstLine="8"/>
        <w:spacing w:after="0" w:line="259"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initiated a long term effort to implement a global enterprise resource planning system, and we expect to continue to incur significant systems implementation charges until that effort is completed. These costs can directly impact the amount of the Company’s available funds and reduce GAAP net income.</w:t>
      </w:r>
    </w:p>
    <w:p>
      <w:pPr>
        <w:spacing w:after="0" w:line="194" w:lineRule="exact"/>
        <w:rPr>
          <w:rFonts w:ascii="Arial" w:cs="Arial" w:eastAsia="Arial" w:hAnsi="Arial"/>
          <w:sz w:val="18"/>
          <w:szCs w:val="18"/>
          <w:color w:val="auto"/>
        </w:rPr>
      </w:pPr>
    </w:p>
    <w:p>
      <w:pPr>
        <w:jc w:val="both"/>
        <w:ind w:right="240" w:firstLine="8"/>
        <w:spacing w:after="0" w:line="259"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financial tables portion of the Press Release, the Company has included a reconciliation of GAAP reported revenues to adjusted revenues for the quarter ended September 30, 2011 and GAAP net income to adjusted EBITDA and adjusted EBITDA excluding stock-based compensation, GAAP net income to adjusted net income, and GAAP earnings per diluted share to adjusted earnings per diluted share used by management for the quarters ended September 30, 2011 and 2010. Also included are reconciliations for future periods.</w:t>
      </w:r>
    </w:p>
    <w:p>
      <w:pPr>
        <w:spacing w:after="0" w:line="197" w:lineRule="exact"/>
        <w:rPr>
          <w:sz w:val="20"/>
          <w:szCs w:val="20"/>
          <w:color w:val="auto"/>
        </w:rPr>
      </w:pPr>
    </w:p>
    <w:p>
      <w:pPr>
        <w:ind w:right="180" w:firstLine="8"/>
        <w:spacing w:after="0" w:line="294"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 starting in the fourth quarter of 2011, the Company will report certain costs to transfer production of its collagen products from its existing manufacturing facility in Plainsboro to a new manufacturing facility in Plainsboro and its existing manufacturing facility in Anasco, Puerto Rico in the "facility consolidation, manufacturing and distribution transfer charges" adjustment category. These costs were not previously adjusted out in the calculation of our adjusted net income or various adjusted EBITDA measures. Accordingly, our adjusted net income and adjusted net income per diluted share estimates for the year-ended December 31, 2011 reflect this change for the fourth quarter of 2011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99.1, and incorporated into this Item 7.01 by reference, is the Press Release issued on October 31, 2011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with attachments, dated October 31, 2011, issued by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Integra LifeSciences Holdings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October 31, 2011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B. Henneman, III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Executive Vice President, Finance and Administration, and</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25"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4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85"/>
              </w:rPr>
              <w:t>Press release with attachments, dated October 31, 2011, issued by Integra</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LifeSciences Holdings Corporation</w:t>
            </w:r>
          </w:p>
        </w:tc>
      </w:tr>
    </w:tbl>
    <w:p>
      <w:pPr>
        <w:sectPr>
          <w:pgSz w:w="11900" w:h="16838" w:orient="portrait"/>
          <w:cols w:equalWidth="0" w:num="1">
            <w:col w:w="10219"/>
          </w:cols>
          <w:pgMar w:left="240" w:top="125" w:right="1440" w:bottom="1440" w:gutter="0" w:footer="0" w:header="0"/>
        </w:sectPr>
      </w:pPr>
    </w:p>
    <w:bookmarkStart w:id="6" w:name="page7"/>
    <w:bookmarkEnd w:id="6"/>
    <w:p>
      <w:pPr>
        <w:spacing w:after="0"/>
        <w:rPr>
          <w:sz w:val="20"/>
          <w:szCs w:val="20"/>
          <w:color w:val="auto"/>
        </w:rPr>
      </w:pPr>
      <w:r>
        <w:rPr>
          <w:rFonts w:ascii="Arial" w:cs="Arial" w:eastAsia="Arial" w:hAnsi="Arial"/>
          <w:sz w:val="29"/>
          <w:szCs w:val="29"/>
          <w:i w:val="1"/>
          <w:iCs w:val="1"/>
          <w:color w:val="auto"/>
        </w:rPr>
        <w:t>News Release</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200" w:lineRule="exact"/>
        <w:rPr>
          <w:sz w:val="20"/>
          <w:szCs w:val="20"/>
          <w:color w:val="auto"/>
        </w:rPr>
      </w:pPr>
    </w:p>
    <w:p>
      <w:pPr>
        <w:spacing w:after="0" w:line="32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Integra LifeSciences Holdings Corporation</w:t>
            </w:r>
          </w:p>
        </w:tc>
        <w:tc>
          <w:tcPr>
            <w:tcW w:w="54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John B. Henneman, III</w:t>
            </w:r>
          </w:p>
        </w:tc>
        <w:tc>
          <w:tcPr>
            <w:tcW w:w="4440" w:type="dxa"/>
            <w:vAlign w:val="bottom"/>
            <w:gridSpan w:val="2"/>
          </w:tcPr>
          <w:p>
            <w:pPr>
              <w:ind w:left="540"/>
              <w:spacing w:after="0"/>
              <w:rPr>
                <w:sz w:val="20"/>
                <w:szCs w:val="20"/>
                <w:color w:val="auto"/>
              </w:rPr>
            </w:pPr>
            <w:r>
              <w:rPr>
                <w:rFonts w:ascii="Arial" w:cs="Arial" w:eastAsia="Arial" w:hAnsi="Arial"/>
                <w:sz w:val="20"/>
                <w:szCs w:val="20"/>
                <w:color w:val="auto"/>
              </w:rPr>
              <w:t>Investor Relations:</w:t>
            </w: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Executive Vice President, Chief Financial Officer</w:t>
            </w:r>
          </w:p>
        </w:tc>
        <w:tc>
          <w:tcPr>
            <w:tcW w:w="4440" w:type="dxa"/>
            <w:vAlign w:val="bottom"/>
            <w:gridSpan w:val="2"/>
          </w:tcPr>
          <w:p>
            <w:pPr>
              <w:ind w:left="540"/>
              <w:spacing w:after="0"/>
              <w:rPr>
                <w:sz w:val="20"/>
                <w:szCs w:val="20"/>
                <w:color w:val="auto"/>
              </w:rPr>
            </w:pPr>
            <w:r>
              <w:rPr>
                <w:rFonts w:ascii="Arial" w:cs="Arial" w:eastAsia="Arial" w:hAnsi="Arial"/>
                <w:sz w:val="20"/>
                <w:szCs w:val="20"/>
                <w:color w:val="auto"/>
              </w:rPr>
              <w:t>Angela Steinway</w:t>
            </w: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(609) 275-0500</w:t>
            </w:r>
          </w:p>
        </w:tc>
        <w:tc>
          <w:tcPr>
            <w:tcW w:w="4440" w:type="dxa"/>
            <w:vAlign w:val="bottom"/>
            <w:gridSpan w:val="2"/>
          </w:tcPr>
          <w:p>
            <w:pPr>
              <w:ind w:left="540"/>
              <w:spacing w:after="0"/>
              <w:rPr>
                <w:sz w:val="20"/>
                <w:szCs w:val="20"/>
                <w:color w:val="auto"/>
              </w:rPr>
            </w:pPr>
            <w:r>
              <w:rPr>
                <w:rFonts w:ascii="Arial" w:cs="Arial" w:eastAsia="Arial" w:hAnsi="Arial"/>
                <w:sz w:val="20"/>
                <w:szCs w:val="20"/>
                <w:color w:val="auto"/>
              </w:rPr>
              <w:t>(609) 936-2268</w:t>
            </w:r>
          </w:p>
        </w:tc>
      </w:tr>
      <w:tr>
        <w:trPr>
          <w:trHeight w:val="246"/>
        </w:trPr>
        <w:tc>
          <w:tcPr>
            <w:tcW w:w="6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jack.henneman@integralife.com</w:t>
            </w:r>
          </w:p>
        </w:tc>
        <w:tc>
          <w:tcPr>
            <w:tcW w:w="540" w:type="dxa"/>
            <w:vAlign w:val="bottom"/>
          </w:tcPr>
          <w:p>
            <w:pPr>
              <w:spacing w:after="0"/>
              <w:rPr>
                <w:sz w:val="21"/>
                <w:szCs w:val="21"/>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angela.steinway@integralife.com</w:t>
            </w: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5"/>
          <w:szCs w:val="25"/>
          <w:i w:val="1"/>
          <w:iCs w:val="1"/>
          <w:color w:val="auto"/>
        </w:rPr>
        <w:t>Integra LifeSciences Reports Third Quarter 2011 Financial Results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3"/>
          <w:szCs w:val="23"/>
          <w:i w:val="1"/>
          <w:iCs w:val="1"/>
          <w:color w:val="auto"/>
        </w:rPr>
        <w:t>Revenues increase 8% to a record $202 million</w:t>
      </w:r>
    </w:p>
    <w:p>
      <w:pPr>
        <w:spacing w:after="0" w:line="27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Plainsboro, New Jersey, October 31, 2011 – Integra LifeSciences Holdings Corporation (NASDAQ: IART) today reported its financial results for the third quarter ending September 30, 2011. Total revenues for the third quarter were $202.2 million, reflecting an increase of</w:t>
      </w:r>
    </w:p>
    <w:p>
      <w:pPr>
        <w:spacing w:after="0" w:line="1"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$15.6 million, or 8%, over the third quarter of 2010. Excluding the impact of currency exchange rates, revenues increased 7% over the third quarter of 2010. We present revenues by product category in a table at the end of this press release.</w:t>
      </w:r>
    </w:p>
    <w:p>
      <w:pPr>
        <w:spacing w:after="0" w:line="205" w:lineRule="exact"/>
        <w:rPr>
          <w:sz w:val="20"/>
          <w:szCs w:val="20"/>
          <w:color w:val="auto"/>
        </w:rPr>
      </w:pPr>
    </w:p>
    <w:p>
      <w:pPr>
        <w:jc w:val="both"/>
        <w:ind w:right="100"/>
        <w:spacing w:after="0" w:line="316" w:lineRule="auto"/>
        <w:rPr>
          <w:sz w:val="20"/>
          <w:szCs w:val="20"/>
          <w:color w:val="auto"/>
        </w:rPr>
      </w:pPr>
      <w:r>
        <w:rPr>
          <w:rFonts w:ascii="Arial" w:cs="Arial" w:eastAsia="Arial" w:hAnsi="Arial"/>
          <w:sz w:val="18"/>
          <w:szCs w:val="18"/>
          <w:color w:val="auto"/>
        </w:rPr>
        <w:t>”Our performance during the third quarter again highlights the strength of our diversified business,” said Stuart Essig, Chief Executive Officer. “Despite a challenging selling environment, recent acquisitions, persistent execution and aggressive cost management delivered solid results.”</w:t>
      </w:r>
    </w:p>
    <w:p>
      <w:pPr>
        <w:spacing w:after="0" w:line="117"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Company reported GAAP net income of $11.2 million, or $0.39 per diluted share, for the third quarter of 2011, compared to GAAP net income of $16.5 million, or $0.55 per diluted share, for the third quarter of 2010.</w:t>
      </w:r>
    </w:p>
    <w:p>
      <w:pPr>
        <w:spacing w:after="0" w:line="150" w:lineRule="exact"/>
        <w:rPr>
          <w:sz w:val="20"/>
          <w:szCs w:val="20"/>
          <w:color w:val="auto"/>
        </w:rPr>
      </w:pPr>
    </w:p>
    <w:p>
      <w:pPr>
        <w:ind w:right="280"/>
        <w:spacing w:after="0" w:line="316" w:lineRule="auto"/>
        <w:rPr>
          <w:sz w:val="20"/>
          <w:szCs w:val="20"/>
          <w:color w:val="auto"/>
        </w:rPr>
      </w:pPr>
      <w:r>
        <w:rPr>
          <w:rFonts w:ascii="Arial" w:cs="Arial" w:eastAsia="Arial" w:hAnsi="Arial"/>
          <w:sz w:val="18"/>
          <w:szCs w:val="18"/>
          <w:color w:val="auto"/>
        </w:rPr>
        <w:t>Adjusted net income for the third quarter of 2011, computed with the adjustments to GAAP reporting set forth in the attached reconciliation, was $22.3 million, or $0.77 per diluted share, compared to $22.1 million, or $0.73 per diluted share, in the third quarter of 2010.</w:t>
      </w:r>
    </w:p>
    <w:p>
      <w:pPr>
        <w:spacing w:after="0" w:line="117"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Integra generated $23.8 million in cash flows from operations and used $12.2 million of cash on capital expenditures in the third quarter of 2011. During the quarter, Integra completed several transactions, accomplishing the following:</w:t>
      </w:r>
    </w:p>
    <w:p>
      <w:pPr>
        <w:spacing w:after="0" w:line="177" w:lineRule="exact"/>
        <w:rPr>
          <w:sz w:val="20"/>
          <w:szCs w:val="20"/>
          <w:color w:val="auto"/>
        </w:rPr>
      </w:pPr>
    </w:p>
    <w:p>
      <w:pPr>
        <w:ind w:left="440" w:right="200" w:hanging="177"/>
        <w:spacing w:after="0" w:line="260" w:lineRule="auto"/>
        <w:tabs>
          <w:tab w:leader="none" w:pos="4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acquired Ascension Orthopedics, Inc., which develops and distributes a complementary range of implants for the shoulder, elbow, wrist, hand, foot and ankle, for $66.5 million;</w:t>
      </w:r>
    </w:p>
    <w:p>
      <w:pPr>
        <w:spacing w:after="0" w:line="176" w:lineRule="exact"/>
        <w:rPr>
          <w:rFonts w:ascii="Arial" w:cs="Arial" w:eastAsia="Arial" w:hAnsi="Arial"/>
          <w:sz w:val="20"/>
          <w:szCs w:val="20"/>
          <w:color w:val="auto"/>
        </w:rPr>
      </w:pPr>
    </w:p>
    <w:p>
      <w:pPr>
        <w:ind w:left="440" w:hanging="177"/>
        <w:spacing w:after="0"/>
        <w:tabs>
          <w:tab w:leader="none" w:pos="440" w:val="left"/>
        </w:tabs>
        <w:numPr>
          <w:ilvl w:val="0"/>
          <w:numId w:val="9"/>
        </w:numPr>
        <w:rPr>
          <w:rFonts w:ascii="Arial" w:cs="Arial" w:eastAsia="Arial" w:hAnsi="Arial"/>
          <w:sz w:val="20"/>
          <w:szCs w:val="20"/>
          <w:color w:val="auto"/>
        </w:rPr>
      </w:pPr>
      <w:r>
        <w:rPr>
          <w:rFonts w:ascii="Arial" w:cs="Arial" w:eastAsia="Arial" w:hAnsi="Arial"/>
          <w:sz w:val="20"/>
          <w:szCs w:val="20"/>
          <w:color w:val="auto"/>
        </w:rPr>
        <w:t>borrowed $50.0 million under its credit facility; and</w:t>
      </w:r>
    </w:p>
    <w:p>
      <w:pPr>
        <w:spacing w:after="0" w:line="215" w:lineRule="exact"/>
        <w:rPr>
          <w:rFonts w:ascii="Arial" w:cs="Arial" w:eastAsia="Arial" w:hAnsi="Arial"/>
          <w:sz w:val="20"/>
          <w:szCs w:val="20"/>
          <w:color w:val="auto"/>
        </w:rPr>
      </w:pPr>
    </w:p>
    <w:p>
      <w:pPr>
        <w:ind w:left="440" w:hanging="177"/>
        <w:spacing w:after="0"/>
        <w:tabs>
          <w:tab w:leader="none" w:pos="4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repurchased approximately 300 thousand shares for $12.0 million in cash.</w:t>
      </w:r>
    </w:p>
    <w:p>
      <w:pPr>
        <w:spacing w:after="0" w:line="21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Adjusted EBITDA for the third quarter of 2011, computed with the adjustments to GAAP reporting set forth in the attached reconciliation, was $41.4 million.</w:t>
      </w:r>
    </w:p>
    <w:p>
      <w:pPr>
        <w:spacing w:after="0" w:line="16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Adjusted EBITDA excluding stock-based compensation for the third quarter of 2011, computed with the adjustments to GAAP reporting set forth in the attached reconciliation, was $44.5 million.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Outlook for 2011</w:t>
      </w:r>
    </w:p>
    <w:p>
      <w:pPr>
        <w:spacing w:after="0" w:line="20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 Company’s revenue guidance for the full year 2011 remains unchanged at $785 million to $800 million. The Company is updating its earnings per share guidance for the full year 2011. The Company is guiding to GAAP earnings per diluted share of between $1.22 and $1.30 and to adjusted earnings per diluted share of between $2.88 and $2.96. In accordance with our usual practice, expectations for financial performance do not include the impact of acquisitions or other strategic corporate transactions that have not yet closed.</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the future, the Company may record, or expects to record, certain additional revenues, gains, expenses or charges as described in the Discussion of Adjusted Financial measures below that it will exclude in the calculation of adjusted EBITDA and adjusted earnings per share for historical periods and in providing adjusted earnings per share guidance.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Conference Call</w:t>
      </w:r>
    </w:p>
    <w:p>
      <w:pPr>
        <w:spacing w:after="0" w:line="202"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Integra has scheduled a conference call for 8:30 AM ET on Monday, October 31, 2011 to discuss financial results for the third quarter and forward-looking financial guidance. The conference call will be hosted by Integra’s senior management team and will be open to all listeners. Additional forward-looking information may be discussed in a question and answer session following the call.</w:t>
      </w:r>
    </w:p>
    <w:p>
      <w:pPr>
        <w:spacing w:after="0" w:line="157"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Access to the live call is available by dialing 719-325-2348 and using the passcode 4635416. The call can also be accessed through a webcast via a link provided on the Investor Relations homepage of Integra’s website at www.integralife.com. Access to the replay is available through November 14, 2011 by dialing 719-457-0820 and using the passcode 4635416. The webcast will also be archived on the website.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Integra LifeSciences, a world leader in medical devices, is dedicated to limiting uncertainty for surgeons, so they can concentrate on providing the best patient care. Integra offers innovative solutions in orthopedics, neurosurgery, spine, reconstructive and general surgery. For more information, please visit www.integralife.com.</w:t>
      </w:r>
    </w:p>
    <w:p>
      <w:pPr>
        <w:sectPr>
          <w:pgSz w:w="11900" w:h="16838" w:orient="portrait"/>
          <w:cols w:equalWidth="0" w:num="1">
            <w:col w:w="11420"/>
          </w:cols>
          <w:pgMar w:left="240" w:top="115" w:right="239" w:bottom="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t>This news release contains forward-looking statements within the meaning of the Private Securities Litigation Reform Act of 1995 that involve risks, uncertainties and reflect the Company’s judgment as of the date of this release. Forward-looking statements include, but are not limited to, statements concerning future financial performance, including projections for revenues, GAAP and adjusted net income, GAAP and adjusted earnings per diluted share, non-GAAP adjustments such as system implementations charges, acquisition-related charges, non-cash amortization of imputed interest for convertible debt, intangible asset amortization, and income tax expense (benefit) related to non-GAAP adjustments. Such forward-looking statements involve risks and uncertainties that could cause actual results to differ materially from predicted or expected results. Such risks and uncertainties include, but are not limited to: the Company’s ability to maintain relationships with customers of acquired entities; physicians’ willingness to adopt and third-party payors’ willingness to provide reimbursement for the Company’s recently launched and planned products; the Company’s ability to manufacture sufficient quantities of its products to meet its customers’ demand; initiatives launched by the Company’s competitors; the Company’s ability to secure regulatory approval for products in development; the Company’s ability to remediate quality systems violations; fluctuations in hospital spending for capital equipment; the Company’s ability to comply with and obtain approvals for products of human origin and comply with recently enacted regulations regarding products containing materials derived from animal sources; difficulties in controlling expenses, including costs to procure and manufacture our products; the impact of changes in management or staff levels; the Company’s ability to integrate acquired businesses; the Company’s ability to leverage its existing selling organizations and administrative infrastructure; the Company’s ability to increase product sales and gross margins, and control non-product costs; the amount and timing of acquisition and integration related costs; the geographic distribution of where the Company generates its taxable income; the effect of legislation effecting healthcare reform in the United States; fluctuations in foreign currency exchange rates; the amount of our convertible notes and bank borrowings outstanding, and the economic, competitive, governmental, technological and other risk factors and uncertainties identified under the heading “Risk Factors” included in Item 1A of Integra’s Annual Report on Form 10-K for the year ended December 31, 2010 and information contained in subsequent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Discussion of Adjusted Financial Measures</w:t>
      </w:r>
    </w:p>
    <w:p>
      <w:pPr>
        <w:spacing w:after="0" w:line="189"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In addition to our GAAP results, we provide adjusted revenues, adjusted earnings before interest, taxes, depreciation and amortization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w:t>
      </w:r>
    </w:p>
    <w:p>
      <w:pPr>
        <w:spacing w:after="0" w:line="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income and expense, (iv) income taxes, (v) those operating expenses also excluded from adjusted net income and, as appropriate</w:t>
      </w:r>
    </w:p>
    <w:p>
      <w:pPr>
        <w:spacing w:after="0" w:line="22" w:lineRule="exact"/>
        <w:rPr>
          <w:rFonts w:ascii="Arial" w:cs="Arial" w:eastAsia="Arial" w:hAnsi="Arial"/>
          <w:sz w:val="18"/>
          <w:szCs w:val="18"/>
          <w:color w:val="auto"/>
        </w:rPr>
      </w:pPr>
    </w:p>
    <w:p>
      <w:pPr>
        <w:ind w:right="120" w:firstLine="8"/>
        <w:spacing w:after="0" w:line="266"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expense. The measure of adjusted net income consists of GAAP net income, excluding: (i) acquisition-related charges; (ii) certain employee termination and related charges; (iii) intangible asset impairment charges; (iv) charges associated with discontinued product lines; (v) systems implementation charges; (vi) facility consolidation, manufacturing and distribution transfer charges**;</w:t>
      </w:r>
    </w:p>
    <w:p>
      <w:pPr>
        <w:ind w:right="60" w:firstLine="8"/>
        <w:spacing w:after="0" w:line="269" w:lineRule="auto"/>
        <w:tabs>
          <w:tab w:leader="none" w:pos="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charges related to restructuring our European entities; (viii) charges related to extending our Chief Executive Officer’s employment contract; (ix) expenses related to issuance costs in connection with the revised credit agreement; (x) expenses related to our Chief Operating Officer joining the Company; (xi) expenses associated with remediation and related unplanned idle time and underutilization at our Plainsboro, New Jersey manufacturing facility, (xii) non-cash amortization of imputed interest for convertible debt; (xiii) intangible asset amortization expense; and (xiv) income tax expense related to above adjustments, quarterly adjustments to income tax expense related to the cumulative impact of changes in estimated tax rates and certain infrequently occurring items that affected the reported tax rate. The adjusted earnings per diluted share measure is calculated by dividing adjusted net income attributable to diluted shares by diluted weighted average shares outstanding. Reconciliations of GAAP revenues to adjusted revenues for the quarter ended September 30, 2011 and GAAP net income to adjusted EBITDA, adjusted EBITDA excluding stock-based compensation and adjusted net income, and GAAP earnings per diluted share to adjusted earnings per diluted share for the quarters ended September 30, 2011 and 2010 appear in the financial tables in this release.</w:t>
      </w:r>
    </w:p>
    <w:p>
      <w:pPr>
        <w:spacing w:after="0" w:line="163"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 xml:space="preserve">Integra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or on our website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www.integralife.com</w:t>
      </w:r>
      <w:r>
        <w:rPr>
          <w:rFonts w:ascii="Arial" w:cs="Arial" w:eastAsia="Arial" w:hAnsi="Arial"/>
          <w:sz w:val="18"/>
          <w:szCs w:val="18"/>
          <w:color w:val="auto"/>
        </w:rPr>
        <w:t>.</w:t>
      </w:r>
    </w:p>
    <w:p>
      <w:pPr>
        <w:spacing w:after="0" w:line="156" w:lineRule="exact"/>
        <w:rPr>
          <w:sz w:val="20"/>
          <w:szCs w:val="20"/>
          <w:color w:val="auto"/>
        </w:rPr>
      </w:pPr>
    </w:p>
    <w:p>
      <w:pPr>
        <w:ind w:right="40" w:firstLine="8"/>
        <w:spacing w:after="0" w:line="278" w:lineRule="auto"/>
        <w:tabs>
          <w:tab w:leader="none" w:pos="1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starting in the fourth quarter of 2011, Integra will report certain costs to transfer production of its collagen products from its existing manufacturing facility in Plainsboro to a new manufacturing facility in Plainsboro and its existing manufacturing facility in Anasco, Puerto Rico in the “facility consolidation, manufacturing and distribution transfer charges” adjustment category. These costs were not previously adjusted out in the calculation of our adjusted net income or various adjusted EBITDA measures. Accordingly, our adjusted net income and adjusted net income per diluted share estimates for the year-ended December 31, 2011 reflect this change for the fourth quarter of 2011 only.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60" w:type="dxa"/>
            <w:vAlign w:val="bottom"/>
            <w:gridSpan w:val="3"/>
          </w:tcPr>
          <w:p>
            <w:pPr>
              <w:jc w:val="right"/>
              <w:ind w:right="109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Total revenues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2011</w:t>
            </w:r>
          </w:p>
        </w:tc>
        <w:tc>
          <w:tcPr>
            <w:tcW w:w="2760" w:type="dxa"/>
            <w:vAlign w:val="bottom"/>
            <w:gridSpan w:val="3"/>
          </w:tcPr>
          <w:p>
            <w:pPr>
              <w:jc w:val="right"/>
              <w:ind w:right="5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7260" w:type="dxa"/>
            <w:vAlign w:val="bottom"/>
            <w:vMerge w:val="continue"/>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$202,185</w:t>
            </w:r>
          </w:p>
        </w:tc>
        <w:tc>
          <w:tcPr>
            <w:tcW w:w="5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Borders>
              <w:top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$186,641</w:t>
            </w: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Costs and expenses:</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 of product revenues</w:t>
            </w:r>
          </w:p>
        </w:tc>
        <w:tc>
          <w:tcPr>
            <w:tcW w:w="1120" w:type="dxa"/>
            <w:vAlign w:val="bottom"/>
          </w:tcPr>
          <w:p>
            <w:pPr>
              <w:jc w:val="right"/>
              <w:spacing w:after="0"/>
              <w:rPr>
                <w:sz w:val="20"/>
                <w:szCs w:val="20"/>
                <w:color w:val="auto"/>
              </w:rPr>
            </w:pPr>
            <w:r>
              <w:rPr>
                <w:rFonts w:ascii="Arial" w:cs="Arial" w:eastAsia="Arial" w:hAnsi="Arial"/>
                <w:sz w:val="18"/>
                <w:szCs w:val="18"/>
                <w:color w:val="auto"/>
              </w:rPr>
              <w:t>78,651</w:t>
            </w:r>
          </w:p>
        </w:tc>
        <w:tc>
          <w:tcPr>
            <w:tcW w:w="2760" w:type="dxa"/>
            <w:vAlign w:val="bottom"/>
            <w:gridSpan w:val="3"/>
          </w:tcPr>
          <w:p>
            <w:pPr>
              <w:jc w:val="right"/>
              <w:ind w:right="510"/>
              <w:spacing w:after="0"/>
              <w:rPr>
                <w:sz w:val="20"/>
                <w:szCs w:val="20"/>
                <w:color w:val="auto"/>
              </w:rPr>
            </w:pPr>
            <w:r>
              <w:rPr>
                <w:rFonts w:ascii="Arial" w:cs="Arial" w:eastAsia="Arial" w:hAnsi="Arial"/>
                <w:sz w:val="18"/>
                <w:szCs w:val="18"/>
                <w:color w:val="auto"/>
              </w:rPr>
              <w:t>69,194</w:t>
            </w: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13,187</w:t>
            </w:r>
          </w:p>
        </w:tc>
        <w:tc>
          <w:tcPr>
            <w:tcW w:w="2760" w:type="dxa"/>
            <w:vAlign w:val="bottom"/>
            <w:gridSpan w:val="3"/>
          </w:tcPr>
          <w:p>
            <w:pPr>
              <w:jc w:val="right"/>
              <w:ind w:right="510"/>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spacing w:after="0"/>
              <w:rPr>
                <w:sz w:val="20"/>
                <w:szCs w:val="20"/>
                <w:color w:val="auto"/>
              </w:rPr>
            </w:pPr>
            <w:r>
              <w:rPr>
                <w:rFonts w:ascii="Arial" w:cs="Arial" w:eastAsia="Arial" w:hAnsi="Arial"/>
                <w:sz w:val="18"/>
                <w:szCs w:val="18"/>
                <w:color w:val="auto"/>
              </w:rPr>
              <w:t>87,508</w:t>
            </w:r>
          </w:p>
        </w:tc>
        <w:tc>
          <w:tcPr>
            <w:tcW w:w="2760" w:type="dxa"/>
            <w:vAlign w:val="bottom"/>
            <w:gridSpan w:val="3"/>
          </w:tcPr>
          <w:p>
            <w:pPr>
              <w:jc w:val="right"/>
              <w:ind w:right="510"/>
              <w:spacing w:after="0"/>
              <w:rPr>
                <w:sz w:val="20"/>
                <w:szCs w:val="20"/>
                <w:color w:val="auto"/>
              </w:rPr>
            </w:pPr>
            <w:r>
              <w:rPr>
                <w:rFonts w:ascii="Arial" w:cs="Arial" w:eastAsia="Arial" w:hAnsi="Arial"/>
                <w:sz w:val="18"/>
                <w:szCs w:val="18"/>
                <w:color w:val="auto"/>
              </w:rPr>
              <w:t>75,738</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0" w:gutter="0" w:footer="0" w:header="0"/>
        </w:sectPr>
      </w:pPr>
    </w:p>
    <w:bookmarkStart w:id="8" w:name="page9"/>
    <w:bookmarkEnd w:id="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5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183,894</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18,291</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income</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(7,587)</w:t>
            </w: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25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11,243</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Diluted net income per share *</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2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2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29,029</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194"/>
        <w:spacing w:after="0" w:line="297"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accordance with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calculation of earnings per share for common stock shown above excludes the income attributable to the unvested restricted share units with dividend rights from the numerator and excludes the dilutive impact of those units from the denominator. This had an insignificant impact (less than $0.01 per share) on diluted net income per share for both periods shown above.</w:t>
      </w:r>
    </w:p>
    <w:p>
      <w:pPr>
        <w:spacing w:after="0" w:line="3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Listed below are the items included in GAAP revenues and GAAP net income that management excludes in computing the adjusted financial measures referred to in the text of this press release and further described under Discussion of Adjusted Financial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Growth in total revenues excluding the effects of currency exchange rates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660" w:type="dxa"/>
            <w:vAlign w:val="bottom"/>
          </w:tcPr>
          <w:p>
            <w:pPr>
              <w:ind w:left="160"/>
              <w:spacing w:after="0"/>
              <w:rPr>
                <w:sz w:val="20"/>
                <w:szCs w:val="20"/>
                <w:color w:val="auto"/>
              </w:rPr>
            </w:pPr>
            <w:r>
              <w:rPr>
                <w:rFonts w:ascii="Arial" w:cs="Arial" w:eastAsia="Arial" w:hAnsi="Arial"/>
                <w:sz w:val="18"/>
                <w:szCs w:val="18"/>
                <w:color w:val="auto"/>
              </w:rPr>
              <w:t>(In thousands)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5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vMerge w:val="restart"/>
          </w:tcPr>
          <w:p>
            <w:pPr>
              <w:spacing w:after="0"/>
              <w:rPr>
                <w:sz w:val="20"/>
                <w:szCs w:val="20"/>
                <w:color w:val="auto"/>
              </w:rPr>
            </w:pPr>
            <w:r>
              <w:rPr>
                <w:rFonts w:ascii="Arial" w:cs="Arial" w:eastAsia="Arial" w:hAnsi="Arial"/>
                <w:sz w:val="18"/>
                <w:szCs w:val="18"/>
                <w:color w:val="auto"/>
              </w:rPr>
              <w:t>Orthopedics</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2010</w:t>
            </w:r>
          </w:p>
        </w:tc>
        <w:tc>
          <w:tcPr>
            <w:tcW w:w="6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60" w:type="dxa"/>
            <w:vAlign w:val="bottom"/>
            <w:vMerge w:val="continue"/>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86,435</w:t>
            </w: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72,970</w:t>
            </w:r>
          </w:p>
        </w:tc>
        <w:tc>
          <w:tcPr>
            <w:tcW w:w="6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Borders>
              <w:top w:val="single" w:sz="8" w:color="auto"/>
            </w:tcBorders>
            <w:gridSpan w:val="3"/>
          </w:tcPr>
          <w:p>
            <w:pPr>
              <w:jc w:val="right"/>
              <w:ind w:right="40"/>
              <w:spacing w:after="0" w:line="195"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Neurosurgery</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72,426</w:t>
            </w:r>
          </w:p>
        </w:tc>
        <w:tc>
          <w:tcPr>
            <w:tcW w:w="3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69,816</w:t>
            </w:r>
          </w:p>
        </w:tc>
        <w:tc>
          <w:tcPr>
            <w:tcW w:w="66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Instruments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43,324</w:t>
            </w:r>
          </w:p>
        </w:tc>
        <w:tc>
          <w:tcPr>
            <w:tcW w:w="3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43,855</w:t>
            </w:r>
          </w:p>
        </w:tc>
        <w:tc>
          <w:tcPr>
            <w:tcW w:w="66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202,185</w:t>
            </w:r>
          </w:p>
        </w:tc>
        <w:tc>
          <w:tcPr>
            <w:tcW w:w="3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186,641</w:t>
            </w:r>
          </w:p>
        </w:tc>
        <w:tc>
          <w:tcPr>
            <w:tcW w:w="66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Impact of changes in</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currency exchange rates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(2,906)</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Total revenues excluding</w:t>
            </w:r>
          </w:p>
        </w:tc>
        <w:tc>
          <w:tcPr>
            <w:tcW w:w="5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the effects of currency</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exchange rates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199,279</w:t>
            </w:r>
          </w:p>
        </w:tc>
        <w:tc>
          <w:tcPr>
            <w:tcW w:w="3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186,641</w:t>
            </w:r>
          </w:p>
        </w:tc>
        <w:tc>
          <w:tcPr>
            <w:tcW w:w="660" w:type="dxa"/>
            <w:vAlign w:val="bottom"/>
          </w:tcPr>
          <w:p>
            <w:pPr>
              <w:spacing w:after="0"/>
              <w:rPr>
                <w:sz w:val="20"/>
                <w:szCs w:val="20"/>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500" w:firstLine="228"/>
        <w:spacing w:after="0" w:line="454" w:lineRule="auto"/>
        <w:rPr>
          <w:sz w:val="20"/>
          <w:szCs w:val="20"/>
          <w:color w:val="auto"/>
        </w:rPr>
      </w:pPr>
      <w:r>
        <w:rPr>
          <w:rFonts w:ascii="Arial" w:cs="Arial" w:eastAsia="Arial" w:hAnsi="Arial"/>
          <w:sz w:val="18"/>
          <w:szCs w:val="18"/>
          <w:color w:val="auto"/>
        </w:rPr>
        <w:t>Items included in GAAP net income and location where each item is recorded (In thousands)</w:t>
      </w:r>
    </w:p>
    <w:p>
      <w:pPr>
        <w:jc w:val="center"/>
        <w:ind w:right="-59"/>
        <w:spacing w:after="0"/>
        <w:rPr>
          <w:sz w:val="20"/>
          <w:szCs w:val="20"/>
          <w:color w:val="auto"/>
        </w:rPr>
      </w:pPr>
      <w:r>
        <w:rPr>
          <w:rFonts w:ascii="Arial" w:cs="Arial" w:eastAsia="Arial" w:hAnsi="Arial"/>
          <w:sz w:val="18"/>
          <w:szCs w:val="18"/>
          <w:color w:val="auto"/>
        </w:rPr>
        <w:t>Three Months Ended September 30, 2011</w:t>
      </w: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Total Amount</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COPR(a)</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SG&amp;A(b)</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Amort.(c)</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Interest Exp(Inc)(d)</w:t>
            </w:r>
          </w:p>
        </w:tc>
        <w:tc>
          <w:tcPr>
            <w:tcW w:w="220" w:type="dxa"/>
            <w:vAlign w:val="bottom"/>
          </w:tcPr>
          <w:p>
            <w:pPr>
              <w:spacing w:after="0"/>
              <w:rPr>
                <w:sz w:val="14"/>
                <w:szCs w:val="14"/>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Tax(e)</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Acquisition-related charges</w:t>
            </w:r>
          </w:p>
        </w:tc>
        <w:tc>
          <w:tcPr>
            <w:tcW w:w="220" w:type="dxa"/>
            <w:vAlign w:val="bottom"/>
          </w:tcPr>
          <w:p>
            <w:pPr>
              <w:spacing w:after="0"/>
              <w:rPr>
                <w:sz w:val="16"/>
                <w:szCs w:val="16"/>
                <w:color w:val="auto"/>
              </w:rPr>
            </w:pPr>
          </w:p>
        </w:tc>
        <w:tc>
          <w:tcPr>
            <w:tcW w:w="114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$ 1,665</w:t>
            </w:r>
          </w:p>
        </w:tc>
        <w:tc>
          <w:tcPr>
            <w:tcW w:w="220" w:type="dxa"/>
            <w:vAlign w:val="bottom"/>
          </w:tcPr>
          <w:p>
            <w:pPr>
              <w:spacing w:after="0"/>
              <w:rPr>
                <w:sz w:val="16"/>
                <w:szCs w:val="16"/>
                <w:color w:val="auto"/>
              </w:rPr>
            </w:pPr>
          </w:p>
        </w:tc>
        <w:tc>
          <w:tcPr>
            <w:tcW w:w="720" w:type="dxa"/>
            <w:vAlign w:val="bottom"/>
          </w:tcPr>
          <w:p>
            <w:pPr>
              <w:jc w:val="right"/>
              <w:ind w:right="53"/>
              <w:spacing w:after="0" w:line="195" w:lineRule="exact"/>
              <w:rPr>
                <w:sz w:val="20"/>
                <w:szCs w:val="20"/>
                <w:color w:val="auto"/>
              </w:rPr>
            </w:pPr>
            <w:r>
              <w:rPr>
                <w:rFonts w:ascii="Arial" w:cs="Arial" w:eastAsia="Arial" w:hAnsi="Arial"/>
                <w:sz w:val="18"/>
                <w:szCs w:val="18"/>
                <w:color w:val="auto"/>
              </w:rPr>
              <w:t>$1,042</w:t>
            </w:r>
          </w:p>
        </w:tc>
        <w:tc>
          <w:tcPr>
            <w:tcW w:w="220" w:type="dxa"/>
            <w:vAlign w:val="bottom"/>
          </w:tcPr>
          <w:p>
            <w:pPr>
              <w:spacing w:after="0"/>
              <w:rPr>
                <w:sz w:val="16"/>
                <w:szCs w:val="16"/>
                <w:color w:val="auto"/>
              </w:rPr>
            </w:pPr>
          </w:p>
        </w:tc>
        <w:tc>
          <w:tcPr>
            <w:tcW w:w="820" w:type="dxa"/>
            <w:vAlign w:val="bottom"/>
          </w:tcPr>
          <w:p>
            <w:pPr>
              <w:jc w:val="right"/>
              <w:ind w:right="193"/>
              <w:spacing w:after="0" w:line="195" w:lineRule="exact"/>
              <w:rPr>
                <w:sz w:val="20"/>
                <w:szCs w:val="20"/>
                <w:color w:val="auto"/>
              </w:rPr>
            </w:pPr>
            <w:r>
              <w:rPr>
                <w:rFonts w:ascii="Arial" w:cs="Arial" w:eastAsia="Arial" w:hAnsi="Arial"/>
                <w:sz w:val="18"/>
                <w:szCs w:val="18"/>
                <w:color w:val="auto"/>
              </w:rPr>
              <w:t>$  623</w:t>
            </w:r>
          </w:p>
        </w:tc>
        <w:tc>
          <w:tcPr>
            <w:tcW w:w="220" w:type="dxa"/>
            <w:vAlign w:val="bottom"/>
          </w:tcPr>
          <w:p>
            <w:pPr>
              <w:spacing w:after="0"/>
              <w:rPr>
                <w:sz w:val="16"/>
                <w:szCs w:val="16"/>
                <w:color w:val="auto"/>
              </w:rPr>
            </w:pPr>
          </w:p>
        </w:tc>
        <w:tc>
          <w:tcPr>
            <w:tcW w:w="1160" w:type="dxa"/>
            <w:vAlign w:val="bottom"/>
          </w:tcPr>
          <w:p>
            <w:pPr>
              <w:jc w:val="right"/>
              <w:ind w:right="572"/>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60" w:type="dxa"/>
            <w:vAlign w:val="bottom"/>
          </w:tcPr>
          <w:p>
            <w:pPr>
              <w:jc w:val="right"/>
              <w:ind w:right="492"/>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440" w:type="dxa"/>
            <w:vAlign w:val="bottom"/>
          </w:tcPr>
          <w:p>
            <w:pPr>
              <w:jc w:val="right"/>
              <w:ind w:right="152"/>
              <w:spacing w:after="0" w:line="195" w:lineRule="exact"/>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7"/>
              </w:rPr>
              <w:t>Charges associated with discontinued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485</w:t>
            </w:r>
          </w:p>
        </w:tc>
        <w:tc>
          <w:tcPr>
            <w:tcW w:w="940" w:type="dxa"/>
            <w:vAlign w:val="bottom"/>
            <w:gridSpan w:val="2"/>
          </w:tcPr>
          <w:p>
            <w:pPr>
              <w:jc w:val="right"/>
              <w:ind w:right="53"/>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6,245</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93"/>
              <w:spacing w:after="0"/>
              <w:rPr>
                <w:sz w:val="20"/>
                <w:szCs w:val="20"/>
                <w:color w:val="auto"/>
              </w:rPr>
            </w:pPr>
            <w:r>
              <w:rPr>
                <w:rFonts w:ascii="Arial" w:cs="Arial" w:eastAsia="Arial" w:hAnsi="Arial"/>
                <w:sz w:val="18"/>
                <w:szCs w:val="18"/>
                <w:color w:val="auto"/>
              </w:rPr>
              <w:t>6,245</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and distribution transfer charges</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34</w:t>
            </w:r>
          </w:p>
        </w:tc>
        <w:tc>
          <w:tcPr>
            <w:tcW w:w="940" w:type="dxa"/>
            <w:vAlign w:val="bottom"/>
            <w:gridSpan w:val="2"/>
          </w:tcPr>
          <w:p>
            <w:pPr>
              <w:jc w:val="right"/>
              <w:ind w:right="53"/>
              <w:spacing w:after="0"/>
              <w:rPr>
                <w:sz w:val="20"/>
                <w:szCs w:val="20"/>
                <w:color w:val="auto"/>
              </w:rPr>
            </w:pPr>
            <w:r>
              <w:rPr>
                <w:rFonts w:ascii="Arial" w:cs="Arial" w:eastAsia="Arial" w:hAnsi="Arial"/>
                <w:sz w:val="18"/>
                <w:szCs w:val="18"/>
                <w:color w:val="auto"/>
              </w:rPr>
              <w:t>243</w:t>
            </w:r>
          </w:p>
        </w:tc>
        <w:tc>
          <w:tcPr>
            <w:tcW w:w="1040" w:type="dxa"/>
            <w:vAlign w:val="bottom"/>
            <w:gridSpan w:val="2"/>
          </w:tcPr>
          <w:p>
            <w:pPr>
              <w:jc w:val="right"/>
              <w:ind w:right="133"/>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6"/>
              </w:rPr>
              <w:t>Expenses associated with remediation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w w:val="98"/>
              </w:rPr>
              <w:t>and related unplanned idle time and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underutilization at our Plainsboro,</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New Jersey manufacturing facility</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1,748</w:t>
            </w:r>
          </w:p>
        </w:tc>
        <w:tc>
          <w:tcPr>
            <w:tcW w:w="940" w:type="dxa"/>
            <w:vAlign w:val="bottom"/>
            <w:gridSpan w:val="2"/>
          </w:tcPr>
          <w:p>
            <w:pPr>
              <w:jc w:val="right"/>
              <w:ind w:right="53"/>
              <w:spacing w:after="0"/>
              <w:rPr>
                <w:sz w:val="20"/>
                <w:szCs w:val="20"/>
                <w:color w:val="auto"/>
              </w:rPr>
            </w:pPr>
            <w:r>
              <w:rPr>
                <w:rFonts w:ascii="Arial" w:cs="Arial" w:eastAsia="Arial" w:hAnsi="Arial"/>
                <w:sz w:val="18"/>
                <w:szCs w:val="18"/>
                <w:color w:val="auto"/>
              </w:rPr>
              <w:t>1,748</w:t>
            </w:r>
          </w:p>
        </w:tc>
        <w:tc>
          <w:tcPr>
            <w:tcW w:w="22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2"/>
              </w:rPr>
              <w:t>Expenses related to our Chief Operating</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Officer joining the Company</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93"/>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Non-cash amortization of imputed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interest for convertible debt</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92"/>
              <w:spacing w:after="0"/>
              <w:rPr>
                <w:sz w:val="20"/>
                <w:szCs w:val="20"/>
                <w:color w:val="auto"/>
              </w:rPr>
            </w:pPr>
            <w:r>
              <w:rPr>
                <w:rFonts w:ascii="Arial" w:cs="Arial" w:eastAsia="Arial" w:hAnsi="Arial"/>
                <w:sz w:val="18"/>
                <w:szCs w:val="18"/>
                <w:color w:val="auto"/>
              </w:rPr>
              <w:t>3,417</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7"/>
              </w:rPr>
              <w:t>Intangible asset amortization expense</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6,068</w:t>
            </w:r>
          </w:p>
        </w:tc>
        <w:tc>
          <w:tcPr>
            <w:tcW w:w="940" w:type="dxa"/>
            <w:vAlign w:val="bottom"/>
            <w:gridSpan w:val="2"/>
          </w:tcPr>
          <w:p>
            <w:pPr>
              <w:jc w:val="right"/>
              <w:ind w:right="53"/>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72"/>
              <w:spacing w:after="0"/>
              <w:rPr>
                <w:sz w:val="20"/>
                <w:szCs w:val="20"/>
                <w:color w:val="auto"/>
              </w:rPr>
            </w:pPr>
            <w:r>
              <w:rPr>
                <w:rFonts w:ascii="Arial" w:cs="Arial" w:eastAsia="Arial" w:hAnsi="Arial"/>
                <w:sz w:val="18"/>
                <w:szCs w:val="18"/>
                <w:color w:val="auto"/>
              </w:rPr>
              <w:t>4,548</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Income tax expense related to above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w w:val="94"/>
              </w:rPr>
              <w:t>adjustments, quarterly adjustments to</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income tax expense related to the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cumulative impact of changes in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estimated tax rates and certain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infrequently occurring items that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Arial" w:cs="Arial" w:eastAsia="Arial" w:hAnsi="Arial"/>
                <w:sz w:val="18"/>
                <w:szCs w:val="18"/>
                <w:color w:val="auto"/>
              </w:rPr>
              <w:t>affected the reported tax rate</w:t>
            </w: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(8,721)</w:t>
            </w:r>
          </w:p>
        </w:tc>
        <w:tc>
          <w:tcPr>
            <w:tcW w:w="2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92"/>
              <w:spacing w:after="0"/>
              <w:rPr>
                <w:sz w:val="20"/>
                <w:szCs w:val="20"/>
                <w:color w:val="auto"/>
              </w:rPr>
            </w:pPr>
            <w:r>
              <w:rPr>
                <w:rFonts w:ascii="Arial" w:cs="Arial" w:eastAsia="Arial" w:hAnsi="Arial"/>
                <w:sz w:val="18"/>
                <w:szCs w:val="18"/>
                <w:color w:val="auto"/>
              </w:rPr>
              <w:t>(8,721)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6,784</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259"/>
              <w:spacing w:after="0"/>
              <w:rPr>
                <w:sz w:val="20"/>
                <w:szCs w:val="20"/>
                <w:color w:val="auto"/>
              </w:rPr>
            </w:pPr>
            <w:r>
              <w:rPr>
                <w:rFonts w:ascii="Arial" w:cs="Arial" w:eastAsia="Arial" w:hAnsi="Arial"/>
                <w:sz w:val="18"/>
                <w:szCs w:val="18"/>
                <w:color w:val="auto"/>
              </w:rPr>
              <w:t>3,034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COPR – Cost of product revenues</w:t>
      </w:r>
    </w:p>
    <w:p>
      <w:pPr>
        <w:sectPr>
          <w:pgSz w:w="11900" w:h="16838" w:orient="portrait"/>
          <w:cols w:equalWidth="0" w:num="1">
            <w:col w:w="11360"/>
          </w:cols>
          <w:pgMar w:left="240" w:top="125" w:right="299" w:bottom="0" w:gutter="0" w:footer="0" w:header="0"/>
        </w:sectPr>
      </w:pPr>
    </w:p>
    <w:bookmarkStart w:id="9" w:name="page10"/>
    <w:bookmarkEnd w:id="9"/>
    <w:p>
      <w:pPr>
        <w:ind w:left="720" w:hanging="25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SG&amp;A – Selling, general and administrative</w:t>
      </w:r>
    </w:p>
    <w:p>
      <w:pPr>
        <w:spacing w:after="0" w:line="225" w:lineRule="exact"/>
        <w:rPr>
          <w:rFonts w:ascii="Arial" w:cs="Arial" w:eastAsia="Arial" w:hAnsi="Arial"/>
          <w:sz w:val="18"/>
          <w:szCs w:val="18"/>
          <w:color w:val="auto"/>
        </w:rPr>
      </w:pPr>
    </w:p>
    <w:p>
      <w:pPr>
        <w:ind w:left="720" w:hanging="25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 – Intangible asset amortization</w:t>
      </w:r>
    </w:p>
    <w:p>
      <w:pPr>
        <w:spacing w:after="0" w:line="225" w:lineRule="exact"/>
        <w:rPr>
          <w:rFonts w:ascii="Arial" w:cs="Arial" w:eastAsia="Arial" w:hAnsi="Arial"/>
          <w:sz w:val="18"/>
          <w:szCs w:val="18"/>
          <w:color w:val="auto"/>
        </w:rPr>
      </w:pPr>
    </w:p>
    <w:p>
      <w:pPr>
        <w:ind w:left="720" w:hanging="25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Inc(Exp) – Interest income (expense), net</w:t>
      </w:r>
    </w:p>
    <w:p>
      <w:pPr>
        <w:spacing w:after="0" w:line="225" w:lineRule="exact"/>
        <w:rPr>
          <w:rFonts w:ascii="Arial" w:cs="Arial" w:eastAsia="Arial" w:hAnsi="Arial"/>
          <w:sz w:val="18"/>
          <w:szCs w:val="18"/>
          <w:color w:val="auto"/>
        </w:rPr>
      </w:pPr>
    </w:p>
    <w:p>
      <w:pPr>
        <w:ind w:left="720" w:hanging="257"/>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 Income tax expense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Three Months Ended September 30, 2010</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Total Amount</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COPR</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SG&amp;A</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Amort.</w:t>
            </w: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Interest Exp(Inc)</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Tax</w:t>
            </w: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Acquisition-related charges</w:t>
            </w:r>
          </w:p>
        </w:tc>
        <w:tc>
          <w:tcPr>
            <w:tcW w:w="240" w:type="dxa"/>
            <w:vAlign w:val="bottom"/>
          </w:tcPr>
          <w:p>
            <w:pPr>
              <w:spacing w:after="0"/>
              <w:rPr>
                <w:sz w:val="16"/>
                <w:szCs w:val="16"/>
                <w:color w:val="auto"/>
              </w:rPr>
            </w:pPr>
          </w:p>
        </w:tc>
        <w:tc>
          <w:tcPr>
            <w:tcW w:w="124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  889</w:t>
            </w:r>
          </w:p>
        </w:tc>
        <w:tc>
          <w:tcPr>
            <w:tcW w:w="240" w:type="dxa"/>
            <w:vAlign w:val="bottom"/>
          </w:tcPr>
          <w:p>
            <w:pPr>
              <w:spacing w:after="0"/>
              <w:rPr>
                <w:sz w:val="16"/>
                <w:szCs w:val="16"/>
                <w:color w:val="auto"/>
              </w:rPr>
            </w:pPr>
          </w:p>
        </w:tc>
        <w:tc>
          <w:tcPr>
            <w:tcW w:w="740" w:type="dxa"/>
            <w:vAlign w:val="bottom"/>
          </w:tcPr>
          <w:p>
            <w:pPr>
              <w:jc w:val="right"/>
              <w:ind w:right="93"/>
              <w:spacing w:after="0" w:line="195" w:lineRule="exact"/>
              <w:rPr>
                <w:sz w:val="20"/>
                <w:szCs w:val="20"/>
                <w:color w:val="auto"/>
              </w:rPr>
            </w:pPr>
            <w:r>
              <w:rPr>
                <w:rFonts w:ascii="Arial" w:cs="Arial" w:eastAsia="Arial" w:hAnsi="Arial"/>
                <w:sz w:val="18"/>
                <w:szCs w:val="18"/>
                <w:color w:val="auto"/>
              </w:rPr>
              <w:t>$  604</w:t>
            </w:r>
          </w:p>
        </w:tc>
        <w:tc>
          <w:tcPr>
            <w:tcW w:w="240" w:type="dxa"/>
            <w:vAlign w:val="bottom"/>
          </w:tcPr>
          <w:p>
            <w:pPr>
              <w:spacing w:after="0"/>
              <w:rPr>
                <w:sz w:val="16"/>
                <w:szCs w:val="16"/>
                <w:color w:val="auto"/>
              </w:rPr>
            </w:pPr>
          </w:p>
        </w:tc>
        <w:tc>
          <w:tcPr>
            <w:tcW w:w="740" w:type="dxa"/>
            <w:vAlign w:val="bottom"/>
          </w:tcPr>
          <w:p>
            <w:pPr>
              <w:jc w:val="right"/>
              <w:ind w:right="73"/>
              <w:spacing w:after="0" w:line="195" w:lineRule="exact"/>
              <w:rPr>
                <w:sz w:val="20"/>
                <w:szCs w:val="20"/>
                <w:color w:val="auto"/>
              </w:rPr>
            </w:pPr>
            <w:r>
              <w:rPr>
                <w:rFonts w:ascii="Arial" w:cs="Arial" w:eastAsia="Arial" w:hAnsi="Arial"/>
                <w:sz w:val="18"/>
                <w:szCs w:val="18"/>
                <w:color w:val="auto"/>
              </w:rPr>
              <w:t>$  285</w:t>
            </w:r>
          </w:p>
        </w:tc>
        <w:tc>
          <w:tcPr>
            <w:tcW w:w="240" w:type="dxa"/>
            <w:vAlign w:val="bottom"/>
          </w:tcPr>
          <w:p>
            <w:pPr>
              <w:spacing w:after="0"/>
              <w:rPr>
                <w:sz w:val="16"/>
                <w:szCs w:val="16"/>
                <w:color w:val="auto"/>
              </w:rPr>
            </w:pPr>
          </w:p>
        </w:tc>
        <w:tc>
          <w:tcPr>
            <w:tcW w:w="760" w:type="dxa"/>
            <w:vAlign w:val="bottom"/>
          </w:tcPr>
          <w:p>
            <w:pPr>
              <w:jc w:val="right"/>
              <w:ind w:right="92"/>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200" w:type="dxa"/>
            <w:vAlign w:val="bottom"/>
          </w:tcPr>
          <w:p>
            <w:pPr>
              <w:jc w:val="right"/>
              <w:ind w:right="312"/>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040" w:type="dxa"/>
            <w:vAlign w:val="bottom"/>
          </w:tcPr>
          <w:p>
            <w:pPr>
              <w:jc w:val="right"/>
              <w:ind w:right="252"/>
              <w:spacing w:after="0" w:line="195" w:lineRule="exact"/>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1"/>
              </w:rPr>
              <w:t>Certain employee termination and related charges</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531</w:t>
            </w:r>
          </w:p>
        </w:tc>
        <w:tc>
          <w:tcPr>
            <w:tcW w:w="980" w:type="dxa"/>
            <w:vAlign w:val="bottom"/>
            <w:gridSpan w:val="2"/>
          </w:tcPr>
          <w:p>
            <w:pPr>
              <w:jc w:val="right"/>
              <w:ind w:right="93"/>
              <w:spacing w:after="0"/>
              <w:rPr>
                <w:sz w:val="20"/>
                <w:szCs w:val="20"/>
                <w:color w:val="auto"/>
              </w:rPr>
            </w:pPr>
            <w:r>
              <w:rPr>
                <w:rFonts w:ascii="Arial" w:cs="Arial" w:eastAsia="Arial" w:hAnsi="Arial"/>
                <w:sz w:val="18"/>
                <w:szCs w:val="18"/>
                <w:color w:val="auto"/>
              </w:rPr>
              <w:t>350</w:t>
            </w:r>
          </w:p>
        </w:tc>
        <w:tc>
          <w:tcPr>
            <w:tcW w:w="980" w:type="dxa"/>
            <w:vAlign w:val="bottom"/>
            <w:gridSpan w:val="2"/>
          </w:tcPr>
          <w:p>
            <w:pPr>
              <w:jc w:val="right"/>
              <w:ind w:right="73"/>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3"/>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242</w:t>
            </w:r>
          </w:p>
        </w:tc>
        <w:tc>
          <w:tcPr>
            <w:tcW w:w="980" w:type="dxa"/>
            <w:vAlign w:val="bottom"/>
            <w:gridSpan w:val="2"/>
          </w:tcPr>
          <w:p>
            <w:pPr>
              <w:jc w:val="right"/>
              <w:ind w:right="93"/>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Non-cash amortization of imputed interest for</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convertible debt</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1,578</w:t>
            </w:r>
          </w:p>
        </w:tc>
        <w:tc>
          <w:tcPr>
            <w:tcW w:w="24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12"/>
              <w:spacing w:after="0"/>
              <w:rPr>
                <w:sz w:val="20"/>
                <w:szCs w:val="20"/>
                <w:color w:val="auto"/>
              </w:rPr>
            </w:pPr>
            <w:r>
              <w:rPr>
                <w:rFonts w:ascii="Arial" w:cs="Arial" w:eastAsia="Arial" w:hAnsi="Arial"/>
                <w:sz w:val="18"/>
                <w:szCs w:val="18"/>
                <w:color w:val="auto"/>
              </w:rPr>
              <w:t>1,578</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Charges related to restructuring European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3"/>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4,126</w:t>
            </w:r>
          </w:p>
        </w:tc>
        <w:tc>
          <w:tcPr>
            <w:tcW w:w="980" w:type="dxa"/>
            <w:vAlign w:val="bottom"/>
            <w:gridSpan w:val="2"/>
          </w:tcPr>
          <w:p>
            <w:pPr>
              <w:jc w:val="right"/>
              <w:ind w:right="93"/>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2,620</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0"/>
              </w:rPr>
              <w:t>Income tax expense related to above adjustments,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w w:val="98"/>
              </w:rPr>
              <w:t>quarterly adjustments to income tax expense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w w:val="96"/>
              </w:rPr>
              <w:t>related to the cumulative impact of changes in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estimated tax rates and certain infrequently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w w:val="98"/>
              </w:rPr>
              <w:t>occurring items that affected the reported tax</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rate</w:t>
            </w:r>
          </w:p>
        </w:tc>
        <w:tc>
          <w:tcPr>
            <w:tcW w:w="1480" w:type="dxa"/>
            <w:vAlign w:val="bottom"/>
            <w:gridSpan w:val="2"/>
          </w:tcPr>
          <w:p>
            <w:pPr>
              <w:jc w:val="right"/>
              <w:ind w:right="299"/>
              <w:spacing w:after="0"/>
              <w:rPr>
                <w:sz w:val="20"/>
                <w:szCs w:val="20"/>
                <w:color w:val="auto"/>
              </w:rPr>
            </w:pPr>
            <w:r>
              <w:rPr>
                <w:rFonts w:ascii="Arial" w:cs="Arial" w:eastAsia="Arial" w:hAnsi="Arial"/>
                <w:sz w:val="18"/>
                <w:szCs w:val="18"/>
                <w:color w:val="auto"/>
              </w:rPr>
              <w:t>(3,337)</w:t>
            </w:r>
          </w:p>
        </w:tc>
        <w:tc>
          <w:tcPr>
            <w:tcW w:w="24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2"/>
              <w:spacing w:after="0"/>
              <w:rPr>
                <w:sz w:val="20"/>
                <w:szCs w:val="20"/>
                <w:color w:val="auto"/>
              </w:rPr>
            </w:pPr>
            <w:r>
              <w:rPr>
                <w:rFonts w:ascii="Arial" w:cs="Arial" w:eastAsia="Arial" w:hAnsi="Arial"/>
                <w:sz w:val="18"/>
                <w:szCs w:val="18"/>
                <w:color w:val="auto"/>
              </w:rPr>
              <w:t>(3,337)</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5,531</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80" w:type="dxa"/>
            <w:vAlign w:val="bottom"/>
            <w:gridSpan w:val="2"/>
          </w:tcPr>
          <w:p>
            <w:pPr>
              <w:jc w:val="right"/>
              <w:ind w:right="359"/>
              <w:spacing w:after="0"/>
              <w:rPr>
                <w:sz w:val="20"/>
                <w:szCs w:val="20"/>
                <w:color w:val="auto"/>
              </w:rPr>
            </w:pPr>
            <w:r>
              <w:rPr>
                <w:rFonts w:ascii="Arial" w:cs="Arial" w:eastAsia="Arial" w:hAnsi="Arial"/>
                <w:sz w:val="18"/>
                <w:szCs w:val="18"/>
                <w:color w:val="auto"/>
              </w:rPr>
              <w:t>3,933</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period ending September 30, 2010, “Intangible asset amortization expense” excludes $59 already included in “Intangible asset impairment charges” above.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RECONCILIATION OF NON-GAAP ADJUSTMENTS – GAAP NET INCOME TO ADJUSTED EBITDA AND ADJUSTED EBITDA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EXCLUDING STOCK BASED COMPENSATION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7"/>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right="8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82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$11,243</w:t>
            </w: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$16,483</w:t>
            </w:r>
          </w:p>
        </w:tc>
        <w:tc>
          <w:tcPr>
            <w:tcW w:w="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Depreciation and intangible asset amortization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Expense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12,852</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9,657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(429)</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707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7,433</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4,331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5,788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1,665</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889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Certain employee termination and related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Charges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531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Charges associated with discontinued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6,245</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1,105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Expenses associated with remediation and related unplanned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idle time and underutilization at our Plainsboro, New Jersey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manufacturing facility</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Expenses related to our Chief Operating Officer joining the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Company</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395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Total of non-GAAP adjustments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30,177</w:t>
            </w:r>
          </w:p>
        </w:tc>
        <w:tc>
          <w:tcPr>
            <w:tcW w:w="6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23,704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41,420</w:t>
            </w:r>
          </w:p>
        </w:tc>
        <w:tc>
          <w:tcPr>
            <w:tcW w:w="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40,187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3,034</w:t>
            </w:r>
          </w:p>
        </w:tc>
        <w:tc>
          <w:tcPr>
            <w:tcW w:w="6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3,933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Adjusted EBITDA excluding stock-based compensation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44,454</w:t>
            </w:r>
          </w:p>
        </w:tc>
        <w:tc>
          <w:tcPr>
            <w:tcW w:w="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44,120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RECONCILIATION OF NON-GAAP ADJUSTMENTS – GAAP NET INCOME TO MEASURES OF ADJUSTED NET INCOME AND</w:t>
      </w:r>
    </w:p>
    <w:p>
      <w:pPr>
        <w:sectPr>
          <w:pgSz w:w="11900" w:h="16838" w:orient="portrait"/>
          <w:cols w:equalWidth="0" w:num="1">
            <w:col w:w="11300"/>
          </w:cols>
          <w:pgMar w:left="240" w:top="125" w:right="359" w:bottom="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color w:val="auto"/>
        </w:rPr>
        <w:t>ADJUSTED EARNINGS PER SHARE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7"/>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8300" w:type="dxa"/>
            <w:vAlign w:val="bottom"/>
            <w:vMerge w:val="restart"/>
          </w:tcPr>
          <w:p>
            <w:pPr>
              <w:ind w:left="300"/>
              <w:spacing w:after="0"/>
              <w:rPr>
                <w:sz w:val="20"/>
                <w:szCs w:val="20"/>
                <w:color w:val="auto"/>
              </w:rPr>
            </w:pPr>
            <w:r>
              <w:rPr>
                <w:rFonts w:ascii="Arial" w:cs="Arial" w:eastAsia="Arial" w:hAnsi="Arial"/>
                <w:sz w:val="18"/>
                <w:szCs w:val="18"/>
                <w:color w:val="auto"/>
              </w:rPr>
              <w:t>GAAP net income</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00" w:type="dxa"/>
            <w:vAlign w:val="bottom"/>
            <w:vMerge w:val="continue"/>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11,243</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16,483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Acquisition-related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Certain employee termination and related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Charges</w:t>
            </w:r>
          </w:p>
        </w:tc>
        <w:tc>
          <w:tcPr>
            <w:tcW w:w="3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Intangible asset impairment charges</w:t>
            </w:r>
          </w:p>
        </w:tc>
        <w:tc>
          <w:tcPr>
            <w:tcW w:w="3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Charges associated with discontinued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product lines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Systems implementation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Facility consolidation, manufacturing and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distribution transfer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Expenses associated with remediation and related unplanned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idle time and underutilization at our Plainsboro, New Jersey</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manufacturing facility</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Expenses related to our Chief Operating Officer joining the</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Company</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Charges related to restructuring</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our European entities</w:t>
            </w:r>
          </w:p>
        </w:tc>
        <w:tc>
          <w:tcPr>
            <w:tcW w:w="3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Non-cash amortization of imputed interest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560"/>
              <w:spacing w:after="0"/>
              <w:rPr>
                <w:sz w:val="20"/>
                <w:szCs w:val="20"/>
                <w:color w:val="auto"/>
              </w:rPr>
            </w:pPr>
            <w:r>
              <w:rPr>
                <w:rFonts w:ascii="Arial" w:cs="Arial" w:eastAsia="Arial" w:hAnsi="Arial"/>
                <w:sz w:val="18"/>
                <w:szCs w:val="18"/>
                <w:color w:val="auto"/>
              </w:rPr>
              <w:t>for convertible debt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6,068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00"/>
              <w:spacing w:after="0"/>
              <w:rPr>
                <w:sz w:val="20"/>
                <w:szCs w:val="20"/>
                <w:color w:val="auto"/>
              </w:rPr>
            </w:pPr>
            <w:r>
              <w:rPr>
                <w:rFonts w:ascii="Arial" w:cs="Arial" w:eastAsia="Arial" w:hAnsi="Arial"/>
                <w:sz w:val="18"/>
                <w:szCs w:val="18"/>
                <w:color w:val="auto"/>
              </w:rPr>
              <w:t>Income tax expense related to</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above adjustments, quarterly adjustments to</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income tax expense related to the</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cumulative impact of changes in estimated tax</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rates and certain infrequently occurring items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440"/>
              <w:spacing w:after="0"/>
              <w:rPr>
                <w:sz w:val="20"/>
                <w:szCs w:val="20"/>
                <w:color w:val="auto"/>
              </w:rPr>
            </w:pPr>
            <w:r>
              <w:rPr>
                <w:rFonts w:ascii="Arial" w:cs="Arial" w:eastAsia="Arial" w:hAnsi="Arial"/>
                <w:sz w:val="18"/>
                <w:szCs w:val="18"/>
                <w:color w:val="auto"/>
              </w:rPr>
              <w:t>that affected the reported tax rate</w:t>
            </w:r>
          </w:p>
        </w:tc>
        <w:tc>
          <w:tcPr>
            <w:tcW w:w="3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(8,721)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(3,337)</w:t>
            </w:r>
          </w:p>
        </w:tc>
        <w:tc>
          <w:tcPr>
            <w:tcW w:w="0" w:type="dxa"/>
            <w:vAlign w:val="bottom"/>
          </w:tcPr>
          <w:p>
            <w:pPr>
              <w:spacing w:after="0"/>
              <w:rPr>
                <w:sz w:val="1"/>
                <w:szCs w:val="1"/>
                <w:color w:val="auto"/>
              </w:rPr>
            </w:pPr>
          </w:p>
        </w:tc>
      </w:tr>
      <w:tr>
        <w:trPr>
          <w:trHeight w:val="223"/>
        </w:trPr>
        <w:tc>
          <w:tcPr>
            <w:tcW w:w="8300" w:type="dxa"/>
            <w:vAlign w:val="bottom"/>
          </w:tcPr>
          <w:p>
            <w:pPr>
              <w:ind w:left="440"/>
              <w:spacing w:after="0"/>
              <w:rPr>
                <w:sz w:val="20"/>
                <w:szCs w:val="20"/>
                <w:color w:val="auto"/>
              </w:rPr>
            </w:pPr>
            <w:r>
              <w:rPr>
                <w:rFonts w:ascii="Arial" w:cs="Arial" w:eastAsia="Arial" w:hAnsi="Arial"/>
                <w:sz w:val="18"/>
                <w:szCs w:val="18"/>
                <w:color w:val="auto"/>
              </w:rPr>
              <w:t>Total of non-GAAP adjustments</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11,041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00" w:type="dxa"/>
            <w:vAlign w:val="bottom"/>
          </w:tcPr>
          <w:p>
            <w:pPr>
              <w:ind w:left="300"/>
              <w:spacing w:after="0"/>
              <w:rPr>
                <w:sz w:val="20"/>
                <w:szCs w:val="20"/>
                <w:color w:val="auto"/>
              </w:rPr>
            </w:pPr>
            <w:r>
              <w:rPr>
                <w:rFonts w:ascii="Arial" w:cs="Arial" w:eastAsia="Arial" w:hAnsi="Arial"/>
                <w:sz w:val="18"/>
                <w:szCs w:val="18"/>
                <w:color w:val="auto"/>
              </w:rPr>
              <w:t>Adjusted 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22,284</w:t>
            </w:r>
          </w:p>
        </w:tc>
        <w:tc>
          <w:tcPr>
            <w:tcW w:w="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22,071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300"/>
              <w:spacing w:after="0"/>
              <w:rPr>
                <w:sz w:val="20"/>
                <w:szCs w:val="20"/>
                <w:color w:val="auto"/>
              </w:rPr>
            </w:pPr>
            <w:r>
              <w:rPr>
                <w:rFonts w:ascii="Arial" w:cs="Arial" w:eastAsia="Arial" w:hAnsi="Arial"/>
                <w:sz w:val="18"/>
                <w:szCs w:val="18"/>
                <w:color w:val="auto"/>
              </w:rPr>
              <w:t>Adjusted diluted net income per share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300"/>
              <w:spacing w:after="0"/>
              <w:rPr>
                <w:sz w:val="20"/>
                <w:szCs w:val="20"/>
                <w:color w:val="auto"/>
              </w:rPr>
            </w:pPr>
            <w:r>
              <w:rPr>
                <w:rFonts w:ascii="Arial" w:cs="Arial" w:eastAsia="Arial" w:hAnsi="Arial"/>
                <w:sz w:val="18"/>
                <w:szCs w:val="18"/>
                <w:color w:val="auto"/>
              </w:rPr>
              <w:t>Weighted average common shares outstanding for</w:t>
            </w: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440"/>
              <w:spacing w:after="0"/>
              <w:rPr>
                <w:sz w:val="20"/>
                <w:szCs w:val="20"/>
                <w:color w:val="auto"/>
              </w:rPr>
            </w:pPr>
            <w:r>
              <w:rPr>
                <w:rFonts w:ascii="Arial" w:cs="Arial" w:eastAsia="Arial" w:hAnsi="Arial"/>
                <w:sz w:val="18"/>
                <w:szCs w:val="18"/>
                <w:color w:val="auto"/>
              </w:rPr>
              <w:t>diluted net income per share</w:t>
            </w: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29,029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30,072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194"/>
        <w:spacing w:after="0" w:line="297"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accordance with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calculation of earnings per share for common stock shown above excludes the income attributable to the unvested restricted share units with dividend rights from the numerator and excludes the dilutive impact of those units from the denominator. This had an insignificant impact (less than $0.01 per share) on adjusted diluted net income per share for both periods shown above.</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BALANCE SHEET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(In thousands)</w:t>
            </w: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6380" w:type="dxa"/>
            <w:vAlign w:val="bottom"/>
          </w:tcPr>
          <w:p>
            <w:pPr>
              <w:spacing w:after="0"/>
              <w:rPr>
                <w:sz w:val="24"/>
                <w:szCs w:val="24"/>
                <w:color w:val="auto"/>
              </w:rPr>
            </w:pP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September 30,</w:t>
            </w:r>
          </w:p>
        </w:tc>
        <w:tc>
          <w:tcPr>
            <w:tcW w:w="480" w:type="dxa"/>
            <w:vAlign w:val="bottom"/>
          </w:tcPr>
          <w:p>
            <w:pPr>
              <w:spacing w:after="0"/>
              <w:rPr>
                <w:sz w:val="24"/>
                <w:szCs w:val="24"/>
                <w:color w:val="auto"/>
              </w:rPr>
            </w:pPr>
          </w:p>
        </w:tc>
        <w:tc>
          <w:tcPr>
            <w:tcW w:w="2140" w:type="dxa"/>
            <w:vAlign w:val="bottom"/>
          </w:tcPr>
          <w:p>
            <w:pPr>
              <w:jc w:val="right"/>
              <w:ind w:right="4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380" w:type="dxa"/>
            <w:vAlign w:val="bottom"/>
            <w:vMerge w:val="restart"/>
          </w:tcPr>
          <w:p>
            <w:pPr>
              <w:ind w:left="300"/>
              <w:spacing w:after="0"/>
              <w:rPr>
                <w:sz w:val="20"/>
                <w:szCs w:val="20"/>
                <w:color w:val="auto"/>
              </w:rPr>
            </w:pPr>
            <w:r>
              <w:rPr>
                <w:rFonts w:ascii="Arial" w:cs="Arial" w:eastAsia="Arial" w:hAnsi="Arial"/>
                <w:sz w:val="18"/>
                <w:szCs w:val="18"/>
                <w:color w:val="auto"/>
              </w:rPr>
              <w:t>Cash and cash equivalents</w:t>
            </w:r>
          </w:p>
        </w:tc>
        <w:tc>
          <w:tcPr>
            <w:tcW w:w="2140" w:type="dxa"/>
            <w:vAlign w:val="bottom"/>
          </w:tcPr>
          <w:p>
            <w:pPr>
              <w:jc w:val="right"/>
              <w:ind w:right="810"/>
              <w:spacing w:after="0"/>
              <w:rPr>
                <w:sz w:val="20"/>
                <w:szCs w:val="20"/>
                <w:color w:val="auto"/>
              </w:rPr>
            </w:pPr>
            <w:r>
              <w:rPr>
                <w:rFonts w:ascii="Arial" w:cs="Arial" w:eastAsia="Arial" w:hAnsi="Arial"/>
                <w:sz w:val="18"/>
                <w:szCs w:val="18"/>
                <w:color w:val="auto"/>
              </w:rPr>
              <w:t>2011</w:t>
            </w:r>
          </w:p>
        </w:tc>
        <w:tc>
          <w:tcPr>
            <w:tcW w:w="2620" w:type="dxa"/>
            <w:vAlign w:val="bottom"/>
            <w:gridSpan w:val="2"/>
          </w:tcPr>
          <w:p>
            <w:pPr>
              <w:jc w:val="right"/>
              <w:ind w:right="8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214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rPr>
              <w:t>$110,991</w:t>
            </w:r>
          </w:p>
        </w:tc>
        <w:tc>
          <w:tcPr>
            <w:tcW w:w="480" w:type="dxa"/>
            <w:vAlign w:val="bottom"/>
          </w:tcPr>
          <w:p>
            <w:pPr>
              <w:spacing w:after="0"/>
              <w:rPr>
                <w:sz w:val="16"/>
                <w:szCs w:val="16"/>
                <w:color w:val="auto"/>
              </w:rPr>
            </w:pPr>
          </w:p>
        </w:tc>
        <w:tc>
          <w:tcPr>
            <w:tcW w:w="214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rPr>
              <w:t>$128,763</w:t>
            </w:r>
          </w:p>
        </w:tc>
        <w:tc>
          <w:tcPr>
            <w:tcW w:w="0" w:type="dxa"/>
            <w:vAlign w:val="bottom"/>
          </w:tcPr>
          <w:p>
            <w:pPr>
              <w:spacing w:after="0"/>
              <w:rPr>
                <w:sz w:val="1"/>
                <w:szCs w:val="1"/>
                <w:color w:val="auto"/>
              </w:rPr>
            </w:pPr>
          </w:p>
        </w:tc>
      </w:tr>
      <w:tr>
        <w:trPr>
          <w:trHeight w:val="216"/>
        </w:trPr>
        <w:tc>
          <w:tcPr>
            <w:tcW w:w="638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117,777</w:t>
            </w:r>
          </w:p>
        </w:tc>
        <w:tc>
          <w:tcPr>
            <w:tcW w:w="2620" w:type="dxa"/>
            <w:vAlign w:val="bottom"/>
            <w:gridSpan w:val="2"/>
          </w:tcPr>
          <w:p>
            <w:pPr>
              <w:jc w:val="right"/>
              <w:ind w:right="750"/>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16"/>
        </w:trPr>
        <w:tc>
          <w:tcPr>
            <w:tcW w:w="6380" w:type="dxa"/>
            <w:vAlign w:val="bottom"/>
          </w:tcPr>
          <w:p>
            <w:pPr>
              <w:ind w:left="300"/>
              <w:spacing w:after="0"/>
              <w:rPr>
                <w:sz w:val="20"/>
                <w:szCs w:val="20"/>
                <w:color w:val="auto"/>
              </w:rPr>
            </w:pPr>
            <w:r>
              <w:rPr>
                <w:rFonts w:ascii="Arial" w:cs="Arial" w:eastAsia="Arial" w:hAnsi="Arial"/>
                <w:sz w:val="18"/>
                <w:szCs w:val="18"/>
                <w:color w:val="auto"/>
              </w:rPr>
              <w:t>Inventory, net</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181,430</w:t>
            </w:r>
          </w:p>
        </w:tc>
        <w:tc>
          <w:tcPr>
            <w:tcW w:w="2620" w:type="dxa"/>
            <w:vAlign w:val="bottom"/>
            <w:gridSpan w:val="2"/>
          </w:tcPr>
          <w:p>
            <w:pPr>
              <w:jc w:val="right"/>
              <w:ind w:right="750"/>
              <w:spacing w:after="0"/>
              <w:rPr>
                <w:sz w:val="20"/>
                <w:szCs w:val="20"/>
                <w:color w:val="auto"/>
              </w:rPr>
            </w:pPr>
            <w:r>
              <w:rPr>
                <w:rFonts w:ascii="Arial" w:cs="Arial" w:eastAsia="Arial" w:hAnsi="Arial"/>
                <w:sz w:val="18"/>
                <w:szCs w:val="18"/>
                <w:color w:val="auto"/>
              </w:rPr>
              <w:t>146,928</w:t>
            </w:r>
          </w:p>
        </w:tc>
        <w:tc>
          <w:tcPr>
            <w:tcW w:w="0" w:type="dxa"/>
            <w:vAlign w:val="bottom"/>
          </w:tcPr>
          <w:p>
            <w:pPr>
              <w:spacing w:after="0"/>
              <w:rPr>
                <w:sz w:val="1"/>
                <w:szCs w:val="1"/>
                <w:color w:val="auto"/>
              </w:rPr>
            </w:pPr>
          </w:p>
        </w:tc>
      </w:tr>
      <w:tr>
        <w:trPr>
          <w:trHeight w:val="216"/>
        </w:trPr>
        <w:tc>
          <w:tcPr>
            <w:tcW w:w="6380" w:type="dxa"/>
            <w:vAlign w:val="bottom"/>
          </w:tcPr>
          <w:p>
            <w:pPr>
              <w:ind w:left="300"/>
              <w:spacing w:after="0"/>
              <w:rPr>
                <w:sz w:val="20"/>
                <w:szCs w:val="20"/>
                <w:color w:val="auto"/>
              </w:rPr>
            </w:pPr>
            <w:r>
              <w:rPr>
                <w:rFonts w:ascii="Arial" w:cs="Arial" w:eastAsia="Arial" w:hAnsi="Arial"/>
                <w:sz w:val="18"/>
                <w:szCs w:val="18"/>
                <w:color w:val="auto"/>
              </w:rPr>
              <w:t>Term loan</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2620" w:type="dxa"/>
            <w:vAlign w:val="bottom"/>
            <w:gridSpan w:val="2"/>
          </w:tcPr>
          <w:p>
            <w:pPr>
              <w:jc w:val="right"/>
              <w:ind w:right="750"/>
              <w:spacing w:after="0"/>
              <w:rPr>
                <w:sz w:val="20"/>
                <w:szCs w:val="20"/>
                <w:color w:val="auto"/>
              </w:rPr>
            </w:pPr>
            <w:r>
              <w:rPr>
                <w:rFonts w:ascii="Arial" w:cs="Arial" w:eastAsia="Arial" w:hAnsi="Arial"/>
                <w:sz w:val="18"/>
                <w:szCs w:val="18"/>
                <w:color w:val="auto"/>
              </w:rPr>
              <w:t>148,126</w:t>
            </w:r>
          </w:p>
        </w:tc>
        <w:tc>
          <w:tcPr>
            <w:tcW w:w="0" w:type="dxa"/>
            <w:vAlign w:val="bottom"/>
          </w:tcPr>
          <w:p>
            <w:pPr>
              <w:spacing w:after="0"/>
              <w:rPr>
                <w:sz w:val="1"/>
                <w:szCs w:val="1"/>
                <w:color w:val="auto"/>
              </w:rPr>
            </w:pPr>
          </w:p>
        </w:tc>
      </w:tr>
      <w:tr>
        <w:trPr>
          <w:trHeight w:val="216"/>
        </w:trPr>
        <w:tc>
          <w:tcPr>
            <w:tcW w:w="6380" w:type="dxa"/>
            <w:vAlign w:val="bottom"/>
          </w:tcPr>
          <w:p>
            <w:pPr>
              <w:ind w:left="300"/>
              <w:spacing w:after="0"/>
              <w:rPr>
                <w:sz w:val="20"/>
                <w:szCs w:val="20"/>
                <w:color w:val="auto"/>
              </w:rPr>
            </w:pPr>
            <w:r>
              <w:rPr>
                <w:rFonts w:ascii="Arial" w:cs="Arial" w:eastAsia="Arial" w:hAnsi="Arial"/>
                <w:sz w:val="18"/>
                <w:szCs w:val="18"/>
                <w:color w:val="auto"/>
              </w:rPr>
              <w:t>Bank line of credit</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192,500</w:t>
            </w:r>
          </w:p>
        </w:tc>
        <w:tc>
          <w:tcPr>
            <w:tcW w:w="2620" w:type="dxa"/>
            <w:vAlign w:val="bottom"/>
            <w:gridSpan w:val="2"/>
          </w:tcPr>
          <w:p>
            <w:pPr>
              <w:jc w:val="right"/>
              <w:ind w:right="75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6380" w:type="dxa"/>
            <w:vAlign w:val="bottom"/>
          </w:tcPr>
          <w:p>
            <w:pPr>
              <w:ind w:left="300"/>
              <w:spacing w:after="0"/>
              <w:rPr>
                <w:sz w:val="20"/>
                <w:szCs w:val="20"/>
                <w:color w:val="auto"/>
              </w:rPr>
            </w:pPr>
            <w:r>
              <w:rPr>
                <w:rFonts w:ascii="Arial" w:cs="Arial" w:eastAsia="Arial" w:hAnsi="Arial"/>
                <w:sz w:val="18"/>
                <w:szCs w:val="18"/>
                <w:color w:val="auto"/>
              </w:rPr>
              <w:t>Convertible securities</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349,104</w:t>
            </w:r>
          </w:p>
        </w:tc>
        <w:tc>
          <w:tcPr>
            <w:tcW w:w="2620" w:type="dxa"/>
            <w:vAlign w:val="bottom"/>
            <w:gridSpan w:val="2"/>
          </w:tcPr>
          <w:p>
            <w:pPr>
              <w:jc w:val="right"/>
              <w:ind w:right="750"/>
              <w:spacing w:after="0"/>
              <w:rPr>
                <w:sz w:val="20"/>
                <w:szCs w:val="20"/>
                <w:color w:val="auto"/>
              </w:rPr>
            </w:pPr>
            <w:r>
              <w:rPr>
                <w:rFonts w:ascii="Arial" w:cs="Arial" w:eastAsia="Arial" w:hAnsi="Arial"/>
                <w:sz w:val="18"/>
                <w:szCs w:val="18"/>
                <w:color w:val="auto"/>
              </w:rPr>
              <w:t>155,154</w:t>
            </w:r>
          </w:p>
        </w:tc>
        <w:tc>
          <w:tcPr>
            <w:tcW w:w="0" w:type="dxa"/>
            <w:vAlign w:val="bottom"/>
          </w:tcPr>
          <w:p>
            <w:pPr>
              <w:spacing w:after="0"/>
              <w:rPr>
                <w:sz w:val="1"/>
                <w:szCs w:val="1"/>
                <w:color w:val="auto"/>
              </w:rPr>
            </w:pPr>
          </w:p>
        </w:tc>
      </w:tr>
      <w:tr>
        <w:trPr>
          <w:trHeight w:val="230"/>
        </w:trPr>
        <w:tc>
          <w:tcPr>
            <w:tcW w:w="6380" w:type="dxa"/>
            <w:vAlign w:val="bottom"/>
          </w:tcPr>
          <w:p>
            <w:pPr>
              <w:ind w:left="300"/>
              <w:spacing w:after="0"/>
              <w:rPr>
                <w:sz w:val="20"/>
                <w:szCs w:val="20"/>
                <w:color w:val="auto"/>
              </w:rPr>
            </w:pPr>
            <w:r>
              <w:rPr>
                <w:rFonts w:ascii="Arial" w:cs="Arial" w:eastAsia="Arial" w:hAnsi="Arial"/>
                <w:sz w:val="18"/>
                <w:szCs w:val="18"/>
                <w:color w:val="auto"/>
              </w:rPr>
              <w:t>Stockholders’ equity</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501,521</w:t>
            </w:r>
          </w:p>
        </w:tc>
        <w:tc>
          <w:tcPr>
            <w:tcW w:w="2620" w:type="dxa"/>
            <w:vAlign w:val="bottom"/>
            <w:gridSpan w:val="2"/>
          </w:tcPr>
          <w:p>
            <w:pPr>
              <w:jc w:val="right"/>
              <w:ind w:right="750"/>
              <w:spacing w:after="0"/>
              <w:rPr>
                <w:sz w:val="20"/>
                <w:szCs w:val="20"/>
                <w:color w:val="auto"/>
              </w:rPr>
            </w:pPr>
            <w:r>
              <w:rPr>
                <w:rFonts w:ascii="Arial" w:cs="Arial" w:eastAsia="Arial" w:hAnsi="Arial"/>
                <w:sz w:val="18"/>
                <w:szCs w:val="18"/>
                <w:color w:val="auto"/>
              </w:rPr>
              <w:t>499,963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RECONCILIATION OF NON-GAAP ADJUSTMENTS –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5680" w:type="dxa"/>
        <w:tblCellMar>
          <w:top w:w="0" w:type="dxa"/>
          <w:left w:w="0" w:type="dxa"/>
          <w:bottom w:w="0" w:type="dxa"/>
          <w:right w:w="0" w:type="dxa"/>
        </w:tblCellMar>
      </w:tblPr>
      <w:tr>
        <w:trPr>
          <w:trHeight w:val="216"/>
        </w:trPr>
        <w:tc>
          <w:tcPr>
            <w:tcW w:w="24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Recorded Year to</w:t>
            </w:r>
          </w:p>
        </w:tc>
        <w:tc>
          <w:tcPr>
            <w:tcW w:w="3020" w:type="dxa"/>
            <w:vAlign w:val="bottom"/>
            <w:gridSpan w:val="5"/>
          </w:tcPr>
          <w:p>
            <w:pPr>
              <w:jc w:val="center"/>
              <w:ind w:right="20"/>
              <w:spacing w:after="0"/>
              <w:rPr>
                <w:sz w:val="20"/>
                <w:szCs w:val="20"/>
                <w:color w:val="auto"/>
              </w:rPr>
            </w:pPr>
            <w:r>
              <w:rPr>
                <w:rFonts w:ascii="Arial" w:cs="Arial" w:eastAsia="Arial" w:hAnsi="Arial"/>
                <w:sz w:val="18"/>
                <w:szCs w:val="18"/>
                <w:color w:val="auto"/>
                <w:w w:val="88"/>
              </w:rPr>
              <w:t>Projected Year Ended</w:t>
            </w: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Date</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24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September 30, 2011</w:t>
            </w:r>
          </w:p>
        </w:tc>
        <w:tc>
          <w:tcPr>
            <w:tcW w:w="22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December 31, 2011</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Low</w:t>
            </w: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High</w:t>
            </w:r>
          </w:p>
        </w:tc>
        <w:tc>
          <w:tcPr>
            <w:tcW w:w="380" w:type="dxa"/>
            <w:vAlign w:val="bottom"/>
            <w:tcBorders>
              <w:top w:val="single" w:sz="8" w:color="auto"/>
            </w:tcBorders>
          </w:tcPr>
          <w:p>
            <w:pPr>
              <w:spacing w:after="0"/>
              <w:rPr>
                <w:sz w:val="19"/>
                <w:szCs w:val="19"/>
                <w:color w:val="auto"/>
              </w:rPr>
            </w:pPr>
          </w:p>
        </w:tc>
      </w:tr>
    </w:tbl>
    <w:p>
      <w:pPr>
        <w:sectPr>
          <w:pgSz w:w="11900" w:h="16838" w:orient="portrait"/>
          <w:cols w:equalWidth="0" w:num="1">
            <w:col w:w="11360"/>
          </w:cols>
          <w:pgMar w:left="240" w:top="125" w:right="299" w:bottom="0" w:gutter="0" w:footer="0" w:header="0"/>
        </w:sectPr>
      </w:pPr>
    </w:p>
    <w:bookmarkStart w:id="11" w:name="page12"/>
    <w:bookmarkEnd w:id="11"/>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GAAP 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23,429</w:t>
            </w:r>
          </w:p>
        </w:tc>
        <w:tc>
          <w:tcPr>
            <w:tcW w:w="10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35,900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Non-GAAP adjustments: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4,227</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Certain employee termination and related charges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846</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2,285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2,648</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Charges associated with discontinued</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product lines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3,664</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3,664</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11,832</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16,375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and distribution transfer charges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2,127</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Expenses associated with remediation and related</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60"/>
              <w:spacing w:after="0"/>
              <w:rPr>
                <w:sz w:val="20"/>
                <w:szCs w:val="20"/>
                <w:color w:val="auto"/>
              </w:rPr>
            </w:pPr>
            <w:r>
              <w:rPr>
                <w:rFonts w:ascii="Arial" w:cs="Arial" w:eastAsia="Arial" w:hAnsi="Arial"/>
                <w:sz w:val="18"/>
                <w:szCs w:val="18"/>
                <w:color w:val="auto"/>
              </w:rPr>
              <w:t>unplanned idle time and underutilization at our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Plainsboro, New Jersey manufacturing facility</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1,748</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378</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Charges related to extending our Chief Executive Officer’s</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employment contract</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8,379</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8,379</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Expenses related to issuance costs in connection</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with the revised credit agreement</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Expenses related to our Chief Operating</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Officer joining the Company</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Non-cash amortization of imputed interest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 convertible debt</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7,049</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10,485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14,976</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21,460</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Income tax expense related</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to above adjustments and certain</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infrequently occurring items</w:t>
            </w:r>
          </w:p>
        </w:tc>
        <w:tc>
          <w:tcPr>
            <w:tcW w:w="800" w:type="dxa"/>
            <w:vAlign w:val="bottom"/>
          </w:tcPr>
          <w:p>
            <w:pPr>
              <w:spacing w:after="0"/>
              <w:rPr>
                <w:sz w:val="20"/>
                <w:szCs w:val="20"/>
                <w:color w:val="auto"/>
              </w:rPr>
            </w:pPr>
          </w:p>
        </w:tc>
        <w:tc>
          <w:tcPr>
            <w:tcW w:w="1640" w:type="dxa"/>
            <w:vAlign w:val="bottom"/>
            <w:gridSpan w:val="2"/>
          </w:tcPr>
          <w:p>
            <w:pPr>
              <w:jc w:val="right"/>
              <w:ind w:right="1020"/>
              <w:spacing w:after="0"/>
              <w:rPr>
                <w:sz w:val="20"/>
                <w:szCs w:val="20"/>
                <w:color w:val="auto"/>
              </w:rPr>
            </w:pPr>
            <w:r>
              <w:rPr>
                <w:rFonts w:ascii="Arial" w:cs="Arial" w:eastAsia="Arial" w:hAnsi="Arial"/>
                <w:sz w:val="18"/>
                <w:szCs w:val="18"/>
                <w:color w:val="auto"/>
                <w:w w:val="89"/>
              </w:rPr>
              <w:t>(19,837)</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(30,106)</w:t>
            </w:r>
          </w:p>
        </w:tc>
        <w:tc>
          <w:tcPr>
            <w:tcW w:w="5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(30,106)</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of non-GAAP adjustments</w:t>
            </w:r>
          </w:p>
        </w:tc>
        <w:tc>
          <w:tcPr>
            <w:tcW w:w="8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38,927</w:t>
            </w:r>
          </w:p>
        </w:tc>
        <w:tc>
          <w:tcPr>
            <w:tcW w:w="10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49,100</w:t>
            </w: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Adjusted 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62,356</w:t>
            </w:r>
          </w:p>
        </w:tc>
        <w:tc>
          <w:tcPr>
            <w:tcW w:w="10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85,000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GAAP diluted net income per share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0.79</w:t>
            </w:r>
          </w:p>
        </w:tc>
        <w:tc>
          <w:tcPr>
            <w:tcW w:w="10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Non-GAAP adjustments detailed above</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0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Adjusted diluted net income per share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10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8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29,820</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29,500</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500" w:firstLine="228"/>
        <w:spacing w:after="0" w:line="454" w:lineRule="auto"/>
        <w:rPr>
          <w:sz w:val="20"/>
          <w:szCs w:val="20"/>
          <w:color w:val="auto"/>
        </w:rPr>
      </w:pPr>
      <w:r>
        <w:rPr>
          <w:rFonts w:ascii="Arial" w:cs="Arial" w:eastAsia="Arial" w:hAnsi="Arial"/>
          <w:sz w:val="18"/>
          <w:szCs w:val="18"/>
          <w:color w:val="auto"/>
        </w:rPr>
        <w:t>Items included in GAAP net income guidance and location where each item is expected to be recorded (In thousands)</w:t>
      </w:r>
    </w:p>
    <w:p>
      <w:pPr>
        <w:jc w:val="center"/>
        <w:ind w:right="-279"/>
        <w:spacing w:after="0"/>
        <w:rPr>
          <w:sz w:val="20"/>
          <w:szCs w:val="20"/>
          <w:color w:val="auto"/>
        </w:rPr>
      </w:pPr>
      <w:r>
        <w:rPr>
          <w:rFonts w:ascii="Arial" w:cs="Arial" w:eastAsia="Arial" w:hAnsi="Arial"/>
          <w:sz w:val="18"/>
          <w:szCs w:val="18"/>
          <w:color w:val="auto"/>
        </w:rPr>
        <w:t>Projected Year Ended December 31, 2011</w:t>
      </w: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020" w:type="dxa"/>
            <w:vAlign w:val="bottom"/>
          </w:tcPr>
          <w:p>
            <w:pPr>
              <w:spacing w:after="0"/>
              <w:rPr>
                <w:sz w:val="20"/>
                <w:szCs w:val="20"/>
                <w:color w:val="auto"/>
              </w:rPr>
            </w:pPr>
            <w:r>
              <w:rPr>
                <w:rFonts w:ascii="Arial" w:cs="Arial" w:eastAsia="Arial" w:hAnsi="Arial"/>
                <w:sz w:val="14"/>
                <w:szCs w:val="14"/>
                <w:color w:val="auto"/>
              </w:rPr>
              <w:t>Item</w:t>
            </w:r>
          </w:p>
        </w:tc>
        <w:tc>
          <w:tcPr>
            <w:tcW w:w="180" w:type="dxa"/>
            <w:vAlign w:val="bottom"/>
          </w:tcPr>
          <w:p>
            <w:pPr>
              <w:spacing w:after="0"/>
              <w:rPr>
                <w:sz w:val="14"/>
                <w:szCs w:val="14"/>
                <w:color w:val="auto"/>
              </w:rPr>
            </w:pPr>
          </w:p>
        </w:tc>
        <w:tc>
          <w:tcPr>
            <w:tcW w:w="1340" w:type="dxa"/>
            <w:vAlign w:val="bottom"/>
          </w:tcPr>
          <w:p>
            <w:pPr>
              <w:jc w:val="right"/>
              <w:ind w:right="199"/>
              <w:spacing w:after="0"/>
              <w:rPr>
                <w:sz w:val="20"/>
                <w:szCs w:val="20"/>
                <w:color w:val="auto"/>
              </w:rPr>
            </w:pPr>
            <w:r>
              <w:rPr>
                <w:rFonts w:ascii="Arial" w:cs="Arial" w:eastAsia="Arial" w:hAnsi="Arial"/>
                <w:sz w:val="14"/>
                <w:szCs w:val="14"/>
                <w:color w:val="auto"/>
              </w:rPr>
              <w:t>Total Amount</w:t>
            </w:r>
          </w:p>
        </w:tc>
        <w:tc>
          <w:tcPr>
            <w:tcW w:w="18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color w:val="auto"/>
              </w:rPr>
              <w:t>COPR</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R&amp;D</w:t>
            </w:r>
          </w:p>
        </w:tc>
        <w:tc>
          <w:tcPr>
            <w:tcW w:w="18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color w:val="auto"/>
              </w:rPr>
              <w:t>SG&amp;A</w:t>
            </w:r>
          </w:p>
        </w:tc>
        <w:tc>
          <w:tcPr>
            <w:tcW w:w="18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Amort.</w:t>
            </w:r>
          </w:p>
        </w:tc>
        <w:tc>
          <w:tcPr>
            <w:tcW w:w="200" w:type="dxa"/>
            <w:vAlign w:val="bottom"/>
          </w:tcPr>
          <w:p>
            <w:pPr>
              <w:spacing w:after="0"/>
              <w:rPr>
                <w:sz w:val="14"/>
                <w:szCs w:val="14"/>
                <w:color w:val="auto"/>
              </w:rPr>
            </w:pPr>
          </w:p>
        </w:tc>
        <w:tc>
          <w:tcPr>
            <w:tcW w:w="1300" w:type="dxa"/>
            <w:vAlign w:val="bottom"/>
          </w:tcPr>
          <w:p>
            <w:pPr>
              <w:jc w:val="right"/>
              <w:ind w:right="72"/>
              <w:spacing w:after="0"/>
              <w:rPr>
                <w:sz w:val="20"/>
                <w:szCs w:val="20"/>
                <w:color w:val="auto"/>
              </w:rPr>
            </w:pPr>
            <w:r>
              <w:rPr>
                <w:rFonts w:ascii="Arial" w:cs="Arial" w:eastAsia="Arial" w:hAnsi="Arial"/>
                <w:sz w:val="14"/>
                <w:szCs w:val="14"/>
                <w:color w:val="auto"/>
              </w:rPr>
              <w:t>Interest Exp(Inc)</w:t>
            </w:r>
          </w:p>
        </w:tc>
        <w:tc>
          <w:tcPr>
            <w:tcW w:w="1240" w:type="dxa"/>
            <w:vAlign w:val="bottom"/>
            <w:gridSpan w:val="3"/>
          </w:tcPr>
          <w:p>
            <w:pPr>
              <w:ind w:left="180"/>
              <w:spacing w:after="0"/>
              <w:rPr>
                <w:sz w:val="20"/>
                <w:szCs w:val="20"/>
                <w:color w:val="auto"/>
              </w:rPr>
            </w:pPr>
            <w:r>
              <w:rPr>
                <w:rFonts w:ascii="Arial" w:cs="Arial" w:eastAsia="Arial" w:hAnsi="Arial"/>
                <w:sz w:val="14"/>
                <w:szCs w:val="14"/>
                <w:color w:val="auto"/>
              </w:rPr>
              <w:t>Other Exp(Inc)</w:t>
            </w:r>
          </w:p>
        </w:tc>
        <w:tc>
          <w:tcPr>
            <w:tcW w:w="1040" w:type="dxa"/>
            <w:vAlign w:val="bottom"/>
          </w:tcPr>
          <w:p>
            <w:pPr>
              <w:ind w:left="400"/>
              <w:spacing w:after="0"/>
              <w:rPr>
                <w:sz w:val="20"/>
                <w:szCs w:val="20"/>
                <w:color w:val="auto"/>
              </w:rPr>
            </w:pPr>
            <w:r>
              <w:rPr>
                <w:rFonts w:ascii="Arial" w:cs="Arial" w:eastAsia="Arial" w:hAnsi="Arial"/>
                <w:sz w:val="14"/>
                <w:szCs w:val="14"/>
                <w:color w:val="auto"/>
              </w:rPr>
              <w:t>Tax</w:t>
            </w:r>
          </w:p>
        </w:tc>
      </w:tr>
      <w:tr>
        <w:trPr>
          <w:trHeight w:val="195"/>
        </w:trPr>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Acquisition-related charges</w:t>
            </w:r>
          </w:p>
        </w:tc>
        <w:tc>
          <w:tcPr>
            <w:tcW w:w="180" w:type="dxa"/>
            <w:vAlign w:val="bottom"/>
          </w:tcPr>
          <w:p>
            <w:pPr>
              <w:spacing w:after="0"/>
              <w:rPr>
                <w:sz w:val="16"/>
                <w:szCs w:val="16"/>
                <w:color w:val="auto"/>
              </w:rPr>
            </w:pPr>
          </w:p>
        </w:tc>
        <w:tc>
          <w:tcPr>
            <w:tcW w:w="1340" w:type="dxa"/>
            <w:vAlign w:val="bottom"/>
            <w:tcBorders>
              <w:top w:val="single" w:sz="8" w:color="auto"/>
            </w:tcBorders>
          </w:tcPr>
          <w:p>
            <w:pPr>
              <w:jc w:val="right"/>
              <w:ind w:right="319"/>
              <w:spacing w:after="0" w:line="195" w:lineRule="exact"/>
              <w:rPr>
                <w:sz w:val="20"/>
                <w:szCs w:val="20"/>
                <w:color w:val="auto"/>
              </w:rPr>
            </w:pPr>
            <w:r>
              <w:rPr>
                <w:rFonts w:ascii="Arial" w:cs="Arial" w:eastAsia="Arial" w:hAnsi="Arial"/>
                <w:sz w:val="18"/>
                <w:szCs w:val="18"/>
                <w:color w:val="auto"/>
              </w:rPr>
              <w:t>$  6,400</w:t>
            </w:r>
          </w:p>
        </w:tc>
        <w:tc>
          <w:tcPr>
            <w:tcW w:w="180" w:type="dxa"/>
            <w:vAlign w:val="bottom"/>
          </w:tcPr>
          <w:p>
            <w:pPr>
              <w:spacing w:after="0"/>
              <w:rPr>
                <w:sz w:val="16"/>
                <w:szCs w:val="16"/>
                <w:color w:val="auto"/>
              </w:rPr>
            </w:pPr>
          </w:p>
        </w:tc>
        <w:tc>
          <w:tcPr>
            <w:tcW w:w="720" w:type="dxa"/>
            <w:vAlign w:val="bottom"/>
            <w:tcBorders>
              <w:top w:val="single" w:sz="8" w:color="auto"/>
            </w:tcBorders>
          </w:tcPr>
          <w:p>
            <w:pPr>
              <w:jc w:val="right"/>
              <w:ind w:right="93"/>
              <w:spacing w:after="0" w:line="195" w:lineRule="exact"/>
              <w:rPr>
                <w:sz w:val="20"/>
                <w:szCs w:val="20"/>
                <w:color w:val="auto"/>
              </w:rPr>
            </w:pPr>
            <w:r>
              <w:rPr>
                <w:rFonts w:ascii="Arial" w:cs="Arial" w:eastAsia="Arial" w:hAnsi="Arial"/>
                <w:sz w:val="18"/>
                <w:szCs w:val="18"/>
                <w:color w:val="auto"/>
                <w:w w:val="94"/>
              </w:rPr>
              <w:t>$3,415</w:t>
            </w:r>
          </w:p>
        </w:tc>
        <w:tc>
          <w:tcPr>
            <w:tcW w:w="18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$300</w:t>
            </w:r>
          </w:p>
        </w:tc>
        <w:tc>
          <w:tcPr>
            <w:tcW w:w="180" w:type="dxa"/>
            <w:vAlign w:val="bottom"/>
          </w:tcPr>
          <w:p>
            <w:pPr>
              <w:spacing w:after="0"/>
              <w:rPr>
                <w:sz w:val="16"/>
                <w:szCs w:val="16"/>
                <w:color w:val="auto"/>
              </w:rPr>
            </w:pPr>
          </w:p>
        </w:tc>
        <w:tc>
          <w:tcPr>
            <w:tcW w:w="840" w:type="dxa"/>
            <w:vAlign w:val="bottom"/>
            <w:tcBorders>
              <w:top w:val="single" w:sz="8" w:color="auto"/>
            </w:tcBorders>
          </w:tcPr>
          <w:p>
            <w:pPr>
              <w:jc w:val="right"/>
              <w:ind w:right="94"/>
              <w:spacing w:after="0" w:line="195" w:lineRule="exact"/>
              <w:rPr>
                <w:sz w:val="20"/>
                <w:szCs w:val="20"/>
                <w:color w:val="auto"/>
              </w:rPr>
            </w:pPr>
            <w:r>
              <w:rPr>
                <w:rFonts w:ascii="Arial" w:cs="Arial" w:eastAsia="Arial" w:hAnsi="Arial"/>
                <w:sz w:val="18"/>
                <w:szCs w:val="18"/>
                <w:color w:val="auto"/>
              </w:rPr>
              <w:t>$ 2,685</w:t>
            </w:r>
          </w:p>
        </w:tc>
        <w:tc>
          <w:tcPr>
            <w:tcW w:w="180" w:type="dxa"/>
            <w:vAlign w:val="bottom"/>
          </w:tcPr>
          <w:p>
            <w:pPr>
              <w:spacing w:after="0"/>
              <w:rPr>
                <w:sz w:val="16"/>
                <w:szCs w:val="16"/>
                <w:color w:val="auto"/>
              </w:rPr>
            </w:pPr>
          </w:p>
        </w:tc>
        <w:tc>
          <w:tcPr>
            <w:tcW w:w="780" w:type="dxa"/>
            <w:vAlign w:val="bottom"/>
            <w:tcBorders>
              <w:top w:val="single" w:sz="8" w:color="auto"/>
            </w:tcBorders>
          </w:tcPr>
          <w:p>
            <w:pPr>
              <w:jc w:val="right"/>
              <w:ind w:right="92"/>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300" w:type="dxa"/>
            <w:vAlign w:val="bottom"/>
            <w:tcBorders>
              <w:top w:val="single" w:sz="8" w:color="auto"/>
            </w:tcBorders>
          </w:tcPr>
          <w:p>
            <w:pPr>
              <w:jc w:val="right"/>
              <w:ind w:right="392"/>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040" w:type="dxa"/>
            <w:vAlign w:val="bottom"/>
            <w:tcBorders>
              <w:top w:val="single" w:sz="8" w:color="auto"/>
            </w:tcBorders>
          </w:tcPr>
          <w:p>
            <w:pPr>
              <w:ind w:left="600"/>
              <w:spacing w:after="0" w:line="195" w:lineRule="exact"/>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Certain employee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termination and related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2,285</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34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1,771</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0"/>
              </w:rPr>
              <w:t>Intangible asset impairment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2,648</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1,597</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Charges associated with</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discontinued product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lines</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3,664</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Systems implementation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16,375</w:t>
            </w: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16,375</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Facility consolidation,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manufacturing and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distribution transfer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charges</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3,100</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6"/>
              </w:rPr>
              <w:t>Expenses associated with</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w w:val="98"/>
              </w:rPr>
              <w:t>remediation and related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w w:val="97"/>
              </w:rPr>
              <w:t>unplanned idle time and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underutilization at our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w w:val="98"/>
              </w:rPr>
              <w:t>Plainsboro, New Jersey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manufacturing facility</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2,680</w:t>
            </w:r>
          </w:p>
        </w:tc>
        <w:tc>
          <w:tcPr>
            <w:tcW w:w="900" w:type="dxa"/>
            <w:vAlign w:val="bottom"/>
            <w:gridSpan w:val="2"/>
          </w:tcPr>
          <w:p>
            <w:pPr>
              <w:jc w:val="right"/>
              <w:ind w:right="93"/>
              <w:spacing w:after="0"/>
              <w:rPr>
                <w:sz w:val="20"/>
                <w:szCs w:val="20"/>
                <w:color w:val="auto"/>
              </w:rPr>
            </w:pPr>
            <w:r>
              <w:rPr>
                <w:rFonts w:ascii="Arial" w:cs="Arial" w:eastAsia="Arial" w:hAnsi="Arial"/>
                <w:sz w:val="18"/>
                <w:szCs w:val="18"/>
                <w:color w:val="auto"/>
              </w:rPr>
              <w:t>2,680</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Charges related to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restructuring our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European entities</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Charges related to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extending our Chief</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Executive Officer’s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employment contract</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8,379</w:t>
            </w: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8,379</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Expenses related to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issuance costs 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rPr>
              <w:t>connection with the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20" w:type="dxa"/>
            <w:vAlign w:val="bottom"/>
          </w:tcPr>
          <w:p>
            <w:pPr>
              <w:ind w:left="140"/>
              <w:spacing w:after="0"/>
              <w:rPr>
                <w:sz w:val="20"/>
                <w:szCs w:val="20"/>
                <w:color w:val="auto"/>
              </w:rPr>
            </w:pPr>
            <w:r>
              <w:rPr>
                <w:rFonts w:ascii="Arial" w:cs="Arial" w:eastAsia="Arial" w:hAnsi="Arial"/>
                <w:sz w:val="18"/>
                <w:szCs w:val="18"/>
                <w:color w:val="auto"/>
                <w:w w:val="93"/>
              </w:rPr>
              <w:t>revised credit agreement</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92"/>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Expenses related to our</w:t>
            </w:r>
          </w:p>
        </w:tc>
        <w:tc>
          <w:tcPr>
            <w:tcW w:w="1520" w:type="dxa"/>
            <w:vAlign w:val="bottom"/>
            <w:gridSpan w:val="2"/>
          </w:tcPr>
          <w:p>
            <w:pPr>
              <w:jc w:val="right"/>
              <w:ind w:right="319"/>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94"/>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140"/>
          </w:cols>
          <w:pgMar w:left="240" w:top="125" w:right="519" w:bottom="0" w:gutter="0" w:footer="0" w:header="0"/>
        </w:sectPr>
      </w:pPr>
    </w:p>
    <w:bookmarkStart w:id="12" w:name="page13"/>
    <w:bookmarkEnd w:id="1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Chief Operating Officer</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joining the Company</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Non-cash amortization of</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imputed interest for</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convertible debt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10,485</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10,485</w:t>
            </w:r>
          </w:p>
        </w:tc>
        <w:tc>
          <w:tcPr>
            <w:tcW w:w="1080" w:type="dxa"/>
            <w:vAlign w:val="bottom"/>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Intangible asset</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amortization expense</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21,460</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6,070</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15,390</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Income tax expense related</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to above adjustments,</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quarterly adjustments to</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related to the cumulative</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impact of changes in</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estimated tax rates and</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certain infrequently</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occurring items that</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affected the reported tax</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rate</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(30,106)</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ind w:left="5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(30,106)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Integra LifeSciences Holdings Corporation</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8"/>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3"/>
    </w:lvl>
  </w:abstractNum>
  <w:abstractNum w:abstractNumId="10">
    <w:nsid w:val="3352255A"/>
    <w:multiLevelType w:val="hybridMultilevel"/>
    <w:lvl w:ilvl="0">
      <w:lvlJc w:val="left"/>
      <w:lvlText w:val="(%1)"/>
      <w:numFmt w:val="lowerRoman"/>
      <w:start w:val="6"/>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2019-12-10T13:12:38Z</dcterms:created>
  <dcterms:modified xsi:type="dcterms:W3CDTF">2019-12-10T13:12:38Z</dcterms:modified>
</cp:coreProperties>
</file>