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2015</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1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tabs>
          <w:tab w:leader="none" w:pos="680" w:val="left"/>
          <w:tab w:leader="none" w:pos="1240" w:val="left"/>
        </w:tabs>
        <w:rPr>
          <w:sz w:val="20"/>
          <w:szCs w:val="20"/>
          <w:color w:val="auto"/>
        </w:rPr>
      </w:pPr>
      <w:r>
        <w:rPr>
          <w:rFonts w:ascii="Arial" w:cs="Arial" w:eastAsia="Arial" w:hAnsi="Arial"/>
          <w:sz w:val="16"/>
          <w:szCs w:val="16"/>
          <w:color w:val="auto"/>
        </w:rPr>
        <w:t>90 days.</w:t>
        <w:tab/>
        <w:t>Yes x</w:t>
        <w:tab/>
        <w:t>No o</w:t>
      </w:r>
    </w:p>
    <w:p>
      <w:pPr>
        <w:spacing w:after="0" w:line="15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7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x</w:t>
            </w:r>
          </w:p>
        </w:tc>
        <w:tc>
          <w:tcPr>
            <w:tcW w:w="58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46"/>
        </w:trPr>
        <w:tc>
          <w:tcPr>
            <w:tcW w:w="17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o</w:t>
            </w:r>
          </w:p>
        </w:tc>
        <w:tc>
          <w:tcPr>
            <w:tcW w:w="582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November 2, 2015 was 36,982,277.</w:t>
      </w:r>
    </w:p>
    <w:p>
      <w:pPr>
        <w:sectPr>
          <w:pgSz w:w="11900" w:h="16838" w:orient="portrait"/>
          <w:cols w:equalWidth="0" w:num="1">
            <w:col w:w="11420"/>
          </w:cols>
          <w:pgMar w:left="240" w:top="51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60" w:type="dxa"/>
            <w:vAlign w:val="bottom"/>
            <w:gridSpan w:val="7"/>
          </w:tcPr>
          <w:p>
            <w:pPr>
              <w:jc w:val="center"/>
              <w:ind w:right="1380"/>
              <w:spacing w:after="0"/>
              <w:rPr>
                <w:sz w:val="20"/>
                <w:szCs w:val="20"/>
                <w:color w:val="auto"/>
              </w:rPr>
            </w:pPr>
            <w:r>
              <w:rPr>
                <w:rFonts w:ascii="Arial" w:cs="Arial" w:eastAsia="Arial" w:hAnsi="Arial"/>
                <w:sz w:val="18"/>
                <w:szCs w:val="18"/>
                <w:b w:val="1"/>
                <w:bCs w:val="1"/>
                <w:color w:val="auto"/>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5"/>
          </w:tcPr>
          <w:p>
            <w:pPr>
              <w:jc w:val="center"/>
              <w:ind w:right="3200"/>
              <w:spacing w:after="0"/>
              <w:rPr>
                <w:sz w:val="20"/>
                <w:szCs w:val="20"/>
                <w:color w:val="auto"/>
              </w:rPr>
            </w:pPr>
            <w:r>
              <w:rPr>
                <w:rFonts w:ascii="Arial" w:cs="Arial" w:eastAsia="Arial" w:hAnsi="Arial"/>
                <w:sz w:val="18"/>
                <w:szCs w:val="18"/>
                <w:b w:val="1"/>
                <w:bCs w:val="1"/>
                <w:color w:val="auto"/>
              </w:rPr>
              <w:t>INDEX</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5"/>
            <w:vMerge w:val="restart"/>
          </w:tcPr>
          <w:p>
            <w:pPr>
              <w:spacing w:after="0"/>
              <w:rPr>
                <w:rFonts w:ascii="Arial" w:cs="Arial" w:eastAsia="Arial" w:hAnsi="Arial"/>
                <w:sz w:val="16"/>
                <w:szCs w:val="16"/>
                <w:color w:val="0000FF"/>
              </w:rPr>
            </w:pPr>
            <w:hyperlink w:anchor="page2">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5"/>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8"/>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96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w w:val="90"/>
              </w:rPr>
              <w:t>Condensed Consolidated Statements of Operations and Comprehensive Income (Loss) for the three and nine months ended September 30, 2015 and 2014</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line="183" w:lineRule="exact"/>
              <w:rPr>
                <w:sz w:val="20"/>
                <w:szCs w:val="20"/>
                <w:color w:val="auto"/>
              </w:rPr>
            </w:pPr>
            <w:r>
              <w:rPr>
                <w:rFonts w:ascii="Arial" w:cs="Arial" w:eastAsia="Arial" w:hAnsi="Arial"/>
                <w:sz w:val="16"/>
                <w:szCs w:val="16"/>
                <w:color w:val="0000FF"/>
                <w:w w:val="90"/>
              </w:rPr>
              <w:t>(Unaudited)</w:t>
            </w:r>
          </w:p>
        </w:tc>
        <w:tc>
          <w:tcPr>
            <w:tcW w:w="9360" w:type="dxa"/>
            <w:vAlign w:val="bottom"/>
            <w:gridSpan w:val="14"/>
          </w:tcPr>
          <w:p>
            <w:pPr>
              <w:spacing w:after="0"/>
              <w:rPr>
                <w:sz w:val="15"/>
                <w:szCs w:val="15"/>
                <w:color w:val="auto"/>
              </w:rPr>
            </w:pPr>
          </w:p>
        </w:tc>
        <w:tc>
          <w:tcPr>
            <w:tcW w:w="1240" w:type="dxa"/>
            <w:vAlign w:val="bottom"/>
            <w:gridSpan w:val="4"/>
          </w:tcPr>
          <w:p>
            <w:pPr>
              <w:jc w:val="right"/>
              <w:ind w:right="20"/>
              <w:spacing w:after="0" w:line="183"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5"/>
          </w:tcPr>
          <w:p>
            <w:pPr>
              <w:spacing w:after="0"/>
              <w:rPr>
                <w:sz w:val="20"/>
                <w:szCs w:val="20"/>
                <w:color w:val="auto"/>
              </w:rPr>
            </w:pPr>
            <w:r>
              <w:rPr>
                <w:rFonts w:ascii="Arial" w:cs="Arial" w:eastAsia="Arial" w:hAnsi="Arial"/>
                <w:sz w:val="16"/>
                <w:szCs w:val="16"/>
                <w:color w:val="0000FF"/>
              </w:rPr>
              <w:t>Condensed Consolidated Balance Sheets as of September 30, 2015 and December 31, 2014 (Unaudited)</w:t>
            </w: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3"/>
          </w:tcPr>
          <w:p>
            <w:pPr>
              <w:spacing w:after="0"/>
              <w:rPr>
                <w:sz w:val="20"/>
                <w:szCs w:val="20"/>
                <w:color w:val="auto"/>
              </w:rPr>
            </w:pPr>
            <w:r>
              <w:rPr>
                <w:rFonts w:ascii="Arial" w:cs="Arial" w:eastAsia="Arial" w:hAnsi="Arial"/>
                <w:sz w:val="16"/>
                <w:szCs w:val="16"/>
                <w:color w:val="0000FF"/>
                <w:w w:val="90"/>
              </w:rPr>
              <w:t>Condensed Consolidated Statements of Cash Flows for the nine months ended September 30, 2015 and 2014 (Unaudited)</w:t>
            </w:r>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880" w:type="dxa"/>
            <w:vAlign w:val="bottom"/>
            <w:gridSpan w:val="13"/>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Notes to Unaudited Condensed Consolidated Financial Statements</w:t>
              </w:r>
            </w:hyperlink>
          </w:p>
        </w:tc>
        <w:tc>
          <w:tcPr>
            <w:tcW w:w="226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1"/>
          </w:tcPr>
          <w:p>
            <w:pPr>
              <w:spacing w:after="0"/>
              <w:rPr>
                <w:rFonts w:ascii="Arial" w:cs="Arial" w:eastAsia="Arial" w:hAnsi="Arial"/>
                <w:sz w:val="16"/>
                <w:szCs w:val="16"/>
                <w:color w:val="0000FF"/>
                <w:w w:val="92"/>
              </w:rPr>
            </w:pPr>
            <w:hyperlink w:anchor="page28">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8">
              <w:r>
                <w:rPr>
                  <w:rFonts w:ascii="Arial" w:cs="Arial" w:eastAsia="Arial" w:hAnsi="Arial"/>
                  <w:sz w:val="16"/>
                  <w:szCs w:val="16"/>
                  <w:color w:val="0000FF"/>
                </w:rPr>
                <w:t>28</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w w:val="92"/>
              </w:rPr>
            </w:pPr>
            <w:hyperlink w:anchor="page40">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rPr>
            </w:pPr>
            <w:hyperlink w:anchor="page41">
              <w:r>
                <w:rPr>
                  <w:rFonts w:ascii="Arial" w:cs="Arial" w:eastAsia="Arial" w:hAnsi="Arial"/>
                  <w:sz w:val="16"/>
                  <w:szCs w:val="16"/>
                  <w:color w:val="0000FF"/>
                </w:rPr>
                <w:t>Item 4. Controls and Procedures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1">
              <w:r>
                <w:rPr>
                  <w:rFonts w:ascii="Arial" w:cs="Arial" w:eastAsia="Arial" w:hAnsi="Arial"/>
                  <w:sz w:val="16"/>
                  <w:szCs w:val="16"/>
                  <w:color w:val="0000FF"/>
                </w:rPr>
                <w:t>41</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7"/>
          </w:tcPr>
          <w:p>
            <w:pPr>
              <w:spacing w:after="0"/>
              <w:rPr>
                <w:rFonts w:ascii="Arial" w:cs="Arial" w:eastAsia="Arial" w:hAnsi="Arial"/>
                <w:sz w:val="16"/>
                <w:szCs w:val="16"/>
                <w:color w:val="0000FF"/>
                <w:w w:val="96"/>
              </w:rPr>
            </w:pPr>
            <w:hyperlink w:anchor="page41">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4"/>
          </w:tcPr>
          <w:p>
            <w:pPr>
              <w:spacing w:after="0"/>
              <w:rPr>
                <w:rFonts w:ascii="Arial" w:cs="Arial" w:eastAsia="Arial" w:hAnsi="Arial"/>
                <w:sz w:val="16"/>
                <w:szCs w:val="16"/>
                <w:color w:val="0000FF"/>
                <w:w w:val="88"/>
              </w:rPr>
            </w:pPr>
            <w:hyperlink w:anchor="page42">
              <w:r>
                <w:rPr>
                  <w:rFonts w:ascii="Arial" w:cs="Arial" w:eastAsia="Arial" w:hAnsi="Arial"/>
                  <w:sz w:val="16"/>
                  <w:szCs w:val="16"/>
                  <w:color w:val="0000FF"/>
                  <w:w w:val="88"/>
                </w:rPr>
                <w:t>Item 1. Legal Proceedings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4"/>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Item 1A. Risk Factors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5"/>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4"/>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rFonts w:ascii="Arial" w:cs="Arial" w:eastAsia="Arial" w:hAnsi="Arial"/>
                <w:sz w:val="16"/>
                <w:szCs w:val="16"/>
                <w:color w:val="0000FF"/>
                <w:w w:val="85"/>
              </w:rPr>
            </w:pPr>
            <w:hyperlink w:anchor="page42">
              <w:r>
                <w:rPr>
                  <w:rFonts w:ascii="Arial" w:cs="Arial" w:eastAsia="Arial" w:hAnsi="Arial"/>
                  <w:sz w:val="16"/>
                  <w:szCs w:val="16"/>
                  <w:color w:val="0000FF"/>
                  <w:w w:val="85"/>
                </w:rPr>
                <w:t>Item 6. Exhibits</w:t>
              </w:r>
            </w:hyperlink>
          </w:p>
        </w:tc>
        <w:tc>
          <w:tcPr>
            <w:tcW w:w="700" w:type="dxa"/>
            <w:vAlign w:val="bottom"/>
            <w:gridSpan w:val="2"/>
          </w:tcPr>
          <w:p>
            <w:pPr>
              <w:spacing w:after="0"/>
              <w:rPr>
                <w:sz w:val="24"/>
                <w:szCs w:val="24"/>
                <w:color w:val="auto"/>
              </w:rPr>
            </w:pPr>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2">
              <w:r>
                <w:rPr>
                  <w:rFonts w:ascii="Arial" w:cs="Arial" w:eastAsia="Arial" w:hAnsi="Arial"/>
                  <w:sz w:val="16"/>
                  <w:szCs w:val="16"/>
                  <w:color w:val="0000FF"/>
                </w:rPr>
                <w:t>43</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tcBorders>
              <w:left w:val="single" w:sz="8" w:color="0000FF"/>
            </w:tcBorders>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Arial" w:cs="Arial" w:eastAsia="Arial" w:hAnsi="Arial"/>
                <w:sz w:val="16"/>
                <w:szCs w:val="16"/>
                <w:color w:val="0000FF"/>
                <w:w w:val="90"/>
              </w:rPr>
            </w:pPr>
            <w:hyperlink w:anchor="page43">
              <w:r>
                <w:rPr>
                  <w:rFonts w:ascii="Arial" w:cs="Arial" w:eastAsia="Arial" w:hAnsi="Arial"/>
                  <w:sz w:val="16"/>
                  <w:szCs w:val="16"/>
                  <w:color w:val="0000FF"/>
                  <w:w w:val="90"/>
                </w:rPr>
                <w:t>SIGNATURES</w:t>
              </w:r>
            </w:hyperlink>
          </w:p>
        </w:tc>
        <w:tc>
          <w:tcPr>
            <w:tcW w:w="9160" w:type="dxa"/>
            <w:vAlign w:val="bottom"/>
            <w:gridSpan w:val="1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3">
              <w:r>
                <w:rPr>
                  <w:rFonts w:ascii="Arial" w:cs="Arial" w:eastAsia="Arial" w:hAnsi="Arial"/>
                  <w:sz w:val="16"/>
                  <w:szCs w:val="16"/>
                  <w:color w:val="0000FF"/>
                </w:rPr>
                <w:t>44</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2.1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2.2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5"/>
          </w:tcPr>
          <w:p>
            <w:pPr>
              <w:ind w:left="340"/>
              <w:spacing w:after="0"/>
              <w:rPr>
                <w:sz w:val="20"/>
                <w:szCs w:val="20"/>
                <w:color w:val="auto"/>
              </w:rPr>
            </w:pPr>
            <w:r>
              <w:rPr>
                <w:rFonts w:ascii="Arial" w:cs="Arial" w:eastAsia="Arial" w:hAnsi="Arial"/>
                <w:sz w:val="16"/>
                <w:szCs w:val="16"/>
                <w:color w:val="auto"/>
              </w:rPr>
              <w:t>Exhibit 4.1</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31.1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31.2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32.1</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Exhibit 32.2</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234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61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226,367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197,523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641,574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577,643</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86,069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73,896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236,541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217,922</w:t>
            </w: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13,938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11,134</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37,029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33,549</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113,424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93,788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306,007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283,057</w:t>
            </w:r>
          </w:p>
        </w:tc>
      </w:tr>
      <w:tr>
        <w:trPr>
          <w:trHeight w:val="243"/>
        </w:trPr>
        <w:tc>
          <w:tcPr>
            <w:tcW w:w="618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2,942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1,598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6,418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4,839</w:t>
            </w: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216,373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180,416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585,995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539,367</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9,994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17,107</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55,579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38,276</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w:t>
            </w: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(6,464)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(17,404)</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(16,436)</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Income from continuing operations before income taxes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5,362</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10,957</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41,160</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22,184</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37,243</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49,289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6,294</w:t>
            </w:r>
          </w:p>
        </w:tc>
      </w:tr>
      <w:tr>
        <w:trPr>
          <w:trHeight w:val="237"/>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(Loss) income from continuing operations</w:t>
            </w: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(31,881)</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8,990</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(8,129)</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15,890</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discontinued operations (net of tax expense, (benefit))</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(31,881)</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9,807</w:t>
            </w:r>
          </w:p>
        </w:tc>
        <w:tc>
          <w:tcPr>
            <w:tcW w:w="2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(18,499)</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16,838</w:t>
            </w:r>
          </w:p>
        </w:tc>
      </w:tr>
      <w:tr>
        <w:trPr>
          <w:trHeight w:val="311"/>
        </w:trPr>
        <w:tc>
          <w:tcPr>
            <w:tcW w:w="6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Net income (loss) per share - basic:</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income from continuing operations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0.03</w:t>
            </w:r>
          </w:p>
        </w:tc>
      </w:tr>
      <w:tr>
        <w:trPr>
          <w:trHeight w:val="27"/>
        </w:trPr>
        <w:tc>
          <w:tcPr>
            <w:tcW w:w="61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 per share - basic</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r>
      <w:tr>
        <w:trPr>
          <w:trHeight w:val="324"/>
        </w:trPr>
        <w:tc>
          <w:tcPr>
            <w:tcW w:w="6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 per share - diluted:</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380"/>
              <w:spacing w:after="0"/>
              <w:rPr>
                <w:sz w:val="20"/>
                <w:szCs w:val="20"/>
                <w:color w:val="auto"/>
              </w:rPr>
            </w:pPr>
            <w:r>
              <w:rPr>
                <w:rFonts w:ascii="Arial" w:cs="Arial" w:eastAsia="Arial" w:hAnsi="Arial"/>
                <w:sz w:val="18"/>
                <w:szCs w:val="18"/>
                <w:color w:val="auto"/>
              </w:rPr>
              <w:t>(Loss) income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0.48</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(loss) from discontinued operations</w:t>
            </w:r>
          </w:p>
        </w:tc>
        <w:tc>
          <w:tcPr>
            <w:tcW w:w="1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0.02</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r>
      <w:tr>
        <w:trPr>
          <w:trHeight w:val="237"/>
        </w:trPr>
        <w:tc>
          <w:tcPr>
            <w:tcW w:w="6180" w:type="dxa"/>
            <w:vAlign w:val="bottom"/>
          </w:tcPr>
          <w:p>
            <w:pPr>
              <w:ind w:left="380"/>
              <w:spacing w:after="0"/>
              <w:rPr>
                <w:sz w:val="20"/>
                <w:szCs w:val="20"/>
                <w:color w:val="auto"/>
              </w:rPr>
            </w:pPr>
            <w:r>
              <w:rPr>
                <w:rFonts w:ascii="Arial" w:cs="Arial" w:eastAsia="Arial" w:hAnsi="Arial"/>
                <w:sz w:val="18"/>
                <w:szCs w:val="18"/>
                <w:color w:val="auto"/>
              </w:rPr>
              <w:t>Net (loss) income per share - diluted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0.29</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0.51</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61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 (See Note 11):</w:t>
            </w: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35,279</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32,450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33,682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32,374</w:t>
            </w:r>
          </w:p>
        </w:tc>
      </w:tr>
      <w:tr>
        <w:trPr>
          <w:trHeight w:val="243"/>
        </w:trPr>
        <w:tc>
          <w:tcPr>
            <w:tcW w:w="6180" w:type="dxa"/>
            <w:vAlign w:val="bottom"/>
          </w:tcPr>
          <w:p>
            <w:pPr>
              <w:ind w:left="5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35,279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32,906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33,682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32,844</w:t>
            </w:r>
          </w:p>
        </w:tc>
      </w:tr>
      <w:tr>
        <w:trPr>
          <w:trHeight w:val="27"/>
        </w:trPr>
        <w:tc>
          <w:tcPr>
            <w:tcW w:w="6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(See Note 12)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(33,315)</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645</w:t>
            </w:r>
          </w:p>
        </w:tc>
      </w:tr>
      <w:tr>
        <w:trPr>
          <w:trHeight w:val="20"/>
        </w:trPr>
        <w:tc>
          <w:tcPr>
            <w:tcW w:w="6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2015</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2014</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71,734</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Trade accounts receivable, net of allowances of $5,876 and $5,659</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125,465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110,414</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Inventories,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213,878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189,133</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46,897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30,564</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27,691</w:t>
            </w:r>
          </w:p>
        </w:tc>
      </w:tr>
      <w:tr>
        <w:trPr>
          <w:trHeight w:val="243"/>
        </w:trPr>
        <w:tc>
          <w:tcPr>
            <w:tcW w:w="7900" w:type="dxa"/>
            <w:vAlign w:val="bottom"/>
          </w:tcPr>
          <w:p>
            <w:pPr>
              <w:ind w:left="540"/>
              <w:spacing w:after="0"/>
              <w:rPr>
                <w:sz w:val="20"/>
                <w:szCs w:val="20"/>
                <w:color w:val="auto"/>
              </w:rPr>
            </w:pPr>
            <w:r>
              <w:rPr>
                <w:rFonts w:ascii="Arial" w:cs="Arial" w:eastAsia="Arial" w:hAnsi="Arial"/>
                <w:sz w:val="16"/>
                <w:szCs w:val="16"/>
                <w:color w:val="auto"/>
              </w:rPr>
              <w:t>Current assets of discontinued operations</w:t>
            </w:r>
          </w:p>
        </w:tc>
        <w:tc>
          <w:tcPr>
            <w:tcW w:w="18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99,785</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504,912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529,321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197,200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193,626</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606,420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412,568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505,727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363,479</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assets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4,471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8,406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10,220</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Non-current assets of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73,734</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1,827,620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1,587,419</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Borrowings under senior credit facility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3,750</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Accounts payable, trade</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38,587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28,867</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Deferred revenue</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5,176</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41,206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34,643</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39,809</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Current liabilities of discontinued operations</w:t>
            </w:r>
          </w:p>
        </w:tc>
        <w:tc>
          <w:tcPr>
            <w:tcW w:w="1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13,780</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139,947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126,025</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502,188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413,125</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convertible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216,604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213,121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209,507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100,417</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27,778</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Long-term liabilities of discontinued operations</w:t>
            </w:r>
          </w:p>
        </w:tc>
        <w:tc>
          <w:tcPr>
            <w:tcW w:w="1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2,631</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1,097,520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883,097</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180" w:type="dxa"/>
            <w:vAlign w:val="bottom"/>
          </w:tcPr>
          <w:p>
            <w:pPr>
              <w:spacing w:after="0"/>
              <w:rPr>
                <w:sz w:val="20"/>
                <w:szCs w:val="20"/>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Common stock; $0.01 par value; 60,000 authorized shares; 45,843 and 41,644 issued at September 30, 2015 and</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2014, respectively</w:t>
            </w:r>
          </w:p>
        </w:tc>
        <w:tc>
          <w:tcPr>
            <w:tcW w:w="18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20"/>
                <w:szCs w:val="20"/>
                <w:color w:val="auto"/>
              </w:rPr>
            </w:pPr>
          </w:p>
        </w:tc>
        <w:tc>
          <w:tcPr>
            <w:tcW w:w="1540" w:type="dxa"/>
            <w:vAlign w:val="bottom"/>
          </w:tcPr>
          <w:p>
            <w:pPr>
              <w:jc w:val="right"/>
              <w:ind w:right="39"/>
              <w:spacing w:after="0"/>
              <w:rPr>
                <w:sz w:val="20"/>
                <w:szCs w:val="20"/>
                <w:color w:val="auto"/>
              </w:rPr>
            </w:pPr>
            <w:r>
              <w:rPr>
                <w:rFonts w:ascii="Arial" w:cs="Arial" w:eastAsia="Arial" w:hAnsi="Arial"/>
                <w:sz w:val="16"/>
                <w:szCs w:val="16"/>
                <w:color w:val="auto"/>
              </w:rPr>
              <w:t>1,010,448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779,555</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8,911 shares at September 30, 2015 and 8,903 shares at December 31, 2014</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(367,121)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(41,723)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(23,488)</w:t>
            </w:r>
          </w:p>
        </w:tc>
      </w:tr>
      <w:tr>
        <w:trPr>
          <w:trHeight w:val="33"/>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128,038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314,960</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730,100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704,322</w:t>
            </w:r>
          </w:p>
        </w:tc>
      </w:tr>
      <w:tr>
        <w:trPr>
          <w:trHeight w:val="33"/>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1,827,620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1,587,419</w:t>
            </w:r>
          </w:p>
        </w:tc>
      </w:tr>
      <w:tr>
        <w:trPr>
          <w:trHeight w:val="20"/>
        </w:trPr>
        <w:tc>
          <w:tcPr>
            <w:tcW w:w="7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5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3"/>
        </w:trPr>
        <w:tc>
          <w:tcPr>
            <w:tcW w:w="78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31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income</w:t>
            </w: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(18,499)</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16,838</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(income) from discontinued operations, net of tax</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10,370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40,596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34,042</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Non-cash impairment charges</w:t>
            </w:r>
          </w:p>
        </w:tc>
        <w:tc>
          <w:tcPr>
            <w:tcW w:w="40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44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Deferred income tax</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32,578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debt issuance costs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1,645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2,060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Non-cash interest expense</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5,874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5,256</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of accreted interest</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(384)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Loss on disposal of property and equipment</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Change in fair value of contingent consideration</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359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Share-based compensation</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11,788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11,234</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Excess tax benefits from stock-based compensation arrangements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(3,678)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Changes in assets and liabilities, net of business acquisitions:</w:t>
            </w:r>
          </w:p>
        </w:tc>
        <w:tc>
          <w:tcPr>
            <w:tcW w:w="4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40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(9,206)</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(12,409)</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(8,005)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(23,791)</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7,423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11,566</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Other non-current assets</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1,224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accrued expenses and other current liabilities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9,348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4,528</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non-current liabilities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(5,229)</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400" w:type="dxa"/>
            <w:vAlign w:val="bottom"/>
          </w:tcPr>
          <w:p>
            <w:pPr>
              <w:spacing w:after="0"/>
              <w:rPr>
                <w:sz w:val="14"/>
                <w:szCs w:val="14"/>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81,300</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40,944</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provided by operating activities of discontinued operations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(12,209)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17,762</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400" w:type="dxa"/>
            <w:vAlign w:val="bottom"/>
          </w:tcPr>
          <w:p>
            <w:pPr>
              <w:spacing w:after="0"/>
              <w:rPr>
                <w:sz w:val="14"/>
                <w:szCs w:val="14"/>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69,091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58,706</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40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(20,314)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(27,108)</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of property and equipment</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1,438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Cash used in business acquisition, net of cash acquired</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(308,256)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(235,000)</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 of continuing operations</w:t>
            </w: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(327,132)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(262,108)</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Net cash used in investing activities of discontinued operations</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(7,060)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(2,358)</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40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(334,192)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(264,466)</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8"/>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4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under senior credit facility</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545,000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385,000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Repayments under senior credit facility</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(448,750)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(160,000)</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 of 2016 convertible notes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(2,519)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Distribution to SeaSpine</w:t>
            </w:r>
          </w:p>
        </w:tc>
        <w:tc>
          <w:tcPr>
            <w:tcW w:w="400" w:type="dxa"/>
            <w:vAlign w:val="bottom"/>
          </w:tcPr>
          <w:p>
            <w:pPr>
              <w:spacing w:after="0"/>
              <w:rPr>
                <w:sz w:val="16"/>
                <w:szCs w:val="16"/>
                <w:color w:val="auto"/>
              </w:rPr>
            </w:pPr>
          </w:p>
        </w:tc>
        <w:tc>
          <w:tcPr>
            <w:tcW w:w="1340" w:type="dxa"/>
            <w:vAlign w:val="bottom"/>
            <w:vMerge w:val="restart"/>
          </w:tcPr>
          <w:p>
            <w:pPr>
              <w:jc w:val="right"/>
              <w:ind w:right="8"/>
              <w:spacing w:after="0"/>
              <w:rPr>
                <w:sz w:val="20"/>
                <w:szCs w:val="20"/>
                <w:color w:val="auto"/>
              </w:rPr>
            </w:pPr>
            <w:r>
              <w:rPr>
                <w:rFonts w:ascii="Arial" w:cs="Arial" w:eastAsia="Arial" w:hAnsi="Arial"/>
                <w:sz w:val="14"/>
                <w:szCs w:val="14"/>
                <w:color w:val="auto"/>
              </w:rPr>
              <w:t>(47,013)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Payment of debt issuance costs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(1,050)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(3,110)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the issuance of common stock, net of issuance costs</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219,888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Principal payments under capital lease obligations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(553)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Proceeds from exercised stock options</w:t>
            </w:r>
          </w:p>
        </w:tc>
        <w:tc>
          <w:tcPr>
            <w:tcW w:w="400" w:type="dxa"/>
            <w:vAlign w:val="bottom"/>
          </w:tcPr>
          <w:p>
            <w:pPr>
              <w:spacing w:after="0"/>
              <w:rPr>
                <w:sz w:val="16"/>
                <w:szCs w:val="16"/>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7,345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8,317</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Excess tax benefits from stock-based compensation arrangements</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3,677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1,207</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400" w:type="dxa"/>
            <w:vAlign w:val="bottom"/>
          </w:tcPr>
          <w:p>
            <w:pPr>
              <w:spacing w:after="0"/>
              <w:rPr>
                <w:sz w:val="14"/>
                <w:szCs w:val="14"/>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276,025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231,044</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40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(3,347)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(5,667)</w:t>
            </w: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400" w:type="dxa"/>
            <w:vAlign w:val="bottom"/>
          </w:tcPr>
          <w:p>
            <w:pPr>
              <w:spacing w:after="0"/>
              <w:rPr>
                <w:sz w:val="14"/>
                <w:szCs w:val="14"/>
                <w:color w:val="auto"/>
              </w:rPr>
            </w:pP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7,577</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19,617</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400" w:type="dxa"/>
            <w:vAlign w:val="bottom"/>
            <w:shd w:val="clear" w:color="auto" w:fill="CCEEFF"/>
          </w:tcPr>
          <w:p>
            <w:pPr>
              <w:spacing w:after="0"/>
              <w:rPr>
                <w:sz w:val="17"/>
                <w:szCs w:val="17"/>
                <w:color w:val="auto"/>
              </w:rPr>
            </w:pPr>
          </w:p>
        </w:tc>
        <w:tc>
          <w:tcPr>
            <w:tcW w:w="1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71,734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120,614</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340" w:type="dxa"/>
            <w:vAlign w:val="bottom"/>
            <w:vMerge w:val="restart"/>
          </w:tcPr>
          <w:p>
            <w:pPr>
              <w:jc w:val="right"/>
              <w:ind w:right="68"/>
              <w:spacing w:after="0"/>
              <w:rPr>
                <w:sz w:val="20"/>
                <w:szCs w:val="20"/>
                <w:color w:val="auto"/>
              </w:rPr>
            </w:pPr>
            <w:r>
              <w:rPr>
                <w:rFonts w:ascii="Arial" w:cs="Arial" w:eastAsia="Arial" w:hAnsi="Arial"/>
                <w:sz w:val="14"/>
                <w:szCs w:val="14"/>
                <w:color w:val="auto"/>
              </w:rPr>
              <w:t>79,311</w:t>
            </w:r>
          </w:p>
        </w:tc>
        <w:tc>
          <w:tcPr>
            <w:tcW w:w="100" w:type="dxa"/>
            <w:vAlign w:val="bottom"/>
          </w:tcPr>
          <w:p>
            <w:pPr>
              <w:spacing w:after="0"/>
              <w:rPr>
                <w:sz w:val="14"/>
                <w:szCs w:val="14"/>
                <w:color w:val="auto"/>
              </w:rPr>
            </w:pPr>
          </w:p>
        </w:tc>
        <w:tc>
          <w:tcPr>
            <w:tcW w:w="400" w:type="dxa"/>
            <w:vAlign w:val="bottom"/>
            <w:vMerge w:val="restart"/>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140,231</w:t>
            </w:r>
          </w:p>
        </w:tc>
        <w:tc>
          <w:tcPr>
            <w:tcW w:w="0" w:type="dxa"/>
            <w:vAlign w:val="bottom"/>
          </w:tcPr>
          <w:p>
            <w:pPr>
              <w:spacing w:after="0"/>
              <w:rPr>
                <w:sz w:val="1"/>
                <w:szCs w:val="1"/>
                <w:color w:val="auto"/>
              </w:rPr>
            </w:pPr>
          </w:p>
        </w:tc>
      </w:tr>
      <w:tr>
        <w:trPr>
          <w:trHeight w:val="65"/>
        </w:trPr>
        <w:tc>
          <w:tcPr>
            <w:tcW w:w="786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34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00"/>
          </w:cols>
          <w:pgMar w:left="240" w:top="125" w:right="259" w:bottom="233"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233"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September 30, 2015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2014 included in the Company’s Annual Report on Form 10-K. The December 31, 2014 consolidated balance sheet was derived from audited financial statements, but does not include all disclosures required by accounting principles generally accepted in the United States. Operating results for the three- and nine-month periods ended September 30, 2015 are not necessarily indicative of the results to be expected for the entire year.</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July 1, 2015, the Company completed the distribution of 100% of the outstanding common shares of SeaSpine Holdings Corporation ("SeaSpine") to Integra shareholders who received one share of SeaSpine common stock for every three shares of Integra common stock held as of the close of business on the record date, June 19, 2015. The Company has classified the results of operations, cash flows, and related assets and liabilities of SeaSpine as discontinued operations for all periods presented in the Company's Form 10-Q. Unless indicated otherwise, the information in the Notes to the condensed consolidated financial statements relates to the Company's continuing operations. Refer to Note 2 -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additional information regarding the distribution.</w:t>
      </w:r>
    </w:p>
    <w:p>
      <w:pPr>
        <w:spacing w:after="0" w:line="13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pension assets and liabilities,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24" w:lineRule="exact"/>
        <w:rPr>
          <w:sz w:val="20"/>
          <w:szCs w:val="20"/>
          <w:color w:val="auto"/>
        </w:rPr>
      </w:pPr>
    </w:p>
    <w:p>
      <w:pPr>
        <w:ind w:right="1680"/>
        <w:spacing w:after="0" w:line="465" w:lineRule="auto"/>
        <w:rPr>
          <w:sz w:val="20"/>
          <w:szCs w:val="20"/>
          <w:color w:val="auto"/>
        </w:rPr>
      </w:pPr>
      <w:r>
        <w:rPr>
          <w:rFonts w:ascii="Arial" w:cs="Arial" w:eastAsia="Arial" w:hAnsi="Arial"/>
          <w:sz w:val="18"/>
          <w:szCs w:val="18"/>
          <w:color w:val="auto"/>
        </w:rPr>
        <w:t xml:space="preserve">Certain amounts from the prior year’s financial statements have been reclassified in order to conform to the current year’s presentation. </w:t>
      </w:r>
      <w:r>
        <w:rPr>
          <w:rFonts w:ascii="Arial" w:cs="Arial" w:eastAsia="Arial" w:hAnsi="Arial"/>
          <w:sz w:val="18"/>
          <w:szCs w:val="18"/>
          <w:i w:val="1"/>
          <w:iCs w:val="1"/>
          <w:u w:val="single" w:color="auto"/>
          <w:color w:val="auto"/>
        </w:rPr>
        <w:t>Recently Issued Accounting Standards</w:t>
      </w:r>
    </w:p>
    <w:p>
      <w:pPr>
        <w:spacing w:after="0" w:line="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2014, the FASB issued amendments to guidance for reporting discontinued operations and disposals of components of an entity. The amended guidance requires that a disposal representing a strategic shift that has (or will have) a major effect on an entity’s financial results or a business activity classified as held for sale should be reported as discontinued operations. The amendments also expand the disclosure requirements for discontinued operations and add new disclosures for individually significant dispositions that do not qualify as discontinued operations. The amendments are effective prospectively for fiscal years, and interim reporting periods within those years, beginning after December 15, 2014 (early adoption is permitted only for disposals that have not been previously reported). The new guidance is effective for Integra prospectively for all disposals (or classifications as held for sale) of components of an entity that occur after January 1, 2015. The spin-off of the spine business by the Company on July 1, 2015 met the definition of a discontinued operation under the new guidance and, as a result, the Company reflected the provisions of the new guidance in its third quarter 2015 results.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May 2014, the FASB issued Update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In July 2015, the FASB deferred for one year the effective date of the new revenue standard, but early adoption will be permitted. The new standard will be effective for the Company on January 1, 2018. The Company is in the process of evaluating the impact of this standard on its financial statements.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June 2014, the FASB issued Update No. 2014-12, </w:t>
      </w:r>
      <w:r>
        <w:rPr>
          <w:rFonts w:ascii="Arial" w:cs="Arial" w:eastAsia="Arial" w:hAnsi="Arial"/>
          <w:sz w:val="17"/>
          <w:szCs w:val="17"/>
          <w:i w:val="1"/>
          <w:iCs w:val="1"/>
          <w:color w:val="auto"/>
        </w:rPr>
        <w:t>Accounting for Share-Based Payments When the Terms of an Award Provide That a Performance Target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Could Be Achieved after the Requisite Service Period (Topic 718). </w:t>
      </w:r>
      <w:r>
        <w:rPr>
          <w:rFonts w:ascii="Arial" w:cs="Arial" w:eastAsia="Arial" w:hAnsi="Arial"/>
          <w:sz w:val="17"/>
          <w:szCs w:val="17"/>
          <w:color w:val="auto"/>
        </w:rPr>
        <w:t>The amendments require that a performance target that affects vesting and that could be</w:t>
      </w:r>
      <w:r>
        <w:rPr>
          <w:rFonts w:ascii="Arial" w:cs="Arial" w:eastAsia="Arial" w:hAnsi="Arial"/>
          <w:sz w:val="17"/>
          <w:szCs w:val="17"/>
          <w:i w:val="1"/>
          <w:iCs w:val="1"/>
          <w:color w:val="auto"/>
        </w:rPr>
        <w:t xml:space="preserve"> </w:t>
      </w:r>
      <w:r>
        <w:rPr>
          <w:rFonts w:ascii="Arial" w:cs="Arial" w:eastAsia="Arial" w:hAnsi="Arial"/>
          <w:sz w:val="17"/>
          <w:szCs w:val="17"/>
          <w:color w:val="auto"/>
        </w:rPr>
        <w:t>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 The requisite service period ends when the employee can cease rendering service and still be eligible to vest in the award if the performance target is achieved. This update is effective for annual reporting periods beginning after December 15, 2015, including interim periods within that reporting period, and early adoption is permitted. The implementation of the amended guidance is not expected to have a material impact on the consolidated financial position or results of operations.</w:t>
      </w:r>
    </w:p>
    <w:p>
      <w:pPr>
        <w:spacing w:after="0" w:line="1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2014, the FASB issued Update No.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The amendment requires management to evaluate, for each annual and interim reporting period, whether there are conditions and events, considered in the aggregate, that raise substantial doubt about an entity’s ability to continue as a going concern within one year after the date the financial statements are issued or are available to be issued. If substantial doubt is raised, additional disclosures around management’s plan to alleviate these doubts are required. This update will become effective for all annual periods and interim reporting periods beginning after December 15, 2016. The implementation of the amended guidance is not expected to have an impact on current disclosures in the financial statements.</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April 2015, the FASB issued Update No. 2015-03, </w:t>
      </w:r>
      <w:r>
        <w:rPr>
          <w:rFonts w:ascii="Arial" w:cs="Arial" w:eastAsia="Arial" w:hAnsi="Arial"/>
          <w:sz w:val="16"/>
          <w:szCs w:val="16"/>
          <w:i w:val="1"/>
          <w:iCs w:val="1"/>
          <w:color w:val="auto"/>
        </w:rPr>
        <w:t>Simplifying the Presentation of Debt Issuance Costs</w:t>
      </w:r>
      <w:r>
        <w:rPr>
          <w:rFonts w:ascii="Arial" w:cs="Arial" w:eastAsia="Arial" w:hAnsi="Arial"/>
          <w:sz w:val="16"/>
          <w:szCs w:val="16"/>
          <w:color w:val="auto"/>
        </w:rPr>
        <w:t>. The amendment requires that all costs incurred to issue debt be presented in the balance sheet as a direct deduction from the carrying value of the debt. The new standard is limited to the presentation of debt issuance costs and does not affect the recognition or measurement of debt issuance costs. This update will become effective for all annual periods and interim reporting periods beginning after December 15, 2015. The implementation of the amended guidance is not expected to have a material impact on the consolidated results of operations and will result in a reclassification of the debt issuance costs from other long-term assets to long-term debt when adopted.</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August 2015, the FASB issued Update No. 2015-15, </w:t>
      </w:r>
      <w:r>
        <w:rPr>
          <w:rFonts w:ascii="Arial" w:cs="Arial" w:eastAsia="Arial" w:hAnsi="Arial"/>
          <w:sz w:val="17"/>
          <w:szCs w:val="17"/>
          <w:i w:val="1"/>
          <w:iCs w:val="1"/>
          <w:color w:val="auto"/>
        </w:rPr>
        <w:t>Interest - Imputation of Interest</w:t>
      </w:r>
      <w:r>
        <w:rPr>
          <w:rFonts w:ascii="Arial" w:cs="Arial" w:eastAsia="Arial" w:hAnsi="Arial"/>
          <w:sz w:val="17"/>
          <w:szCs w:val="17"/>
          <w:color w:val="auto"/>
        </w:rPr>
        <w:t>. The amendment requires entities to present debt issuance costs related to a recognized debt liability as a direct deduction from the carrying amount of that debt liability. The guidance in ASU No. 2015-03 does not address presentation or subsequent measurement of debt issuance costs related to line-of-credit arrangements. Given the absence of authoritative guidance within ASU No. 2015-03 for debt issuance costs related to line-of-credit arrangements, the SEC staff would not object to an entity's deferring and presenting debt issuance costs as an asset and subsequently amortizing the deferred debt issuance costs ratably over the term of the line-of-credit arrangement, regardless of whether there are any outstanding borrowings on the line-of-credit arrangement. This update will become effective for all annual periods and interim reporting periods beginning after December 15, 2015. The implementation of the amended guidance is not expected to have a material impact on the consolidated financial position or results of operations.</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September 2015, the FASB issued Update No. 2015-16, </w:t>
      </w:r>
      <w:r>
        <w:rPr>
          <w:rFonts w:ascii="Arial" w:cs="Arial" w:eastAsia="Arial" w:hAnsi="Arial"/>
          <w:sz w:val="17"/>
          <w:szCs w:val="17"/>
          <w:i w:val="1"/>
          <w:iCs w:val="1"/>
          <w:color w:val="auto"/>
        </w:rPr>
        <w:t>Simplifying the Accounting for Measurement-Period Adjustments</w:t>
      </w:r>
      <w:r>
        <w:rPr>
          <w:rFonts w:ascii="Arial" w:cs="Arial" w:eastAsia="Arial" w:hAnsi="Arial"/>
          <w:sz w:val="17"/>
          <w:szCs w:val="17"/>
          <w:color w:val="auto"/>
        </w:rPr>
        <w:t>. The amendment requires that an acquirer recognize adjustments to provisional amounts that are identified during the measurement period in the reporting period in which the adjustment amounts are determined. This update also requires an entity to present separately in the income statement or disclose in the notes, the portion of the amount recorded in current-period earnings by line item that would have been recorded in previous reporting periods if the adjustment to the provisional amounts had been recognized as of the acquisition date. This update will become effective for all annual periods and interim reporting periods beginning after December 15, 2015. The new standard must be applied prospectively to adjustments to provisional amounts that occur after the effective date. Early application is permitted for financial statements that have not been issued. The implementation of the amended guidance is not expected to have a material impact on the consolidated results of operations or disclosures in the financial statements.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standards that are expected to have a material effect on the financial position, results of operations or cash flows.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October 29, 2014, Integra's Board of Directors approved the announcement of a plan to separate SeaSpine from Integra as a new, publicly traded medical technology company focused on the design, development and commercialization of surgical solutions for the treatment of patients suffering from spinal disorders. Integra's board of directors based this determination, in part, on its belief that the tax-free distribution of SeaSpine shares to Integra stockholders is the most efficient manner to separate our business from Integra's other medical technology businesses. On November 3, 2014, the Company announced its intention to separate its spine business, which was previously a separate reportable segment. On July 1, 2015, the Company completed the distribution of 100% of the outstanding common stock of SeaSpine to Integra stockholders, who received one share of SeaSpine common stock for every three shares of Integra common stock held as of the close of business on the record date, June 19, 2015. The Company and SeaSpine share three board members, including the chair of Integra’s board of directors who is lead director for SeaSpine. The separation agreement ensures that SeaSpine had approximately $47.0 million of total cash immediately following the distribution. No (gain) or loss was recognized on the part of the Company or shareholders as a result of the distribution resulting from the separation of the spine business.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historical results of operations, cash flows, and statement of financial position of SeaSpine have been presented as discontinued operations in the condensed consolidated financial statements and prior periods have been restated. Discontinued operations include results of SeaSpine's business except for certain allocated corporate overhead costs and certain costs associated with transition services provided by Integra to SeaSpine. These allocated costs will remain part of continuing operations. Discontinued operations also include other costs incurred by Integra to separate SeaSpine from Q4 2014 through Q2 2015. These costs include transaction charges, advisory and consulting fees, and information system expenses. For Q3 2015 and going forward, SeaSpine is a stand-alone public company that will separately report its financial results. Due to differences between the basis of presentation for discontinued operations and the basis of presentation as a stand-alone company, the financial results of SeaSpine included within discontinued operations for the Company may not be indicative of actual financial results of SeaSpine as a stand-alone company.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results from discontinued operations of SeaSpine included in the condensed consolidated statement of operations: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24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6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64"/>
        </w:trPr>
        <w:tc>
          <w:tcPr>
            <w:tcW w:w="52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2014</w:t>
            </w:r>
          </w:p>
        </w:tc>
      </w:tr>
      <w:tr>
        <w:trPr>
          <w:trHeight w:val="250"/>
        </w:trPr>
        <w:tc>
          <w:tcPr>
            <w:tcW w:w="5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100" w:type="dxa"/>
            <w:vAlign w:val="bottom"/>
            <w:gridSpan w:val="3"/>
          </w:tcPr>
          <w:p>
            <w:pPr>
              <w:ind w:left="120"/>
              <w:spacing w:after="0"/>
              <w:rPr>
                <w:sz w:val="20"/>
                <w:szCs w:val="20"/>
                <w:color w:val="auto"/>
              </w:rPr>
            </w:pPr>
            <w:r>
              <w:rPr>
                <w:rFonts w:ascii="Arial" w:cs="Arial" w:eastAsia="Arial" w:hAnsi="Arial"/>
                <w:sz w:val="14"/>
                <w:szCs w:val="14"/>
                <w:b w:val="1"/>
                <w:bCs w:val="1"/>
                <w:color w:val="auto"/>
                <w:w w:val="99"/>
              </w:rPr>
              <w:t>(in thousands)</w:t>
            </w: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21"/>
                <w:szCs w:val="21"/>
                <w:color w:val="auto"/>
              </w:rPr>
            </w:pPr>
          </w:p>
        </w:tc>
      </w:tr>
      <w:tr>
        <w:trPr>
          <w:trHeight w:val="256"/>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960" w:type="dxa"/>
            <w:vAlign w:val="bottom"/>
            <w:tcBorders>
              <w:bottom w:val="single" w:sz="8" w:color="CCEEFF"/>
            </w:tcBorders>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33,606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65,775</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102,658</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960" w:type="dxa"/>
            <w:vAlign w:val="bottom"/>
          </w:tcPr>
          <w:p>
            <w:pPr>
              <w:spacing w:after="0"/>
              <w:rPr>
                <w:sz w:val="20"/>
                <w:szCs w:val="20"/>
                <w:color w:val="auto"/>
              </w:rPr>
            </w:pPr>
          </w:p>
        </w:tc>
        <w:tc>
          <w:tcPr>
            <w:tcW w:w="6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ind w:right="40"/>
              <w:spacing w:after="0"/>
              <w:rPr>
                <w:sz w:val="20"/>
                <w:szCs w:val="20"/>
                <w:color w:val="auto"/>
              </w:rPr>
            </w:pPr>
            <w:r>
              <w:rPr>
                <w:rFonts w:ascii="Arial" w:cs="Arial" w:eastAsia="Arial" w:hAnsi="Arial"/>
                <w:sz w:val="16"/>
                <w:szCs w:val="16"/>
                <w:color w:val="auto"/>
              </w:rPr>
              <w:t>32,986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2"/>
              <w:spacing w:after="0"/>
              <w:rPr>
                <w:sz w:val="20"/>
                <w:szCs w:val="20"/>
                <w:color w:val="auto"/>
              </w:rPr>
            </w:pPr>
            <w:r>
              <w:rPr>
                <w:rFonts w:ascii="Arial" w:cs="Arial" w:eastAsia="Arial" w:hAnsi="Arial"/>
                <w:sz w:val="16"/>
                <w:szCs w:val="16"/>
                <w:color w:val="auto"/>
              </w:rPr>
              <w:t>80,618</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102,077</w:t>
            </w:r>
          </w:p>
        </w:tc>
      </w:tr>
      <w:tr>
        <w:trPr>
          <w:trHeight w:val="33"/>
        </w:trPr>
        <w:tc>
          <w:tcPr>
            <w:tcW w:w="52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620</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(14,843)</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581</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960" w:type="dxa"/>
            <w:vAlign w:val="bottom"/>
          </w:tcPr>
          <w:p>
            <w:pPr>
              <w:spacing w:after="0"/>
              <w:rPr>
                <w:sz w:val="20"/>
                <w:szCs w:val="20"/>
                <w:color w:val="auto"/>
              </w:rPr>
            </w:pPr>
          </w:p>
        </w:tc>
        <w:tc>
          <w:tcPr>
            <w:tcW w:w="6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(766)</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33"/>
        </w:trPr>
        <w:tc>
          <w:tcPr>
            <w:tcW w:w="52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Income (loss) from discontinued operations before tax</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586</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(15,609)</w:t>
            </w:r>
          </w:p>
        </w:tc>
        <w:tc>
          <w:tcPr>
            <w:tcW w:w="2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520</w:t>
            </w:r>
          </w:p>
        </w:tc>
      </w:tr>
      <w:tr>
        <w:trPr>
          <w:trHeight w:val="237"/>
        </w:trPr>
        <w:tc>
          <w:tcPr>
            <w:tcW w:w="5260" w:type="dxa"/>
            <w:vAlign w:val="bottom"/>
          </w:tcPr>
          <w:p>
            <w:pPr>
              <w:ind w:left="40"/>
              <w:spacing w:after="0"/>
              <w:rPr>
                <w:sz w:val="20"/>
                <w:szCs w:val="20"/>
                <w:color w:val="auto"/>
              </w:rPr>
            </w:pPr>
            <w:r>
              <w:rPr>
                <w:rFonts w:ascii="Arial" w:cs="Arial" w:eastAsia="Arial" w:hAnsi="Arial"/>
                <w:sz w:val="16"/>
                <w:szCs w:val="16"/>
                <w:color w:val="auto"/>
              </w:rPr>
              <w:t>Provision (benefit) for income taxes</w:t>
            </w:r>
          </w:p>
        </w:tc>
        <w:tc>
          <w:tcPr>
            <w:tcW w:w="960" w:type="dxa"/>
            <w:vAlign w:val="bottom"/>
          </w:tcPr>
          <w:p>
            <w:pPr>
              <w:spacing w:after="0"/>
              <w:rPr>
                <w:sz w:val="20"/>
                <w:szCs w:val="20"/>
                <w:color w:val="auto"/>
              </w:rPr>
            </w:pPr>
          </w:p>
        </w:tc>
        <w:tc>
          <w:tcPr>
            <w:tcW w:w="6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(5,239)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(428)</w:t>
            </w:r>
          </w:p>
        </w:tc>
      </w:tr>
      <w:tr>
        <w:trPr>
          <w:trHeight w:val="33"/>
        </w:trPr>
        <w:tc>
          <w:tcPr>
            <w:tcW w:w="52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 (loss) from discontinued operations</w:t>
            </w:r>
          </w:p>
        </w:tc>
        <w:tc>
          <w:tcPr>
            <w:tcW w:w="960" w:type="dxa"/>
            <w:vAlign w:val="bottom"/>
            <w:shd w:val="clear" w:color="auto" w:fill="CCEEFF"/>
          </w:tcPr>
          <w:p>
            <w:pPr>
              <w:jc w:val="right"/>
              <w:ind w:right="783"/>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817</w:t>
            </w: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(10,370)</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948</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income or expense has been recorded for the SeaSpine business after the separation from Integra on July 1,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Integra's spine business assets and liabilities presented as discontinued operations as of December 31, 2014: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250"/>
        </w:trPr>
        <w:tc>
          <w:tcPr>
            <w:tcW w:w="9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Cash</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21,504</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Inventory</w:t>
            </w:r>
          </w:p>
        </w:tc>
        <w:tc>
          <w:tcPr>
            <w:tcW w:w="260" w:type="dxa"/>
            <w:vAlign w:val="bottom"/>
          </w:tcPr>
          <w:p>
            <w:pPr>
              <w:spacing w:after="0"/>
              <w:rPr>
                <w:sz w:val="19"/>
                <w:szCs w:val="19"/>
                <w:color w:val="auto"/>
              </w:rPr>
            </w:pP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47,981</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30,040</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Current assets of discontinued operations</w:t>
            </w: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99,785</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16,360</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60" w:type="dxa"/>
            <w:vAlign w:val="bottom"/>
          </w:tcPr>
          <w:p>
            <w:pPr>
              <w:spacing w:after="0"/>
              <w:rPr>
                <w:sz w:val="19"/>
                <w:szCs w:val="19"/>
                <w:color w:val="auto"/>
              </w:rPr>
            </w:pP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46,891</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10,483</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Non-current assets of discontinued operations</w:t>
            </w: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73,734</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 of discontinued operations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173,519</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40"/>
              <w:spacing w:after="0"/>
              <w:rPr>
                <w:sz w:val="20"/>
                <w:szCs w:val="20"/>
                <w:color w:val="auto"/>
              </w:rPr>
            </w:pPr>
            <w:r>
              <w:rPr>
                <w:rFonts w:ascii="Arial" w:cs="Arial" w:eastAsia="Arial" w:hAnsi="Arial"/>
                <w:sz w:val="16"/>
                <w:szCs w:val="16"/>
                <w:color w:val="auto"/>
              </w:rPr>
              <w:t>Liabilities:</w:t>
            </w: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94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5,193</w:t>
            </w:r>
          </w:p>
        </w:tc>
        <w:tc>
          <w:tcPr>
            <w:tcW w:w="0" w:type="dxa"/>
            <w:vAlign w:val="bottom"/>
          </w:tcPr>
          <w:p>
            <w:pPr>
              <w:spacing w:after="0"/>
              <w:rPr>
                <w:sz w:val="1"/>
                <w:szCs w:val="1"/>
                <w:color w:val="auto"/>
              </w:rPr>
            </w:pPr>
          </w:p>
        </w:tc>
      </w:tr>
      <w:tr>
        <w:trPr>
          <w:trHeight w:val="224"/>
        </w:trPr>
        <w:tc>
          <w:tcPr>
            <w:tcW w:w="9480" w:type="dxa"/>
            <w:vAlign w:val="bottom"/>
          </w:tcPr>
          <w:p>
            <w:pPr>
              <w:ind w:left="40"/>
              <w:spacing w:after="0"/>
              <w:rPr>
                <w:sz w:val="20"/>
                <w:szCs w:val="20"/>
                <w:color w:val="auto"/>
              </w:rPr>
            </w:pPr>
            <w:r>
              <w:rPr>
                <w:rFonts w:ascii="Arial" w:cs="Arial" w:eastAsia="Arial" w:hAnsi="Arial"/>
                <w:sz w:val="16"/>
                <w:szCs w:val="16"/>
                <w:color w:val="auto"/>
              </w:rPr>
              <w:t>Accrued compensation</w:t>
            </w:r>
          </w:p>
        </w:tc>
        <w:tc>
          <w:tcPr>
            <w:tcW w:w="260" w:type="dxa"/>
            <w:vAlign w:val="bottom"/>
          </w:tcPr>
          <w:p>
            <w:pPr>
              <w:spacing w:after="0"/>
              <w:rPr>
                <w:sz w:val="19"/>
                <w:szCs w:val="19"/>
                <w:color w:val="auto"/>
              </w:rPr>
            </w:pPr>
          </w:p>
        </w:tc>
        <w:tc>
          <w:tcPr>
            <w:tcW w:w="1680" w:type="dxa"/>
            <w:vAlign w:val="bottom"/>
          </w:tcPr>
          <w:p>
            <w:pPr>
              <w:jc w:val="right"/>
              <w:ind w:right="20"/>
              <w:spacing w:after="0"/>
              <w:rPr>
                <w:sz w:val="20"/>
                <w:szCs w:val="20"/>
                <w:color w:val="auto"/>
              </w:rPr>
            </w:pPr>
            <w:r>
              <w:rPr>
                <w:rFonts w:ascii="Arial" w:cs="Arial" w:eastAsia="Arial" w:hAnsi="Arial"/>
                <w:sz w:val="16"/>
                <w:szCs w:val="16"/>
                <w:color w:val="auto"/>
              </w:rPr>
              <w:t>6,300</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2,287</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13,780</w:t>
            </w:r>
          </w:p>
        </w:tc>
        <w:tc>
          <w:tcPr>
            <w:tcW w:w="0" w:type="dxa"/>
            <w:vAlign w:val="bottom"/>
          </w:tcPr>
          <w:p>
            <w:pPr>
              <w:spacing w:after="0"/>
              <w:rPr>
                <w:sz w:val="1"/>
                <w:szCs w:val="1"/>
                <w:color w:val="auto"/>
              </w:rPr>
            </w:pPr>
          </w:p>
        </w:tc>
      </w:tr>
      <w:tr>
        <w:trPr>
          <w:trHeight w:val="33"/>
        </w:trPr>
        <w:tc>
          <w:tcPr>
            <w:tcW w:w="9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2,631</w:t>
            </w:r>
          </w:p>
        </w:tc>
        <w:tc>
          <w:tcPr>
            <w:tcW w:w="0" w:type="dxa"/>
            <w:vAlign w:val="bottom"/>
          </w:tcPr>
          <w:p>
            <w:pPr>
              <w:spacing w:after="0"/>
              <w:rPr>
                <w:sz w:val="1"/>
                <w:szCs w:val="1"/>
                <w:color w:val="auto"/>
              </w:rPr>
            </w:pPr>
          </w:p>
        </w:tc>
      </w:tr>
      <w:tr>
        <w:trPr>
          <w:trHeight w:val="217"/>
        </w:trPr>
        <w:tc>
          <w:tcPr>
            <w:tcW w:w="9480" w:type="dxa"/>
            <w:vAlign w:val="bottom"/>
          </w:tcPr>
          <w:p>
            <w:pPr>
              <w:ind w:left="40"/>
              <w:spacing w:after="0"/>
              <w:rPr>
                <w:sz w:val="20"/>
                <w:szCs w:val="20"/>
                <w:color w:val="auto"/>
              </w:rPr>
            </w:pPr>
            <w:r>
              <w:rPr>
                <w:rFonts w:ascii="Arial" w:cs="Arial" w:eastAsia="Arial" w:hAnsi="Arial"/>
                <w:sz w:val="16"/>
                <w:szCs w:val="16"/>
                <w:color w:val="auto"/>
              </w:rPr>
              <w:t>Long-term liabilities of discontinued operations</w:t>
            </w:r>
          </w:p>
        </w:tc>
        <w:tc>
          <w:tcPr>
            <w:tcW w:w="2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2,631</w:t>
            </w:r>
          </w:p>
        </w:tc>
        <w:tc>
          <w:tcPr>
            <w:tcW w:w="0" w:type="dxa"/>
            <w:vAlign w:val="bottom"/>
          </w:tcPr>
          <w:p>
            <w:pPr>
              <w:spacing w:after="0"/>
              <w:rPr>
                <w:sz w:val="1"/>
                <w:szCs w:val="1"/>
                <w:color w:val="auto"/>
              </w:rPr>
            </w:pPr>
          </w:p>
        </w:tc>
      </w:tr>
      <w:tr>
        <w:trPr>
          <w:trHeight w:val="33"/>
        </w:trPr>
        <w:tc>
          <w:tcPr>
            <w:tcW w:w="9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of discontinued operations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16,411</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Integra's spine business assets and liabilities removed from the condensed consolidated balance sheet as of July 1, 2015:</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3260" w:type="dxa"/>
            <w:vAlign w:val="bottom"/>
          </w:tcPr>
          <w:p>
            <w:pPr>
              <w:spacing w:after="0"/>
              <w:rPr>
                <w:sz w:val="18"/>
                <w:szCs w:val="18"/>
                <w:color w:val="auto"/>
              </w:rPr>
            </w:pPr>
          </w:p>
        </w:tc>
        <w:tc>
          <w:tcPr>
            <w:tcW w:w="6600" w:type="dxa"/>
            <w:vAlign w:val="bottom"/>
            <w:gridSpan w:val="2"/>
          </w:tcPr>
          <w:p>
            <w:pPr>
              <w:jc w:val="right"/>
              <w:ind w:right="1759"/>
              <w:spacing w:after="0"/>
              <w:rPr>
                <w:sz w:val="20"/>
                <w:szCs w:val="20"/>
                <w:color w:val="auto"/>
              </w:rPr>
            </w:pPr>
            <w:r>
              <w:rPr>
                <w:rFonts w:ascii="Arial" w:cs="Arial" w:eastAsia="Arial" w:hAnsi="Arial"/>
                <w:sz w:val="18"/>
                <w:szCs w:val="18"/>
                <w:b w:val="1"/>
                <w:bCs w:val="1"/>
                <w:color w:val="auto"/>
              </w:rPr>
              <w:t>INTEGRA LIFESCIENCES HOLDINGS CORPORATION</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60" w:type="dxa"/>
            <w:vAlign w:val="bottom"/>
            <w:gridSpan w:val="3"/>
          </w:tcPr>
          <w:p>
            <w:pPr>
              <w:ind w:left="17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326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July 1, 2015</w:t>
            </w:r>
          </w:p>
        </w:tc>
        <w:tc>
          <w:tcPr>
            <w:tcW w:w="0" w:type="dxa"/>
            <w:vAlign w:val="bottom"/>
          </w:tcPr>
          <w:p>
            <w:pPr>
              <w:spacing w:after="0"/>
              <w:rPr>
                <w:sz w:val="1"/>
                <w:szCs w:val="1"/>
                <w:color w:val="auto"/>
              </w:rPr>
            </w:pPr>
          </w:p>
        </w:tc>
      </w:tr>
      <w:tr>
        <w:trPr>
          <w:trHeight w:val="250"/>
        </w:trPr>
        <w:tc>
          <w:tcPr>
            <w:tcW w:w="326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jc w:val="right"/>
              <w:ind w:right="4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Assets:</w:t>
            </w:r>
          </w:p>
        </w:tc>
        <w:tc>
          <w:tcPr>
            <w:tcW w:w="6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3260" w:type="dxa"/>
            <w:vAlign w:val="bottom"/>
          </w:tcPr>
          <w:p>
            <w:pPr>
              <w:ind w:left="40"/>
              <w:spacing w:after="0"/>
              <w:rPr>
                <w:sz w:val="20"/>
                <w:szCs w:val="20"/>
                <w:color w:val="auto"/>
              </w:rPr>
            </w:pPr>
            <w:r>
              <w:rPr>
                <w:rFonts w:ascii="Arial" w:cs="Arial" w:eastAsia="Arial" w:hAnsi="Arial"/>
                <w:sz w:val="16"/>
                <w:szCs w:val="16"/>
                <w:color w:val="auto"/>
              </w:rPr>
              <w:t>Cash</w:t>
            </w:r>
          </w:p>
        </w:tc>
        <w:tc>
          <w:tcPr>
            <w:tcW w:w="66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46,848</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receivable</w:t>
            </w:r>
          </w:p>
        </w:tc>
        <w:tc>
          <w:tcPr>
            <w:tcW w:w="6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21,273</w:t>
            </w:r>
          </w:p>
        </w:tc>
        <w:tc>
          <w:tcPr>
            <w:tcW w:w="0" w:type="dxa"/>
            <w:vAlign w:val="bottom"/>
          </w:tcPr>
          <w:p>
            <w:pPr>
              <w:spacing w:after="0"/>
              <w:rPr>
                <w:sz w:val="1"/>
                <w:szCs w:val="1"/>
                <w:color w:val="auto"/>
              </w:rPr>
            </w:pPr>
          </w:p>
        </w:tc>
      </w:tr>
      <w:tr>
        <w:trPr>
          <w:trHeight w:val="224"/>
        </w:trPr>
        <w:tc>
          <w:tcPr>
            <w:tcW w:w="3260" w:type="dxa"/>
            <w:vAlign w:val="bottom"/>
          </w:tcPr>
          <w:p>
            <w:pPr>
              <w:ind w:left="40"/>
              <w:spacing w:after="0"/>
              <w:rPr>
                <w:sz w:val="20"/>
                <w:szCs w:val="20"/>
                <w:color w:val="auto"/>
              </w:rPr>
            </w:pPr>
            <w:r>
              <w:rPr>
                <w:rFonts w:ascii="Arial" w:cs="Arial" w:eastAsia="Arial" w:hAnsi="Arial"/>
                <w:sz w:val="16"/>
                <w:szCs w:val="16"/>
                <w:color w:val="auto"/>
              </w:rPr>
              <w:t>Inventory</w:t>
            </w:r>
          </w:p>
        </w:tc>
        <w:tc>
          <w:tcPr>
            <w:tcW w:w="6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49,380</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6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16,262</w:t>
            </w:r>
          </w:p>
        </w:tc>
        <w:tc>
          <w:tcPr>
            <w:tcW w:w="0" w:type="dxa"/>
            <w:vAlign w:val="bottom"/>
          </w:tcPr>
          <w:p>
            <w:pPr>
              <w:spacing w:after="0"/>
              <w:rPr>
                <w:sz w:val="1"/>
                <w:szCs w:val="1"/>
                <w:color w:val="auto"/>
              </w:rPr>
            </w:pPr>
          </w:p>
        </w:tc>
      </w:tr>
      <w:tr>
        <w:trPr>
          <w:trHeight w:val="217"/>
        </w:trPr>
        <w:tc>
          <w:tcPr>
            <w:tcW w:w="3260" w:type="dxa"/>
            <w:vAlign w:val="bottom"/>
          </w:tcPr>
          <w:p>
            <w:pPr>
              <w:ind w:left="40"/>
              <w:spacing w:after="0"/>
              <w:rPr>
                <w:sz w:val="20"/>
                <w:szCs w:val="20"/>
                <w:color w:val="auto"/>
              </w:rPr>
            </w:pPr>
            <w:r>
              <w:rPr>
                <w:rFonts w:ascii="Arial" w:cs="Arial" w:eastAsia="Arial" w:hAnsi="Arial"/>
                <w:sz w:val="16"/>
                <w:szCs w:val="16"/>
                <w:color w:val="auto"/>
              </w:rPr>
              <w:t>Current assets of discontinued operations</w:t>
            </w:r>
          </w:p>
        </w:tc>
        <w:tc>
          <w:tcPr>
            <w:tcW w:w="6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133,763</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6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21,079</w:t>
            </w:r>
          </w:p>
        </w:tc>
        <w:tc>
          <w:tcPr>
            <w:tcW w:w="0" w:type="dxa"/>
            <w:vAlign w:val="bottom"/>
          </w:tcPr>
          <w:p>
            <w:pPr>
              <w:spacing w:after="0"/>
              <w:rPr>
                <w:sz w:val="1"/>
                <w:szCs w:val="1"/>
                <w:color w:val="auto"/>
              </w:rPr>
            </w:pPr>
          </w:p>
        </w:tc>
      </w:tr>
      <w:tr>
        <w:trPr>
          <w:trHeight w:val="224"/>
        </w:trPr>
        <w:tc>
          <w:tcPr>
            <w:tcW w:w="326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6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42,837</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6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4,449</w:t>
            </w:r>
          </w:p>
        </w:tc>
        <w:tc>
          <w:tcPr>
            <w:tcW w:w="0" w:type="dxa"/>
            <w:vAlign w:val="bottom"/>
          </w:tcPr>
          <w:p>
            <w:pPr>
              <w:spacing w:after="0"/>
              <w:rPr>
                <w:sz w:val="1"/>
                <w:szCs w:val="1"/>
                <w:color w:val="auto"/>
              </w:rPr>
            </w:pPr>
          </w:p>
        </w:tc>
      </w:tr>
      <w:tr>
        <w:trPr>
          <w:trHeight w:val="217"/>
        </w:trPr>
        <w:tc>
          <w:tcPr>
            <w:tcW w:w="3260" w:type="dxa"/>
            <w:vAlign w:val="bottom"/>
          </w:tcPr>
          <w:p>
            <w:pPr>
              <w:ind w:left="40"/>
              <w:spacing w:after="0"/>
              <w:rPr>
                <w:sz w:val="20"/>
                <w:szCs w:val="20"/>
                <w:color w:val="auto"/>
              </w:rPr>
            </w:pPr>
            <w:r>
              <w:rPr>
                <w:rFonts w:ascii="Arial" w:cs="Arial" w:eastAsia="Arial" w:hAnsi="Arial"/>
                <w:sz w:val="16"/>
                <w:szCs w:val="16"/>
                <w:color w:val="auto"/>
                <w:w w:val="98"/>
              </w:rPr>
              <w:t>Non-current assets of discontinued operations</w:t>
            </w:r>
          </w:p>
        </w:tc>
        <w:tc>
          <w:tcPr>
            <w:tcW w:w="6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68,365</w:t>
            </w: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 of discontinued operations</w:t>
            </w:r>
          </w:p>
        </w:tc>
        <w:tc>
          <w:tcPr>
            <w:tcW w:w="660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202,128</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Liabilities:</w:t>
            </w:r>
          </w:p>
        </w:tc>
        <w:tc>
          <w:tcPr>
            <w:tcW w:w="6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260" w:type="dxa"/>
            <w:vAlign w:val="bottom"/>
            <w:vMerge w:val="continue"/>
          </w:tcPr>
          <w:p>
            <w:pPr>
              <w:spacing w:after="0"/>
              <w:rPr>
                <w:sz w:val="19"/>
                <w:szCs w:val="19"/>
                <w:color w:val="auto"/>
              </w:rPr>
            </w:pPr>
          </w:p>
        </w:tc>
        <w:tc>
          <w:tcPr>
            <w:tcW w:w="6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660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7,065</w:t>
            </w:r>
          </w:p>
        </w:tc>
        <w:tc>
          <w:tcPr>
            <w:tcW w:w="0" w:type="dxa"/>
            <w:vAlign w:val="bottom"/>
          </w:tcPr>
          <w:p>
            <w:pPr>
              <w:spacing w:after="0"/>
              <w:rPr>
                <w:sz w:val="1"/>
                <w:szCs w:val="1"/>
                <w:color w:val="auto"/>
              </w:rPr>
            </w:pPr>
          </w:p>
        </w:tc>
      </w:tr>
      <w:tr>
        <w:trPr>
          <w:trHeight w:val="224"/>
        </w:trPr>
        <w:tc>
          <w:tcPr>
            <w:tcW w:w="3260" w:type="dxa"/>
            <w:vAlign w:val="bottom"/>
          </w:tcPr>
          <w:p>
            <w:pPr>
              <w:ind w:left="40"/>
              <w:spacing w:after="0"/>
              <w:rPr>
                <w:sz w:val="20"/>
                <w:szCs w:val="20"/>
                <w:color w:val="auto"/>
              </w:rPr>
            </w:pPr>
            <w:r>
              <w:rPr>
                <w:rFonts w:ascii="Arial" w:cs="Arial" w:eastAsia="Arial" w:hAnsi="Arial"/>
                <w:sz w:val="16"/>
                <w:szCs w:val="16"/>
                <w:color w:val="auto"/>
              </w:rPr>
              <w:t>Accrued compensation</w:t>
            </w:r>
          </w:p>
        </w:tc>
        <w:tc>
          <w:tcPr>
            <w:tcW w:w="6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5,960</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Accrued expenses and other current liabilities</w:t>
            </w:r>
          </w:p>
        </w:tc>
        <w:tc>
          <w:tcPr>
            <w:tcW w:w="62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3,350</w:t>
            </w:r>
          </w:p>
        </w:tc>
        <w:tc>
          <w:tcPr>
            <w:tcW w:w="0" w:type="dxa"/>
            <w:vAlign w:val="bottom"/>
          </w:tcPr>
          <w:p>
            <w:pPr>
              <w:spacing w:after="0"/>
              <w:rPr>
                <w:sz w:val="1"/>
                <w:szCs w:val="1"/>
                <w:color w:val="auto"/>
              </w:rPr>
            </w:pPr>
          </w:p>
        </w:tc>
      </w:tr>
      <w:tr>
        <w:trPr>
          <w:trHeight w:val="217"/>
        </w:trPr>
        <w:tc>
          <w:tcPr>
            <w:tcW w:w="3260" w:type="dxa"/>
            <w:vAlign w:val="bottom"/>
          </w:tcPr>
          <w:p>
            <w:pPr>
              <w:ind w:left="40"/>
              <w:spacing w:after="0"/>
              <w:rPr>
                <w:sz w:val="20"/>
                <w:szCs w:val="20"/>
                <w:color w:val="auto"/>
              </w:rPr>
            </w:pPr>
            <w:r>
              <w:rPr>
                <w:rFonts w:ascii="Arial" w:cs="Arial" w:eastAsia="Arial" w:hAnsi="Arial"/>
                <w:sz w:val="16"/>
                <w:szCs w:val="16"/>
                <w:color w:val="auto"/>
              </w:rPr>
              <w:t>Current liabilities of discontinued operations</w:t>
            </w:r>
          </w:p>
        </w:tc>
        <w:tc>
          <w:tcPr>
            <w:tcW w:w="6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16,375</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62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13,329</w:t>
            </w:r>
          </w:p>
        </w:tc>
        <w:tc>
          <w:tcPr>
            <w:tcW w:w="0" w:type="dxa"/>
            <w:vAlign w:val="bottom"/>
          </w:tcPr>
          <w:p>
            <w:pPr>
              <w:spacing w:after="0"/>
              <w:rPr>
                <w:sz w:val="1"/>
                <w:szCs w:val="1"/>
                <w:color w:val="auto"/>
              </w:rPr>
            </w:pPr>
          </w:p>
        </w:tc>
      </w:tr>
      <w:tr>
        <w:trPr>
          <w:trHeight w:val="224"/>
        </w:trPr>
        <w:tc>
          <w:tcPr>
            <w:tcW w:w="326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6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60" w:type="dxa"/>
            <w:vAlign w:val="bottom"/>
          </w:tcPr>
          <w:p>
            <w:pPr>
              <w:jc w:val="right"/>
              <w:ind w:right="2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Long-term liabilities of discontinued operations</w:t>
            </w:r>
          </w:p>
        </w:tc>
        <w:tc>
          <w:tcPr>
            <w:tcW w:w="6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15,829</w:t>
            </w:r>
          </w:p>
        </w:tc>
        <w:tc>
          <w:tcPr>
            <w:tcW w:w="0" w:type="dxa"/>
            <w:vAlign w:val="bottom"/>
          </w:tcPr>
          <w:p>
            <w:pPr>
              <w:spacing w:after="0"/>
              <w:rPr>
                <w:sz w:val="1"/>
                <w:szCs w:val="1"/>
                <w:color w:val="auto"/>
              </w:rPr>
            </w:pPr>
          </w:p>
        </w:tc>
      </w:tr>
      <w:tr>
        <w:trPr>
          <w:trHeight w:val="244"/>
        </w:trPr>
        <w:tc>
          <w:tcPr>
            <w:tcW w:w="3260" w:type="dxa"/>
            <w:vAlign w:val="bottom"/>
          </w:tcPr>
          <w:p>
            <w:pPr>
              <w:ind w:left="40"/>
              <w:spacing w:after="0"/>
              <w:rPr>
                <w:sz w:val="20"/>
                <w:szCs w:val="20"/>
                <w:color w:val="auto"/>
              </w:rPr>
            </w:pPr>
            <w:r>
              <w:rPr>
                <w:rFonts w:ascii="Arial" w:cs="Arial" w:eastAsia="Arial" w:hAnsi="Arial"/>
                <w:sz w:val="16"/>
                <w:szCs w:val="16"/>
                <w:color w:val="auto"/>
              </w:rPr>
              <w:t>Total liabilities of discontinued operations</w:t>
            </w:r>
          </w:p>
        </w:tc>
        <w:tc>
          <w:tcPr>
            <w:tcW w:w="62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32,204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removal of SeaSpine's net assets and unrealized accelerated currency translation adjustment is presented as a reduction in Integra's retained earnings.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effect the separation and govern Integra's relationship with SeaSpine after the separation, the Company entered into a Separation and Distribution Agreement and other agreements including a Tax Matters Agreement, an Employee Matters Agreement, several supply agreements, and a Transition Services Agreement. The Separation and Distribution Agreement governs the separation of the spine business, the transfer of assets and other matters related to the Company's relationship with SeaSpine.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Tax Matters Agreement governs the respective rights, responsibilities and obligations of SeaSpine and Integra with respect to taxes, tax attributes, tax returns, tax proceedings and certain other tax matters.</w:t>
      </w:r>
    </w:p>
    <w:p>
      <w:pPr>
        <w:spacing w:after="0" w:line="170"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The Employee Matters Agreement governs the compensation and employee benefit obligations with respect to the current and former employees and non-employee directors of SeaSpine and Integra, and generally allocates liabilities and responsibilities relating to employee compensation, benefit plans and programs. The Employee Matters Agreement provides that employees of SeaSpine will no longer participate in benefit plans sponsored or maintained by Integra. In addition, the Employee Matters Agreement provides that each of the parties will be responsible for their respective former and current employees and compensation plans for such current employees.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Company entered into several Supply Agreements in which SeaSpine engaged Integra to be the product supplier of Integra's former Integra Mozaik</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product line ("Mozaik") for a three- year period following the separation after which there will be no defined terms and this will be considered a normal purchase/sale arrangement. This product line has been licensed to SeaSpine in conjunction with the spin-off. Prior to the spin-off, the sale of Mozaik products from an Integra facility to a SeaSpine facility eliminated in Integra's historical consolidated financial results of operations. The revenue and cost of goods sold related to prior sales of Mozaik to SeaSpine have been restated and are presented in Integra's continuing operations results of operations. The Company has recorded $1.9 million and $1.4 million in revenue related to the sale of Mozaik products for the three months ended September 30, 2015 and 2014, respectively and $1.1 million and $0.6 million in cost of goods sold for the three months ended September 30, 2015 and 2014, respectively, in its continuing operations. Additionally, the Company has recorded $7.5 million and $4.2 million in revenue for the nine months ended September 30, 2015 and 2014 and $2.4 million and $1.9 million in cost of goods sold for the nine months ended September 30, 2015 and 2014, respectively, in its continuing operations.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terms of the Transition Services Agreement, the Company agreed to provide administrative, site services, information technology systems and various other corporate and support services to SeaSpine over various periods after the separation on a</w:t>
      </w:r>
    </w:p>
    <w:p>
      <w:pPr>
        <w:sectPr>
          <w:pgSz w:w="11900" w:h="16838" w:orient="portrait"/>
          <w:cols w:equalWidth="0" w:num="1">
            <w:col w:w="11420"/>
          </w:cols>
          <w:pgMar w:left="240" w:top="121"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or cost-plus basis. The most significant components of the service income is the provision of IT and legal services which the Company anticipates will be largely completed by the end of the first quarter of 2016. In the three and nine months ended September 30, 2015 other income (expense), net includes $1.8 million of income in respect of the provision of services to SeaSpine.</w:t>
      </w:r>
    </w:p>
    <w:p>
      <w:pPr>
        <w:spacing w:after="0" w:line="177" w:lineRule="exact"/>
        <w:rPr>
          <w:sz w:val="20"/>
          <w:szCs w:val="20"/>
          <w:color w:val="auto"/>
        </w:rPr>
      </w:pPr>
    </w:p>
    <w:p>
      <w:pPr>
        <w:ind w:right="8980" w:firstLine="8"/>
        <w:spacing w:after="0" w:line="376"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ACQUISITIONS </w:t>
      </w:r>
      <w:r>
        <w:rPr>
          <w:rFonts w:ascii="Arial" w:cs="Arial" w:eastAsia="Arial" w:hAnsi="Arial"/>
          <w:sz w:val="18"/>
          <w:szCs w:val="18"/>
          <w:i w:val="1"/>
          <w:iCs w:val="1"/>
          <w:u w:val="single" w:color="auto"/>
          <w:color w:val="auto"/>
        </w:rPr>
        <w:t>TEI</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17, 2015, the Company executed the two merger agreements (collectively, the "Agreements") under which the Company acquired TEI Biosciences, Inc., a Delaware corporation ("TEI Bio"), and TEI Medical Inc., a Delaware corporation ("TEI Med", collectively "TEI") for an aggregate purchase price of approximately $312.4 million ($210.4 million for TEI Bio and $102.0 million for TEI Med) subject in each case to purchase price adjustments for certain working capital changes. The purchase price consists of a cash payment to the former shareholders of TEI Bio and TEI Med of approximately $312.4 million upon the closing of the transaction, net of $1.2 million of acquired cash.</w:t>
      </w:r>
    </w:p>
    <w:p>
      <w:pPr>
        <w:spacing w:after="0" w:line="13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TEI of approximately $13.2 million in the condensed consolidated statements of operations for the three- and nine-month period ended September 30, 2015. The net income or loss attributable to this acquisition cannot be identified on a stand-alone basis because it is in the process of being integrated into the Company's operations.</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as of September 30, 2015 based on the fair value of the assets acquired and liabilities assumed: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194"/>
              <w:spacing w:after="0"/>
              <w:rPr>
                <w:sz w:val="20"/>
                <w:szCs w:val="20"/>
                <w:color w:val="auto"/>
              </w:rPr>
            </w:pPr>
            <w:r>
              <w:rPr>
                <w:rFonts w:ascii="Arial" w:cs="Arial" w:eastAsia="Arial" w:hAnsi="Arial"/>
                <w:sz w:val="14"/>
                <w:szCs w:val="14"/>
                <w:b w:val="1"/>
                <w:bCs w:val="1"/>
                <w:color w:val="auto"/>
                <w:w w:val="96"/>
              </w:rPr>
              <w:t>Preliminary</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9"/>
        </w:trPr>
        <w:tc>
          <w:tcPr>
            <w:tcW w:w="7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4"/>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1,241</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9,011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23,223</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Income tax receivable</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5,135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2,270</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2,027</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03"/>
        </w:trPr>
        <w:tc>
          <w:tcPr>
            <w:tcW w:w="75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75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r>
      <w:tr>
        <w:trPr>
          <w:trHeight w:val="243"/>
        </w:trPr>
        <w:tc>
          <w:tcPr>
            <w:tcW w:w="754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167,400</w:t>
            </w:r>
          </w:p>
        </w:tc>
        <w:tc>
          <w:tcPr>
            <w:tcW w:w="1160" w:type="dxa"/>
            <w:vAlign w:val="bottom"/>
            <w:gridSpan w:val="2"/>
          </w:tcPr>
          <w:p>
            <w:pPr>
              <w:ind w:left="40"/>
              <w:spacing w:after="0"/>
              <w:rPr>
                <w:sz w:val="20"/>
                <w:szCs w:val="20"/>
                <w:color w:val="auto"/>
              </w:rPr>
            </w:pPr>
            <w:r>
              <w:rPr>
                <w:rFonts w:ascii="Arial" w:cs="Arial" w:eastAsia="Arial" w:hAnsi="Arial"/>
                <w:sz w:val="18"/>
                <w:szCs w:val="18"/>
                <w:color w:val="auto"/>
              </w:rPr>
              <w:t>14 -16</w:t>
            </w: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Contractual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51,345</w:t>
            </w:r>
          </w:p>
        </w:tc>
        <w:tc>
          <w:tcPr>
            <w:tcW w:w="1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11 -14</w:t>
            </w: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60"/>
              <w:spacing w:after="0"/>
              <w:rPr>
                <w:sz w:val="20"/>
                <w:szCs w:val="20"/>
                <w:color w:val="auto"/>
              </w:rPr>
            </w:pPr>
            <w:r>
              <w:rPr>
                <w:rFonts w:ascii="Arial" w:cs="Arial" w:eastAsia="Arial" w:hAnsi="Arial"/>
                <w:sz w:val="18"/>
                <w:szCs w:val="18"/>
                <w:color w:val="auto"/>
              </w:rPr>
              <w:t>Leasehold Interest</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148,935</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37"/>
        </w:trPr>
        <w:tc>
          <w:tcPr>
            <w:tcW w:w="7540" w:type="dxa"/>
            <w:vAlign w:val="bottom"/>
          </w:tcPr>
          <w:p>
            <w:pPr>
              <w:ind w:left="260"/>
              <w:spacing w:after="0"/>
              <w:rPr>
                <w:sz w:val="20"/>
                <w:szCs w:val="20"/>
                <w:color w:val="auto"/>
              </w:rPr>
            </w:pPr>
            <w:r>
              <w:rPr>
                <w:rFonts w:ascii="Arial" w:cs="Arial" w:eastAsia="Arial" w:hAnsi="Arial"/>
                <w:sz w:val="18"/>
                <w:szCs w:val="18"/>
                <w:color w:val="auto"/>
              </w:rPr>
              <w:t>Total assets acquired</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410,656</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9,732</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88,565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312,359</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Metasurg</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5, 2014, the Company acquired certain assets of Koby Ventures II, L.P. dba Metasurg ("Metasurg") for an aggregate purchase price of $27.6 million (including working capital and purchase price adjustments of $0.4 million). The purchase price consists of an initial cash payment to Metasurg of $26.5 million, a separate purchase price adjustment cash payment of $0.4 million, and contingent consideration with an acquisition date fair value of $0.7 million. The potential maximum undiscounted contingent consideration of $38.5 million is based on reaching certain sales levels for acquired products from April 1, 2015 through June 30, 2016. The fair value of this liability is based on future sales projections of the Metasurg product under various potential scenarios and weighting the probability of these outcomes for the twelve-month period ended December 31, 2015. At the date of the acquisition, the cash flow projection was discounted using an internal rate of return of 19.9%. These fair value measurements were based on significant inputs not observed in the market and thus represented a Level 3 measurement.</w:t>
      </w:r>
    </w:p>
    <w:p>
      <w:pPr>
        <w:spacing w:after="0" w:line="1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Metasurg develops intuitive implant systems for the foot and ankle market and sells almost entirely in the U.S. market. The acquired foot and ankle products will enhance the Company's lower extremities market position.</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Metasurg of approximately $1.8 million and $5.1 million in the condensed consolidated statements of operations for the three- and nine-month period ended September 30, 2015. The net income or loss attributable to this acquisition cannot be identified on a stand-alone basis because it has been fully integrated into the Company's operations.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adjusted the preliminary purchase price allocation during the quarter ended June 30, 2015 to reflect the $0.4 million working capital and purchase price adjustment. The following summarizes the final allocation of the purchase price as of September 30, 2015 based on the fair value of the assets acquired and liabilities assumed: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jc w:val="center"/>
              <w:ind w:right="217"/>
              <w:spacing w:after="0"/>
              <w:rPr>
                <w:sz w:val="20"/>
                <w:szCs w:val="20"/>
                <w:color w:val="auto"/>
              </w:rPr>
            </w:pPr>
            <w:r>
              <w:rPr>
                <w:rFonts w:ascii="Arial" w:cs="Arial" w:eastAsia="Arial" w:hAnsi="Arial"/>
                <w:sz w:val="14"/>
                <w:szCs w:val="14"/>
                <w:b w:val="1"/>
                <w:bCs w:val="1"/>
                <w:color w:val="auto"/>
                <w:w w:val="97"/>
              </w:rPr>
              <w:t>Final</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49"/>
        </w:trPr>
        <w:tc>
          <w:tcPr>
            <w:tcW w:w="7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7"/>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4,800</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980" w:type="dxa"/>
            <w:vAlign w:val="bottom"/>
          </w:tcPr>
          <w:p>
            <w:pPr>
              <w:jc w:val="right"/>
              <w:ind w:right="17"/>
              <w:spacing w:after="0"/>
              <w:rPr>
                <w:sz w:val="20"/>
                <w:szCs w:val="20"/>
                <w:color w:val="auto"/>
              </w:rPr>
            </w:pPr>
            <w:r>
              <w:rPr>
                <w:rFonts w:ascii="Arial" w:cs="Arial" w:eastAsia="Arial" w:hAnsi="Arial"/>
                <w:sz w:val="18"/>
                <w:szCs w:val="18"/>
                <w:color w:val="auto"/>
              </w:rPr>
              <w:t>1,246</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243"/>
        </w:trPr>
        <w:tc>
          <w:tcPr>
            <w:tcW w:w="7540" w:type="dxa"/>
            <w:vAlign w:val="bottom"/>
            <w:tcBorders>
              <w:top w:val="single" w:sz="8" w:color="CCEEFF"/>
            </w:tcBorders>
          </w:tcPr>
          <w:p>
            <w:pPr>
              <w:ind w:left="260"/>
              <w:spacing w:after="0"/>
              <w:rPr>
                <w:sz w:val="20"/>
                <w:szCs w:val="20"/>
                <w:color w:val="auto"/>
              </w:rPr>
            </w:pPr>
            <w:r>
              <w:rPr>
                <w:rFonts w:ascii="Arial" w:cs="Arial" w:eastAsia="Arial" w:hAnsi="Arial"/>
                <w:sz w:val="18"/>
                <w:szCs w:val="18"/>
                <w:color w:val="auto"/>
              </w:rPr>
              <w:t>Technology product rights</w:t>
            </w:r>
          </w:p>
        </w:tc>
        <w:tc>
          <w:tcPr>
            <w:tcW w:w="30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tcPr>
          <w:p>
            <w:pPr>
              <w:jc w:val="right"/>
              <w:ind w:right="17"/>
              <w:spacing w:after="0"/>
              <w:rPr>
                <w:sz w:val="20"/>
                <w:szCs w:val="20"/>
                <w:color w:val="auto"/>
              </w:rPr>
            </w:pPr>
            <w:r>
              <w:rPr>
                <w:rFonts w:ascii="Arial" w:cs="Arial" w:eastAsia="Arial" w:hAnsi="Arial"/>
                <w:sz w:val="18"/>
                <w:szCs w:val="18"/>
                <w:color w:val="auto"/>
              </w:rPr>
              <w:t>20,590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8 - 14 Years</w:t>
            </w:r>
          </w:p>
        </w:tc>
        <w:tc>
          <w:tcPr>
            <w:tcW w:w="440" w:type="dxa"/>
            <w:vAlign w:val="bottom"/>
            <w:tcBorders>
              <w:top w:val="single" w:sz="8" w:color="CCEEFF"/>
            </w:tcBorders>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Indefinite</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980" w:type="dxa"/>
            <w:vAlign w:val="bottom"/>
          </w:tcPr>
          <w:p>
            <w:pPr>
              <w:jc w:val="right"/>
              <w:ind w:right="17"/>
              <w:spacing w:after="0"/>
              <w:rPr>
                <w:sz w:val="20"/>
                <w:szCs w:val="20"/>
                <w:color w:val="auto"/>
              </w:rPr>
            </w:pPr>
            <w:r>
              <w:rPr>
                <w:rFonts w:ascii="Arial" w:cs="Arial" w:eastAsia="Arial" w:hAnsi="Arial"/>
                <w:sz w:val="18"/>
                <w:szCs w:val="18"/>
                <w:color w:val="auto"/>
              </w:rPr>
              <w:t>732</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57"/>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27,558</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MicroFrance</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27, 2014, the Company acquired all outstanding shares of Medtronic Xomed Instrumentation, SAS ("MicroFrance") from Medtronic, Inc. ("Medtronic") as well as certain assets of Medtronic for $60.1 million in cash (including working capital and purchase price adjustments of $1.5 million, of which $0.8 million was recorded against goodwill). MicroFrance specializes in manual ear, nose, and throat ("ENT") surgical instruments and designs, manufactures, and sells reusable handheld instruments to ENT and laparoscopy surgical specialists around the world. The acquired ENT instruments fill a portfolio gap for the Company with clear growth opportunities through market adjacencies and provides for increased scale and reach in the international market.</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MicroFrance of approximately $6.7 million and $18.8 million in the condensed consolidated statements of operations for the three- and nine-month period ended September 30, 2015. The net income or loss attributable to this acquisition cannot be identified on a stand-alone basis because it has been fully integrated into the Company's operations.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adjusted the preliminary purchase price allocation during the quarter ended March 31, 2015 to reflect the $1.5 million working capital and purchase price adjustments. The following summarizes the final allocation of the purchase price as of September 30, 2015 based on the fair value of the assets acquired and liabilities assumed: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6740" w:type="dxa"/>
            <w:vAlign w:val="bottom"/>
            <w:gridSpan w:val="3"/>
          </w:tcPr>
          <w:p>
            <w:pPr>
              <w:jc w:val="right"/>
              <w:ind w:right="1714"/>
              <w:spacing w:after="0"/>
              <w:rPr>
                <w:sz w:val="20"/>
                <w:szCs w:val="20"/>
                <w:color w:val="auto"/>
              </w:rPr>
            </w:pPr>
            <w:r>
              <w:rPr>
                <w:rFonts w:ascii="Arial" w:cs="Arial" w:eastAsia="Arial" w:hAnsi="Arial"/>
                <w:sz w:val="18"/>
                <w:szCs w:val="18"/>
                <w:b w:val="1"/>
                <w:bCs w:val="1"/>
                <w:color w:val="auto"/>
              </w:rPr>
              <w:t>INTEGRA LIFESCIENCES HOLDINGS CORPORATION</w:t>
            </w: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9820" w:type="dxa"/>
            <w:vAlign w:val="bottom"/>
            <w:gridSpan w:val="4"/>
          </w:tcPr>
          <w:p>
            <w:pPr>
              <w:ind w:left="174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612"/>
        </w:trPr>
        <w:tc>
          <w:tcPr>
            <w:tcW w:w="30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jc w:val="center"/>
              <w:ind w:right="214"/>
              <w:spacing w:after="0"/>
              <w:rPr>
                <w:sz w:val="20"/>
                <w:szCs w:val="20"/>
                <w:color w:val="auto"/>
              </w:rPr>
            </w:pPr>
            <w:r>
              <w:rPr>
                <w:rFonts w:ascii="Arial" w:cs="Arial" w:eastAsia="Arial" w:hAnsi="Arial"/>
                <w:sz w:val="14"/>
                <w:szCs w:val="14"/>
                <w:b w:val="1"/>
                <w:bCs w:val="1"/>
                <w:color w:val="auto"/>
                <w:w w:val="97"/>
              </w:rPr>
              <w:t>Final</w:t>
            </w: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49"/>
        </w:trPr>
        <w:tc>
          <w:tcPr>
            <w:tcW w:w="308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4"/>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2"/>
        </w:trPr>
        <w:tc>
          <w:tcPr>
            <w:tcW w:w="30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3080" w:type="dxa"/>
            <w:vAlign w:val="bottom"/>
          </w:tcPr>
          <w:p>
            <w:pPr>
              <w:spacing w:after="0"/>
              <w:rPr>
                <w:sz w:val="21"/>
                <w:szCs w:val="21"/>
                <w:color w:val="auto"/>
              </w:rPr>
            </w:pPr>
          </w:p>
        </w:tc>
        <w:tc>
          <w:tcPr>
            <w:tcW w:w="4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4"/>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4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2,195</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Inventory</w:t>
            </w:r>
          </w:p>
        </w:tc>
        <w:tc>
          <w:tcPr>
            <w:tcW w:w="4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3,155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w:t>
            </w:r>
          </w:p>
        </w:tc>
        <w:tc>
          <w:tcPr>
            <w:tcW w:w="4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620</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4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3,675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30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5,025</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3080" w:type="dxa"/>
            <w:vAlign w:val="bottom"/>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2"/>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3080" w:type="dxa"/>
            <w:vAlign w:val="bottom"/>
          </w:tcPr>
          <w:p>
            <w:pPr>
              <w:spacing w:after="0"/>
              <w:rPr>
                <w:sz w:val="4"/>
                <w:szCs w:val="4"/>
                <w:color w:val="auto"/>
              </w:rPr>
            </w:pPr>
          </w:p>
        </w:tc>
        <w:tc>
          <w:tcPr>
            <w:tcW w:w="44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3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Trade name</w:t>
            </w:r>
          </w:p>
        </w:tc>
        <w:tc>
          <w:tcPr>
            <w:tcW w:w="4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11,990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 Years</w:t>
            </w:r>
          </w:p>
        </w:tc>
      </w:tr>
      <w:tr>
        <w:trPr>
          <w:trHeight w:val="243"/>
        </w:trPr>
        <w:tc>
          <w:tcPr>
            <w:tcW w:w="3080" w:type="dxa"/>
            <w:vAlign w:val="bottom"/>
          </w:tcPr>
          <w:p>
            <w:pPr>
              <w:ind w:left="260"/>
              <w:spacing w:after="0"/>
              <w:rPr>
                <w:sz w:val="20"/>
                <w:szCs w:val="20"/>
                <w:color w:val="auto"/>
              </w:rPr>
            </w:pPr>
            <w:r>
              <w:rPr>
                <w:rFonts w:ascii="Arial" w:cs="Arial" w:eastAsia="Arial" w:hAnsi="Arial"/>
                <w:sz w:val="18"/>
                <w:szCs w:val="18"/>
                <w:color w:val="auto"/>
              </w:rPr>
              <w:t>Technology</w:t>
            </w:r>
          </w:p>
        </w:tc>
        <w:tc>
          <w:tcPr>
            <w:tcW w:w="4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4,580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15 - 16 Years</w:t>
            </w:r>
          </w:p>
        </w:tc>
      </w:tr>
      <w:tr>
        <w:trPr>
          <w:trHeight w:val="27"/>
        </w:trPr>
        <w:tc>
          <w:tcPr>
            <w:tcW w:w="30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Customer relationships</w:t>
            </w:r>
          </w:p>
        </w:tc>
        <w:tc>
          <w:tcPr>
            <w:tcW w:w="4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18,130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12 - 16 Years</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Goodwill</w:t>
            </w:r>
          </w:p>
        </w:tc>
        <w:tc>
          <w:tcPr>
            <w:tcW w:w="4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16,607</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assets acquired</w:t>
            </w:r>
          </w:p>
        </w:tc>
        <w:tc>
          <w:tcPr>
            <w:tcW w:w="4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65,977</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Accounts payable and other liabilities</w:t>
            </w:r>
          </w:p>
        </w:tc>
        <w:tc>
          <w:tcPr>
            <w:tcW w:w="4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4"/>
              <w:spacing w:after="0"/>
              <w:rPr>
                <w:sz w:val="20"/>
                <w:szCs w:val="20"/>
                <w:color w:val="auto"/>
              </w:rPr>
            </w:pPr>
            <w:r>
              <w:rPr>
                <w:rFonts w:ascii="Arial" w:cs="Arial" w:eastAsia="Arial" w:hAnsi="Arial"/>
                <w:sz w:val="18"/>
                <w:szCs w:val="18"/>
                <w:color w:val="auto"/>
              </w:rPr>
              <w:t>5,910</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3080" w:type="dxa"/>
            <w:vAlign w:val="bottom"/>
            <w:tcBorders>
              <w:bottom w:val="single" w:sz="8" w:color="CCEEFF"/>
            </w:tcBorders>
          </w:tcPr>
          <w:p>
            <w:pPr>
              <w:spacing w:after="0"/>
              <w:rPr>
                <w:sz w:val="2"/>
                <w:szCs w:val="2"/>
                <w:color w:val="auto"/>
              </w:rPr>
            </w:pPr>
          </w:p>
        </w:tc>
        <w:tc>
          <w:tcPr>
            <w:tcW w:w="4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57"/>
        </w:trPr>
        <w:tc>
          <w:tcPr>
            <w:tcW w:w="30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4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60,067</w:t>
            </w:r>
          </w:p>
        </w:tc>
        <w:tc>
          <w:tcPr>
            <w:tcW w:w="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Confluent Surgical, Inc.</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15, 2014, the Company acquired all outstanding shares of Confluent Surgical, Inc., ("Confluent Surgical") - including its surgical sealant and adhesion barrier product lines - from Covidien Group S.a.r.l, ("Covidien") for an aggregate purchase price of $255.9 million. The purchase price consists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 to the Company.</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 of the following three years. The Company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1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acquisition complements the Company's global neurosurgery growth strategy aimed at providing a broader set of solutions for surgical procedures in the head.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revenue for Confluent Surgical of approximately $20.6 million and $57.2 million in the condensed consolidated statements of operations for the three- and nine-month periods ended September 30, 2015 and $17.7 million and $50.1 million for the three- and nine-month periods ended September 30, 2014. The net income or loss attributable to this acquisition cannot be identified on a stand-alone basis because it has been fully integrated into the Company's operations.</w:t>
      </w:r>
    </w:p>
    <w:p>
      <w:pPr>
        <w:spacing w:after="0" w:line="13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adjusted the preliminary purchase price allocation during the quarter ended June 30, 2014 to reduce deferred tax liabilities by $12.4 million. This adjustment offset goodwill and was the result of the Company analyzing and revising its tax positions in certain jurisdictions. The following summarizes the final allocation of the purchase price as of September 30, 2015 based on the fair value of the assets acquired and liabilities assumed: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6860" w:type="dxa"/>
            <w:vAlign w:val="bottom"/>
            <w:gridSpan w:val="3"/>
          </w:tcPr>
          <w:p>
            <w:pPr>
              <w:jc w:val="right"/>
              <w:ind w:right="1715"/>
              <w:spacing w:after="0"/>
              <w:rPr>
                <w:sz w:val="20"/>
                <w:szCs w:val="20"/>
                <w:color w:val="auto"/>
              </w:rPr>
            </w:pPr>
            <w:r>
              <w:rPr>
                <w:rFonts w:ascii="Arial" w:cs="Arial" w:eastAsia="Arial" w:hAnsi="Arial"/>
                <w:sz w:val="18"/>
                <w:szCs w:val="18"/>
                <w:b w:val="1"/>
                <w:bCs w:val="1"/>
                <w:color w:val="auto"/>
              </w:rPr>
              <w:t>INTEGRA LIFESCIENCES HOLDINGS CORPORATION</w:t>
            </w: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40" w:type="dxa"/>
            <w:vAlign w:val="bottom"/>
            <w:gridSpan w:val="4"/>
          </w:tcPr>
          <w:p>
            <w:pPr>
              <w:jc w:val="right"/>
              <w:ind w:right="35"/>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612"/>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jc w:val="center"/>
              <w:ind w:right="215"/>
              <w:spacing w:after="0"/>
              <w:rPr>
                <w:sz w:val="20"/>
                <w:szCs w:val="20"/>
                <w:color w:val="auto"/>
              </w:rPr>
            </w:pPr>
            <w:r>
              <w:rPr>
                <w:rFonts w:ascii="Arial" w:cs="Arial" w:eastAsia="Arial" w:hAnsi="Arial"/>
                <w:sz w:val="14"/>
                <w:szCs w:val="14"/>
                <w:b w:val="1"/>
                <w:bCs w:val="1"/>
                <w:color w:val="auto"/>
                <w:w w:val="97"/>
              </w:rPr>
              <w:t>Final</w:t>
            </w: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49"/>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5"/>
              <w:spacing w:after="0" w:line="149" w:lineRule="exact"/>
              <w:rPr>
                <w:sz w:val="20"/>
                <w:szCs w:val="20"/>
                <w:color w:val="auto"/>
              </w:rPr>
            </w:pPr>
            <w:r>
              <w:rPr>
                <w:rFonts w:ascii="Arial" w:cs="Arial" w:eastAsia="Arial" w:hAnsi="Arial"/>
                <w:sz w:val="14"/>
                <w:szCs w:val="14"/>
                <w:b w:val="1"/>
                <w:bCs w:val="1"/>
                <w:color w:val="auto"/>
                <w:w w:val="90"/>
              </w:rPr>
              <w:t>Purchase Price</w:t>
            </w: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92"/>
        </w:trPr>
        <w:tc>
          <w:tcPr>
            <w:tcW w:w="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5"/>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56"/>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Inventory deposit</w:t>
            </w:r>
          </w:p>
        </w:tc>
        <w:tc>
          <w:tcPr>
            <w:tcW w:w="488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4,000</w:t>
            </w:r>
          </w:p>
        </w:tc>
        <w:tc>
          <w:tcPr>
            <w:tcW w:w="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r>
      <w:tr>
        <w:trPr>
          <w:trHeight w:val="243"/>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Fixed assets</w:t>
            </w:r>
          </w:p>
        </w:tc>
        <w:tc>
          <w:tcPr>
            <w:tcW w:w="4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438</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3"/>
        </w:trPr>
        <w:tc>
          <w:tcPr>
            <w:tcW w:w="29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4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auto"/>
            </w:tcBorders>
            <w:shd w:val="clear" w:color="auto" w:fill="CCEEFF"/>
          </w:tcPr>
          <w:p>
            <w:pPr>
              <w:spacing w:after="0"/>
              <w:rPr>
                <w:sz w:val="4"/>
                <w:szCs w:val="4"/>
                <w:color w:val="auto"/>
              </w:rPr>
            </w:pPr>
          </w:p>
        </w:tc>
        <w:tc>
          <w:tcPr>
            <w:tcW w:w="1680" w:type="dxa"/>
            <w:vAlign w:val="bottom"/>
            <w:tcBorders>
              <w:top w:val="single" w:sz="8" w:color="CCEEFF"/>
            </w:tcBorders>
            <w:shd w:val="clear" w:color="auto" w:fill="CCEEFF"/>
          </w:tcPr>
          <w:p>
            <w:pPr>
              <w:spacing w:after="0"/>
              <w:rPr>
                <w:sz w:val="4"/>
                <w:szCs w:val="4"/>
                <w:color w:val="auto"/>
              </w:rPr>
            </w:pPr>
          </w:p>
        </w:tc>
        <w:tc>
          <w:tcPr>
            <w:tcW w:w="458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9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2920" w:type="dxa"/>
            <w:vAlign w:val="bottom"/>
            <w:gridSpan w:val="2"/>
          </w:tcPr>
          <w:p>
            <w:pPr>
              <w:ind w:left="80"/>
              <w:spacing w:after="0"/>
              <w:rPr>
                <w:sz w:val="20"/>
                <w:szCs w:val="20"/>
                <w:color w:val="auto"/>
              </w:rPr>
            </w:pPr>
            <w:r>
              <w:rPr>
                <w:rFonts w:ascii="Arial" w:cs="Arial" w:eastAsia="Arial" w:hAnsi="Arial"/>
                <w:sz w:val="18"/>
                <w:szCs w:val="18"/>
                <w:color w:val="auto"/>
              </w:rPr>
              <w:t>Technology product rights</w:t>
            </w:r>
          </w:p>
        </w:tc>
        <w:tc>
          <w:tcPr>
            <w:tcW w:w="4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239,800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3 - 20 Years</w:t>
            </w: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4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400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Less than 1 year</w:t>
            </w:r>
          </w:p>
        </w:tc>
      </w:tr>
      <w:tr>
        <w:trPr>
          <w:trHeight w:val="243"/>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Deferred tax assets - long term</w:t>
            </w:r>
          </w:p>
        </w:tc>
        <w:tc>
          <w:tcPr>
            <w:tcW w:w="4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45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105,331</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920" w:type="dxa"/>
            <w:vAlign w:val="bottom"/>
            <w:gridSpan w:val="2"/>
          </w:tcPr>
          <w:p>
            <w:pPr>
              <w:ind w:left="300"/>
              <w:spacing w:after="0"/>
              <w:rPr>
                <w:sz w:val="20"/>
                <w:szCs w:val="20"/>
                <w:color w:val="auto"/>
              </w:rPr>
            </w:pPr>
            <w:r>
              <w:rPr>
                <w:rFonts w:ascii="Arial" w:cs="Arial" w:eastAsia="Arial" w:hAnsi="Arial"/>
                <w:sz w:val="18"/>
                <w:szCs w:val="18"/>
                <w:b w:val="1"/>
                <w:bCs w:val="1"/>
                <w:color w:val="auto"/>
              </w:rPr>
              <w:t>Total assets acquired</w:t>
            </w:r>
          </w:p>
        </w:tc>
        <w:tc>
          <w:tcPr>
            <w:tcW w:w="45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349,981</w:t>
            </w: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Contingent supply liability</w:t>
            </w:r>
          </w:p>
        </w:tc>
        <w:tc>
          <w:tcPr>
            <w:tcW w:w="4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5,891</w:t>
            </w:r>
          </w:p>
        </w:tc>
        <w:tc>
          <w:tcPr>
            <w:tcW w:w="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r>
      <w:tr>
        <w:trPr>
          <w:trHeight w:val="243"/>
        </w:trPr>
        <w:tc>
          <w:tcPr>
            <w:tcW w:w="296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4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Arial" w:cs="Arial" w:eastAsia="Arial" w:hAnsi="Arial"/>
                <w:sz w:val="18"/>
                <w:szCs w:val="18"/>
                <w:color w:val="auto"/>
              </w:rPr>
              <w:t>731</w:t>
            </w:r>
          </w:p>
        </w:tc>
        <w:tc>
          <w:tcPr>
            <w:tcW w:w="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9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tax liabilities - long term</w:t>
            </w:r>
          </w:p>
        </w:tc>
        <w:tc>
          <w:tcPr>
            <w:tcW w:w="45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87,464</w:t>
            </w:r>
          </w:p>
        </w:tc>
        <w:tc>
          <w:tcPr>
            <w:tcW w:w="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b w:val="1"/>
                <w:bCs w:val="1"/>
                <w:color w:val="auto"/>
              </w:rPr>
              <w:t>Net assets acquired</w:t>
            </w:r>
          </w:p>
        </w:tc>
        <w:tc>
          <w:tcPr>
            <w:tcW w:w="45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255,895</w:t>
            </w: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8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Subsequent to the acquisition date, a regulatory event occurred that resulted in the full-impairment of one of the acquired technology product rights of $0.6 million. This event was not known, or knowable, at the time of the acquisition and therefore the impairment has been included in the Company's cost of sales.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accounted for the contingent supply liability by recording its fair value as a liability on the date of the acquisition based on a discounted cash-flow model. This contingent supply liability relates to contractual quarterly incentive payments that will be made to an affiliate of Covidien if certain supply minimums under the transitional supply agreement are met.</w:t>
      </w:r>
    </w:p>
    <w:p>
      <w:pPr>
        <w:spacing w:after="0" w:line="1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accounted for the contingent consideration by recording its fair value as a liability on the date of the acquisition. The contingent consideration relates to the Company's obtaining certain U.S. and European regulatory approvals. At the date of the acquisition, both of these milestones were valued using a discount rate of 2.2%, which is equivalent to the cost of debt for the estimated time horizon, and an overall probability of occurring of 95%. Accordingly, on January 15, 2014 the Company recorded a $20.9 million liability representing the initial fair value estimate of the probability weighted contingent consideration that management believes will be paid between early 2017 and late 2018. Depending on the expected timing of the estimated payments, the acquisition date fair value of the probability adjusted payments could have been $0.3 million higher or $0.4 million lower. These fair value measurements were based on significant inputs not observed in the market and thus represented a Level 3 measurement. The contingent consideration is re-measured to fair value at each reporting date until the contingency is resolved, and those changes in fair value are recognized in earnings.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goodwill recorded in connection with these acquisitions is based on (i) expected cost savings, operating synergies and other benefits expected to result from the combined operations, (ii) the value of the going-concern element of the existing businesses (that is, the higher rate of return on the assembled net assets versus if the Company had acquired all of the net assets separately), and (iii) intangible assets that do not qualify for separate recognition such as an assembled workforce. The acquisitions generated a combination of deductible and non-deductible goodwill.</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increased the fair value of contingent consideration during the nine-month period ended September 30, 2015 to reflect the change in the time value of money during the period. A reconciliation of the opening balances to the closing balances of these Level 3 measurements is as follows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Location in Statement of Operations</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22,008</w:t>
            </w: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Loss from increase in fair value of contingent consideration liabilities</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359</w:t>
            </w:r>
          </w:p>
        </w:tc>
        <w:tc>
          <w:tcPr>
            <w:tcW w:w="364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September 30, 2015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22,367</w:t>
            </w:r>
          </w:p>
        </w:tc>
        <w:tc>
          <w:tcPr>
            <w:tcW w:w="3640" w:type="dxa"/>
            <w:vAlign w:val="bottom"/>
            <w:tcBorders>
              <w:bottom w:val="single" w:sz="8" w:color="CCEEFF"/>
            </w:tcBorders>
            <w:shd w:val="clear" w:color="auto" w:fill="CCEEFF"/>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entire contingent consideration balance was included in Other liabilities at September 30, 2015 and December 31, 2014.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three and nine months ended September 30, 2015 and 2014 as if the acquisitions completed by the Company during 2015 and 2014 had been completed as of</w:t>
      </w:r>
    </w:p>
    <w:p>
      <w:pPr>
        <w:sectPr>
          <w:pgSz w:w="11900" w:h="16838" w:orient="portrait"/>
          <w:cols w:equalWidth="0" w:num="1">
            <w:col w:w="11420"/>
          </w:cols>
          <w:pgMar w:left="240" w:top="121"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1"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beginning of the prior year. The pro forma results are based upon certain assumptions and estimates, and they give effect to actual operating results prior to the acquisition and adjustments to reflect (i) the change in interest expense, depreciation expense, and intangible asset amortization, (ii) certain external expenses related to the acquisition as if they were incurred on January 1 of the year prior to the acquisition that will not be recurring in the post-acquisition periods, and (iii) income taxes on the aforementioned adjustments at the Company’s statutory rate.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Pr>
          <w:p>
            <w:pPr>
              <w:spacing w:after="0"/>
              <w:rPr>
                <w:sz w:val="16"/>
                <w:szCs w:val="16"/>
                <w:color w:val="auto"/>
              </w:rPr>
            </w:pPr>
          </w:p>
        </w:tc>
        <w:tc>
          <w:tcPr>
            <w:tcW w:w="2860" w:type="dxa"/>
            <w:vAlign w:val="bottom"/>
            <w:gridSpan w:val="3"/>
          </w:tcPr>
          <w:p>
            <w:pPr>
              <w:jc w:val="right"/>
              <w:ind w:right="36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04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83"/>
              <w:spacing w:after="0"/>
              <w:rPr>
                <w:sz w:val="20"/>
                <w:szCs w:val="20"/>
                <w:color w:val="auto"/>
              </w:rPr>
            </w:pPr>
            <w:r>
              <w:rPr>
                <w:rFonts w:ascii="Arial" w:cs="Arial" w:eastAsia="Arial" w:hAnsi="Arial"/>
                <w:sz w:val="14"/>
                <w:szCs w:val="14"/>
                <w:b w:val="1"/>
                <w:bCs w:val="1"/>
                <w:color w:val="auto"/>
              </w:rPr>
              <w:t>2015</w:t>
            </w:r>
          </w:p>
        </w:tc>
        <w:tc>
          <w:tcPr>
            <w:tcW w:w="4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2014</w:t>
            </w:r>
          </w:p>
        </w:tc>
      </w:tr>
      <w:tr>
        <w:trPr>
          <w:trHeight w:val="190"/>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180" w:type="dxa"/>
            <w:vAlign w:val="bottom"/>
          </w:tcPr>
          <w:p>
            <w:pPr>
              <w:spacing w:after="0"/>
              <w:rPr>
                <w:sz w:val="16"/>
                <w:szCs w:val="16"/>
                <w:color w:val="auto"/>
              </w:rPr>
            </w:pPr>
          </w:p>
        </w:tc>
        <w:tc>
          <w:tcPr>
            <w:tcW w:w="2860" w:type="dxa"/>
            <w:vAlign w:val="bottom"/>
            <w:gridSpan w:val="3"/>
          </w:tcPr>
          <w:p>
            <w:pPr>
              <w:jc w:val="right"/>
              <w:ind w:right="161"/>
              <w:spacing w:after="0"/>
              <w:rPr>
                <w:sz w:val="20"/>
                <w:szCs w:val="20"/>
                <w:color w:val="auto"/>
              </w:rPr>
            </w:pPr>
            <w:r>
              <w:rPr>
                <w:rFonts w:ascii="Arial" w:cs="Arial" w:eastAsia="Arial" w:hAnsi="Arial"/>
                <w:sz w:val="14"/>
                <w:szCs w:val="14"/>
                <w:b w:val="1"/>
                <w:bCs w:val="1"/>
                <w:color w:val="auto"/>
                <w:w w:val="93"/>
              </w:rPr>
              <w:t>(In thousands, except per share amounts)</w:t>
            </w:r>
          </w:p>
        </w:tc>
      </w:tr>
      <w:tr>
        <w:trPr>
          <w:trHeight w:val="66"/>
        </w:trPr>
        <w:tc>
          <w:tcPr>
            <w:tcW w:w="5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03"/>
              <w:spacing w:after="0"/>
              <w:rPr>
                <w:sz w:val="20"/>
                <w:szCs w:val="20"/>
                <w:color w:val="auto"/>
              </w:rPr>
            </w:pPr>
            <w:r>
              <w:rPr>
                <w:rFonts w:ascii="Arial" w:cs="Arial" w:eastAsia="Arial" w:hAnsi="Arial"/>
                <w:sz w:val="16"/>
                <w:szCs w:val="16"/>
                <w:color w:val="auto"/>
              </w:rPr>
              <w:t>229,402</w:t>
            </w: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223,837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677,740</w:t>
            </w:r>
          </w:p>
        </w:tc>
        <w:tc>
          <w:tcPr>
            <w:tcW w:w="40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656,584</w:t>
            </w: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Net (loss) income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(31,697)</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10,160</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(5,930)</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20,251</w:t>
            </w:r>
          </w:p>
        </w:tc>
      </w:tr>
      <w:tr>
        <w:trPr>
          <w:trHeight w:val="33"/>
        </w:trPr>
        <w:tc>
          <w:tcPr>
            <w:tcW w:w="5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 income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040" w:type="dxa"/>
            <w:vAlign w:val="bottom"/>
          </w:tcPr>
          <w:p>
            <w:pPr>
              <w:ind w:left="4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43"/>
              <w:spacing w:after="0"/>
              <w:rPr>
                <w:sz w:val="20"/>
                <w:szCs w:val="20"/>
                <w:color w:val="auto"/>
              </w:rPr>
            </w:pPr>
            <w:r>
              <w:rPr>
                <w:rFonts w:ascii="Arial" w:cs="Arial" w:eastAsia="Arial" w:hAnsi="Arial"/>
                <w:sz w:val="16"/>
                <w:szCs w:val="16"/>
                <w:color w:val="auto"/>
              </w:rPr>
              <w:t>(0.90)</w:t>
            </w:r>
          </w:p>
        </w:tc>
        <w:tc>
          <w:tcPr>
            <w:tcW w:w="4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0.31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23"/>
              <w:spacing w:after="0"/>
              <w:rPr>
                <w:sz w:val="20"/>
                <w:szCs w:val="20"/>
                <w:color w:val="auto"/>
              </w:rPr>
            </w:pPr>
            <w:r>
              <w:rPr>
                <w:rFonts w:ascii="Arial" w:cs="Arial" w:eastAsia="Arial" w:hAnsi="Arial"/>
                <w:sz w:val="16"/>
                <w:szCs w:val="16"/>
                <w:color w:val="auto"/>
              </w:rPr>
              <w:t>(0.18)</w:t>
            </w:r>
          </w:p>
        </w:tc>
        <w:tc>
          <w:tcPr>
            <w:tcW w:w="40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0.63</w:t>
            </w:r>
          </w:p>
        </w:tc>
      </w:tr>
    </w:tbl>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September 30, 2015</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w w:val="98"/>
              </w:rPr>
              <w:t>December 31, 2014</w:t>
            </w:r>
          </w:p>
        </w:tc>
      </w:tr>
      <w:tr>
        <w:trPr>
          <w:trHeight w:val="196"/>
        </w:trPr>
        <w:tc>
          <w:tcPr>
            <w:tcW w:w="7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40" w:type="dxa"/>
            <w:vAlign w:val="bottom"/>
            <w:gridSpan w:val="4"/>
          </w:tcPr>
          <w:p>
            <w:pPr>
              <w:jc w:val="right"/>
              <w:ind w:right="13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130,626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120,477</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20" w:type="dxa"/>
            <w:vAlign w:val="bottom"/>
          </w:tcPr>
          <w:p>
            <w:pPr>
              <w:spacing w:after="0"/>
              <w:rPr>
                <w:sz w:val="21"/>
                <w:szCs w:val="21"/>
                <w:color w:val="auto"/>
              </w:rPr>
            </w:pPr>
          </w:p>
        </w:tc>
        <w:tc>
          <w:tcPr>
            <w:tcW w:w="1600" w:type="dxa"/>
            <w:vAlign w:val="bottom"/>
          </w:tcPr>
          <w:p>
            <w:pPr>
              <w:jc w:val="right"/>
              <w:ind w:right="16"/>
              <w:spacing w:after="0"/>
              <w:rPr>
                <w:sz w:val="20"/>
                <w:szCs w:val="20"/>
                <w:color w:val="auto"/>
              </w:rPr>
            </w:pPr>
            <w:r>
              <w:rPr>
                <w:rFonts w:ascii="Arial" w:cs="Arial" w:eastAsia="Arial" w:hAnsi="Arial"/>
                <w:sz w:val="18"/>
                <w:szCs w:val="18"/>
                <w:color w:val="auto"/>
              </w:rPr>
              <w:t>46,861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38,938</w:t>
            </w:r>
          </w:p>
        </w:tc>
      </w:tr>
      <w:tr>
        <w:trPr>
          <w:trHeight w:val="27"/>
        </w:trPr>
        <w:tc>
          <w:tcPr>
            <w:tcW w:w="7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36,391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29,718</w:t>
            </w:r>
          </w:p>
        </w:tc>
      </w:tr>
      <w:tr>
        <w:trPr>
          <w:trHeight w:val="237"/>
        </w:trPr>
        <w:tc>
          <w:tcPr>
            <w:tcW w:w="7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213,878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189,133</w:t>
            </w:r>
          </w:p>
        </w:tc>
      </w:tr>
      <w:tr>
        <w:trPr>
          <w:trHeight w:val="27"/>
        </w:trPr>
        <w:tc>
          <w:tcPr>
            <w:tcW w:w="7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the first quarter of 2015 the Company revised its reportable segments in connection with the realignment of its portfolio. Specifically, the Company integrated the five existing business divisions into three global divisions, no longer focusing on international as a separate reportable segment but managing each business globally. The change in reportable segments resulted in the Company's requirement to reallocate existing goodwill to the new reportable segments based on the relative fair value of the Company's four underlying reporting units. With the reportable segments now being managed at a global level, goodwill previously assigned to the EMEA, LAPAC, and Private Label reporting units was reallocated to the new global reporting units. On July 1, 2015, the Company completed the separation of its spine business, which also represented a global reporting unit. See Note 2 - </w:t>
      </w:r>
      <w:r>
        <w:rPr>
          <w:rFonts w:ascii="Arial" w:cs="Arial" w:eastAsia="Arial" w:hAnsi="Arial"/>
          <w:sz w:val="16"/>
          <w:szCs w:val="16"/>
          <w:i w:val="1"/>
          <w:iCs w:val="1"/>
          <w:color w:val="auto"/>
        </w:rPr>
        <w:t>Discontinued Operations</w:t>
      </w:r>
      <w:r>
        <w:rPr>
          <w:rFonts w:ascii="Arial" w:cs="Arial" w:eastAsia="Arial" w:hAnsi="Arial"/>
          <w:sz w:val="16"/>
          <w:szCs w:val="16"/>
          <w:color w:val="auto"/>
        </w:rPr>
        <w:t xml:space="preserve"> for additional information. Following the separation, the Company has three remaining underlying reporting units. The Company estimated the fair value of the reporting units using a discounted cash flow model, which incorporates significant estimates and assumptions made by management which, by their nature, are characterized by uncertainty. Inputs used to fair value the Company's reporting units are considered inputs of the fair value hierarchy. For Level 3 measurements, significant increases or decreases in long-term growth rates or discount rates in isolation or in combination could result in a significantly lower or higher fair value measurement. The key assumptions impacting the valuation included the following:</w:t>
      </w:r>
    </w:p>
    <w:p>
      <w:pPr>
        <w:spacing w:after="0" w:line="38"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reporting unit's financial projections, which are based on management's assessment of regional and macroeconomic variables, industry trends and market opportunities, and the Company's strategic objectives and future growth plans.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projected terminal value for the reporting unit, which represents the present value of projected cash flows beyond the last period in the discounted cash flow analysis. The terminal value reflects the Company's assumptions related to long-term growth rates and profitability, which are based on several factors, including local and macroeconomic variables, market opportunities, and future growth plans.</w:t>
      </w:r>
    </w:p>
    <w:p>
      <w:pPr>
        <w:spacing w:after="0" w:line="111"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discount rate used to measure the present value of the projected future cash flows is set using a weighted-average cost of capital method that considers market and industry data as well as the Company's specific risk factors that are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46" w:lineRule="exact"/>
        <w:rPr>
          <w:sz w:val="20"/>
          <w:szCs w:val="20"/>
          <w:color w:val="auto"/>
        </w:rPr>
      </w:pPr>
    </w:p>
    <w:p>
      <w:pPr>
        <w:ind w:left="660"/>
        <w:spacing w:after="0" w:line="324" w:lineRule="auto"/>
        <w:rPr>
          <w:sz w:val="20"/>
          <w:szCs w:val="20"/>
          <w:color w:val="auto"/>
        </w:rPr>
      </w:pPr>
      <w:r>
        <w:rPr>
          <w:rFonts w:ascii="Arial" w:cs="Arial" w:eastAsia="Arial" w:hAnsi="Arial"/>
          <w:sz w:val="18"/>
          <w:szCs w:val="18"/>
          <w:color w:val="auto"/>
        </w:rPr>
        <w:t>likely to be considered by a market participant. The weighted-average cost of capital is the Company's estimate of the overall after-tax rate of return required by equity and debt holders of a business enterprise.</w:t>
      </w:r>
    </w:p>
    <w:p>
      <w:pPr>
        <w:spacing w:after="0" w:line="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Based on the Company's fair value calculations given the excess of the Specialty Surgical Solutions Instruments, Specialty Surgical Solutions Neurosurgery, and Orthopedics and Tissue Technologies estimated fair value over their carrying value after the reallocation of goodwill, management concluded that any future goodwill impairment is not likely. Refer to Note 13 </w:t>
      </w:r>
      <w:r>
        <w:rPr>
          <w:rFonts w:ascii="Arial" w:cs="Arial" w:eastAsia="Arial" w:hAnsi="Arial"/>
          <w:sz w:val="16"/>
          <w:szCs w:val="16"/>
          <w:i w:val="1"/>
          <w:iCs w:val="1"/>
          <w:color w:val="auto"/>
        </w:rPr>
        <w:t>- Segment and Geographic Information</w:t>
      </w:r>
      <w:r>
        <w:rPr>
          <w:rFonts w:ascii="Arial" w:cs="Arial" w:eastAsia="Arial" w:hAnsi="Arial"/>
          <w:sz w:val="16"/>
          <w:szCs w:val="16"/>
          <w:color w:val="auto"/>
        </w:rPr>
        <w:t xml:space="preserve"> for more information on the change in reportable segments.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nine months ended September 30, 2015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Specialty</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Orthopedics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Surgical</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Tissue Technologies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2014</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281,829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81,650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363,479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MicroFrance working capital and purchase price adjustments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Metasurg working capital and purchase price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TEI Acquisition</w:t>
            </w: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148,935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148,935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(5,881)</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September 30, 2015</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276,397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229,330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505,727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600"/>
              <w:spacing w:after="0"/>
              <w:rPr>
                <w:sz w:val="20"/>
                <w:szCs w:val="20"/>
                <w:color w:val="auto"/>
              </w:rPr>
            </w:pPr>
            <w:r>
              <w:rPr>
                <w:rFonts w:ascii="Arial" w:cs="Arial" w:eastAsia="Arial" w:hAnsi="Arial"/>
                <w:sz w:val="14"/>
                <w:szCs w:val="14"/>
                <w:b w:val="1"/>
                <w:bCs w:val="1"/>
                <w:color w:val="auto"/>
              </w:rPr>
              <w:t>September 30, 2015</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25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ind w:left="54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276"/>
              <w:spacing w:after="0"/>
              <w:rPr>
                <w:sz w:val="20"/>
                <w:szCs w:val="20"/>
                <w:color w:val="auto"/>
              </w:rPr>
            </w:pPr>
            <w:r>
              <w:rPr>
                <w:rFonts w:ascii="Arial" w:cs="Arial" w:eastAsia="Arial" w:hAnsi="Arial"/>
                <w:sz w:val="18"/>
                <w:szCs w:val="18"/>
                <w:color w:val="auto"/>
                <w:w w:val="86"/>
              </w:rPr>
              <w:t>17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480,991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(61,030)</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419,961</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276"/>
              <w:spacing w:after="0"/>
              <w:rPr>
                <w:sz w:val="20"/>
                <w:szCs w:val="20"/>
                <w:color w:val="auto"/>
              </w:rPr>
            </w:pPr>
            <w:r>
              <w:rPr>
                <w:rFonts w:ascii="Arial" w:cs="Arial" w:eastAsia="Arial" w:hAnsi="Arial"/>
                <w:sz w:val="18"/>
                <w:szCs w:val="18"/>
                <w:color w:val="auto"/>
                <w:w w:val="86"/>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153,344</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(66,729)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86,615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Trademarks/brand names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276"/>
              <w:spacing w:after="0"/>
              <w:rPr>
                <w:sz w:val="20"/>
                <w:szCs w:val="20"/>
                <w:color w:val="auto"/>
              </w:rPr>
            </w:pPr>
            <w:r>
              <w:rPr>
                <w:rFonts w:ascii="Arial" w:cs="Arial" w:eastAsia="Arial" w:hAnsi="Arial"/>
                <w:sz w:val="18"/>
                <w:szCs w:val="18"/>
                <w:color w:val="auto"/>
                <w:w w:val="86"/>
              </w:rPr>
              <w:t>30 years</w:t>
            </w: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91,288</w:t>
            </w:r>
          </w:p>
        </w:tc>
        <w:tc>
          <w:tcPr>
            <w:tcW w:w="2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(15,830)</w:t>
            </w:r>
          </w:p>
        </w:tc>
        <w:tc>
          <w:tcPr>
            <w:tcW w:w="2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75,458</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Pr>
          <w:p>
            <w:pPr>
              <w:spacing w:after="0"/>
              <w:rPr>
                <w:sz w:val="21"/>
                <w:szCs w:val="21"/>
                <w:color w:val="auto"/>
              </w:rPr>
            </w:pPr>
          </w:p>
        </w:tc>
        <w:tc>
          <w:tcPr>
            <w:tcW w:w="1600" w:type="dxa"/>
            <w:vAlign w:val="bottom"/>
          </w:tcPr>
          <w:p>
            <w:pPr>
              <w:jc w:val="center"/>
              <w:ind w:right="276"/>
              <w:spacing w:after="0"/>
              <w:rPr>
                <w:sz w:val="20"/>
                <w:szCs w:val="20"/>
                <w:color w:val="auto"/>
              </w:rPr>
            </w:pPr>
            <w:r>
              <w:rPr>
                <w:rFonts w:ascii="Arial" w:cs="Arial" w:eastAsia="Arial" w:hAnsi="Arial"/>
                <w:sz w:val="18"/>
                <w:szCs w:val="18"/>
                <w:color w:val="auto"/>
                <w:w w:val="86"/>
              </w:rPr>
              <w:t>27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34,721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(11,879)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22,842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276"/>
              <w:spacing w:after="0"/>
              <w:rPr>
                <w:sz w:val="20"/>
                <w:szCs w:val="20"/>
                <w:color w:val="auto"/>
              </w:rPr>
            </w:pPr>
            <w:r>
              <w:rPr>
                <w:rFonts w:ascii="Arial" w:cs="Arial" w:eastAsia="Arial" w:hAnsi="Arial"/>
                <w:sz w:val="18"/>
                <w:szCs w:val="18"/>
                <w:color w:val="auto"/>
                <w:w w:val="88"/>
              </w:rPr>
              <w:t>4 years</w:t>
            </w: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2,721</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763,065</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(156,645)</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606,420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December 31, 2014</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ind w:left="600"/>
              <w:spacing w:after="0"/>
              <w:rPr>
                <w:sz w:val="20"/>
                <w:szCs w:val="20"/>
                <w:color w:val="auto"/>
              </w:rPr>
            </w:pPr>
            <w:r>
              <w:rPr>
                <w:rFonts w:ascii="Arial" w:cs="Arial" w:eastAsia="Arial" w:hAnsi="Arial"/>
                <w:sz w:val="14"/>
                <w:szCs w:val="14"/>
                <w:b w:val="1"/>
                <w:bCs w:val="1"/>
                <w:color w:val="auto"/>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18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314,664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(46,339)</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268,325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116"/>
              <w:spacing w:after="0"/>
              <w:rPr>
                <w:sz w:val="20"/>
                <w:szCs w:val="20"/>
                <w:color w:val="auto"/>
              </w:rPr>
            </w:pPr>
            <w:r>
              <w:rPr>
                <w:rFonts w:ascii="Arial" w:cs="Arial" w:eastAsia="Arial" w:hAnsi="Arial"/>
                <w:sz w:val="18"/>
                <w:szCs w:val="18"/>
                <w:color w:val="auto"/>
                <w:w w:val="86"/>
              </w:rPr>
              <w:t>13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105,201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(63,689)</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41,512</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34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44,220</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28,765</w:t>
            </w:r>
          </w:p>
        </w:tc>
        <w:tc>
          <w:tcPr>
            <w:tcW w:w="0" w:type="dxa"/>
            <w:vAlign w:val="bottom"/>
          </w:tcPr>
          <w:p>
            <w:pPr>
              <w:spacing w:after="0"/>
              <w:rPr>
                <w:sz w:val="1"/>
                <w:szCs w:val="1"/>
                <w:color w:val="auto"/>
              </w:rPr>
            </w:pPr>
          </w:p>
        </w:tc>
      </w:tr>
      <w:tr>
        <w:trPr>
          <w:trHeight w:val="270"/>
        </w:trPr>
        <w:tc>
          <w:tcPr>
            <w:tcW w:w="48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Trademarks/brand names </w:t>
            </w:r>
            <w:r>
              <w:rPr>
                <w:rFonts w:ascii="Arial" w:cs="Arial" w:eastAsia="Arial" w:hAnsi="Arial"/>
                <w:sz w:val="25"/>
                <w:szCs w:val="25"/>
                <w:color w:val="auto"/>
                <w:vertAlign w:val="superscript"/>
              </w:rPr>
              <w:t>(2)</w:t>
            </w:r>
          </w:p>
        </w:tc>
        <w:tc>
          <w:tcPr>
            <w:tcW w:w="120" w:type="dxa"/>
            <w:vAlign w:val="bottom"/>
          </w:tcPr>
          <w:p>
            <w:pPr>
              <w:spacing w:after="0"/>
              <w:rPr>
                <w:sz w:val="23"/>
                <w:szCs w:val="23"/>
                <w:color w:val="auto"/>
              </w:rPr>
            </w:pPr>
          </w:p>
        </w:tc>
        <w:tc>
          <w:tcPr>
            <w:tcW w:w="1600" w:type="dxa"/>
            <w:vAlign w:val="bottom"/>
          </w:tcPr>
          <w:p>
            <w:pPr>
              <w:jc w:val="center"/>
              <w:ind w:right="136"/>
              <w:spacing w:after="0"/>
              <w:rPr>
                <w:sz w:val="20"/>
                <w:szCs w:val="20"/>
                <w:color w:val="auto"/>
              </w:rPr>
            </w:pPr>
            <w:r>
              <w:rPr>
                <w:rFonts w:ascii="Arial" w:cs="Arial" w:eastAsia="Arial" w:hAnsi="Arial"/>
                <w:sz w:val="18"/>
                <w:szCs w:val="18"/>
                <w:color w:val="auto"/>
                <w:w w:val="95"/>
              </w:rPr>
              <w:t>Indefinite</w:t>
            </w:r>
          </w:p>
        </w:tc>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48,484</w:t>
            </w: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48,484</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6"/>
              <w:spacing w:after="0"/>
              <w:rPr>
                <w:sz w:val="20"/>
                <w:szCs w:val="20"/>
                <w:color w:val="auto"/>
              </w:rPr>
            </w:pPr>
            <w:r>
              <w:rPr>
                <w:rFonts w:ascii="Arial" w:cs="Arial" w:eastAsia="Arial" w:hAnsi="Arial"/>
                <w:sz w:val="18"/>
                <w:szCs w:val="18"/>
                <w:color w:val="auto"/>
                <w:w w:val="86"/>
              </w:rPr>
              <w:t>27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34,721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(10,809)</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23,912</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tcBorders>
              <w:bottom w:val="single" w:sz="8" w:color="CCEEFF"/>
            </w:tcBorders>
          </w:tcPr>
          <w:p>
            <w:pPr>
              <w:spacing w:after="0"/>
              <w:rPr>
                <w:sz w:val="23"/>
                <w:szCs w:val="23"/>
                <w:color w:val="auto"/>
              </w:rPr>
            </w:pPr>
          </w:p>
        </w:tc>
        <w:tc>
          <w:tcPr>
            <w:tcW w:w="1600" w:type="dxa"/>
            <w:vAlign w:val="bottom"/>
            <w:tcBorders>
              <w:bottom w:val="single" w:sz="8" w:color="CCEEFF"/>
            </w:tcBorders>
          </w:tcPr>
          <w:p>
            <w:pPr>
              <w:jc w:val="center"/>
              <w:ind w:right="116"/>
              <w:spacing w:after="0"/>
              <w:rPr>
                <w:sz w:val="20"/>
                <w:szCs w:val="20"/>
                <w:color w:val="auto"/>
              </w:rPr>
            </w:pPr>
            <w:r>
              <w:rPr>
                <w:rFonts w:ascii="Arial" w:cs="Arial" w:eastAsia="Arial" w:hAnsi="Arial"/>
                <w:sz w:val="18"/>
                <w:szCs w:val="18"/>
                <w:color w:val="auto"/>
                <w:w w:val="88"/>
              </w:rPr>
              <w:t>4 years</w:t>
            </w:r>
          </w:p>
        </w:tc>
        <w:tc>
          <w:tcPr>
            <w:tcW w:w="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2,910</w:t>
            </w:r>
          </w:p>
        </w:tc>
        <w:tc>
          <w:tcPr>
            <w:tcW w:w="2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(1,340)</w:t>
            </w:r>
          </w:p>
        </w:tc>
        <w:tc>
          <w:tcPr>
            <w:tcW w:w="2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1,570</w:t>
            </w:r>
          </w:p>
        </w:tc>
        <w:tc>
          <w:tcPr>
            <w:tcW w:w="0" w:type="dxa"/>
            <w:vAlign w:val="bottom"/>
          </w:tcPr>
          <w:p>
            <w:pPr>
              <w:spacing w:after="0"/>
              <w:rPr>
                <w:sz w:val="1"/>
                <w:szCs w:val="1"/>
                <w:color w:val="auto"/>
              </w:rPr>
            </w:pPr>
          </w:p>
        </w:tc>
      </w:tr>
      <w:tr>
        <w:trPr>
          <w:trHeight w:val="269"/>
        </w:trPr>
        <w:tc>
          <w:tcPr>
            <w:tcW w:w="4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550,200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(137,632)</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412,568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right="20" w:hanging="332"/>
        <w:spacing w:after="0" w:line="216"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At September 30, 2015 and December 31, 2014, all other included in-process research and development ("IPR&amp;D") of $1.4 million in both periods, which was indefinite-lived.</w:t>
      </w:r>
    </w:p>
    <w:p>
      <w:pPr>
        <w:spacing w:after="0" w:line="1"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In August 2015, the Company reevaluated the Miltex, CUSA, Luxtec, and Omni-Tract trade names and determined that they are no longer indefinite-lived intangible assets. The Company assigned remaining useful lives ranging from 20 to 30 years, consistent with other trademarks/brand names, and began amortization.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nine months ended September 30, 2014, the Company recorded an impairment charge of $0.6 million in cost of goods sold related to technology assets acquired from Confluent Surgical that will no longer be sold resulting from a regulatory event that occurred after the acquisition date.</w:t>
      </w:r>
    </w:p>
    <w:p>
      <w:pPr>
        <w:spacing w:after="0" w:line="1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quarter-end exchange rates, annual amortization expense (including amounts reported in cost of product revenues, but excluding any possible future amortization associated with acquired in-process research and development) is expected to approximate $36.0 million in 2015, $40.5 million in 2016, $39.7 million in 2017, $39.6 million in 2018 and $39.5 million in 2019. Identifiable intangible assets are initially recorded at fair market value at the time of acquisition using an income or cost approach.</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August 28, 2015, the Company entered into a second amendment (the “Second Amendment”) to that certain Third Amended and Restated Credit Agreement, dated as of July 2, 2014 (as amended by that certain First Amendment to Third Amended and Restated Credit Agreement, dated as of December 19, 2014, and as further amended by the Second Amendment, the “Credit Agreement”) among the Company, a syndicate of lending banks, Bank of America, N.A., as Administrative Agent, Swing Line Lender and L/C Issuer, Wells Fargo Bank, National Association, as Syndication Agent, and HSBC Bank USA, National Association, Royal Bank of Canada, Citizens Bank, National Association, DNB Capital LLC, Crédit Agricole-Corporate and Investment Bank, and TD Bank, N.A., as Co-Documentation Agents. The Company's Senior Credit Facility was originally amended and restated on August 10, 2010, and that agreement was then amended on June 8, 2011, May 11, 2012, June 21, 2013, and July 2, 2014 as previously disclosed.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Second Amendment creates an aggregate principal amount of up to $1.1 billion available to the Company through the following facilities:</w:t>
      </w:r>
    </w:p>
    <w:p>
      <w:pPr>
        <w:spacing w:after="0" w:line="63"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$750.0 million revolving credit facility, which includes a $60.0 million sublimit for the issuance of standby letters of credit and a $60.0 million sublimit for swingline loans,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$350.0 million term loan facility.</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Second Amendment, the Company borrowed $200.0 million of incremental term loans as permitted under the original terms of the Senior Credit Facility. Additionally, the Second Amendment (i) enables the Company to incur up to $200.0 million of incremental loans in the future and (ii) modifies the consolidated leverage ratio covenant in the Credit Agreement.</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Senior Credit Facility allows the Company to further increase the size of either the revolving credit facility or the term loan facility, or a combination thereof, by an aggregate of $200.0 million with additional commitments. The July 2014 amended and restated Senior Credit Facility extended the maturity date of the prior facility from June 8, 2016 to July 2, 2019.</w:t>
      </w:r>
    </w:p>
    <w:p>
      <w:pPr>
        <w:spacing w:after="0" w:line="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December 19, 2014, the Company entered into a first amendment to the Senior Credit Facility which modified covenants to permit the distribution and/or dividend by the Company of its spine business to the Company's public stockholders. The intent of the amendment was to permit the Company to consummate the spine business spin-off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w:t>
      </w:r>
    </w:p>
    <w:p>
      <w:pPr>
        <w:spacing w:after="0" w:line="63"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1.75%),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Senior Credit Facility is collateralized by substantially all of the assets of the Company’s U.S. subsidiaries, excluding intangible assets. The Senior Credit Facility is subject to various financial and negative covenants and at September 30, 2015 the Company was in compliance with all such covenants. In connection with the modification of the 2014 amendment and restatement of the Senior Credit Facility, the Company capitalized $3.2 million of incremental financing costs, and expensed $0.3 million of previously capitalized financing costs.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2, 2014, the Company borrowed $422.0 million under the Senior Credit Facility consisting of a $150.0 million term loan and $272.0 million under its revolving credit facility. The Company used the funds to repay the balance of its previous Senior Credit Facility. The outstanding borrowings have one, two, three, six months, or, if available, twelve months interest periods.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2015 and December 31, 2014, there was $165.0 million and $266.9 million outstanding under the revolving credit component of the Senior Credit Facility at a weighted average interest rate of 1.7% and 1.7%, respectively. At September 30, 2015, there was approximately $586.9 million available for borrowing under the Senior Credit Facility. The Company considers the balance to be long-term in nature based on its current intent and ability to repay the borrowing outside of the next twelve-month period.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September 30, 2015 there was $348.1 million outstanding under the term loan component of the Senior Credit Facility at a weighted average interest rate of 1.7%. Contractual repayments of the term loan began September 30, 2015 and are due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40" w:type="dxa"/>
            <w:vAlign w:val="bottom"/>
            <w:gridSpan w:val="3"/>
          </w:tcPr>
          <w:p>
            <w:pPr>
              <w:jc w:val="right"/>
              <w:ind w:right="4150"/>
              <w:spacing w:after="0"/>
              <w:rPr>
                <w:sz w:val="20"/>
                <w:szCs w:val="20"/>
                <w:color w:val="auto"/>
              </w:rPr>
            </w:pPr>
            <w:r>
              <w:rPr>
                <w:rFonts w:ascii="Arial" w:cs="Arial" w:eastAsia="Arial" w:hAnsi="Arial"/>
                <w:sz w:val="14"/>
                <w:szCs w:val="14"/>
                <w:b w:val="1"/>
                <w:bCs w:val="1"/>
                <w:color w:val="auto"/>
                <w:w w:val="91"/>
              </w:rPr>
              <w:t>Year Ended December 31,</w:t>
            </w:r>
          </w:p>
        </w:tc>
        <w:tc>
          <w:tcPr>
            <w:tcW w:w="1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Principal Repayment</w:t>
            </w:r>
          </w:p>
        </w:tc>
      </w:tr>
      <w:tr>
        <w:trPr>
          <w:trHeight w:val="285"/>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4"/>
                <w:szCs w:val="24"/>
                <w:color w:val="auto"/>
              </w:rPr>
            </w:pPr>
          </w:p>
        </w:tc>
      </w:tr>
      <w:tr>
        <w:trPr>
          <w:trHeight w:val="256"/>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2015</w:t>
            </w:r>
          </w:p>
        </w:tc>
        <w:tc>
          <w:tcPr>
            <w:tcW w:w="7440" w:type="dxa"/>
            <w:vAlign w:val="bottom"/>
            <w:tcBorders>
              <w:bottom w:val="single" w:sz="8" w:color="CCEEFF"/>
            </w:tcBorders>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1,875</w:t>
            </w:r>
          </w:p>
        </w:tc>
      </w:tr>
      <w:tr>
        <w:trPr>
          <w:trHeight w:val="243"/>
        </w:trPr>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2016</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14,375</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2017</w:t>
            </w:r>
          </w:p>
        </w:tc>
        <w:tc>
          <w:tcPr>
            <w:tcW w:w="16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25,625</w:t>
            </w:r>
          </w:p>
        </w:tc>
      </w:tr>
      <w:tr>
        <w:trPr>
          <w:trHeight w:val="243"/>
        </w:trPr>
        <w:tc>
          <w:tcPr>
            <w:tcW w:w="2000" w:type="dxa"/>
            <w:vAlign w:val="bottom"/>
          </w:tcPr>
          <w:p>
            <w:pPr>
              <w:jc w:val="right"/>
              <w:ind w:right="1510"/>
              <w:spacing w:after="0"/>
              <w:rPr>
                <w:sz w:val="20"/>
                <w:szCs w:val="20"/>
                <w:color w:val="auto"/>
              </w:rPr>
            </w:pPr>
            <w:r>
              <w:rPr>
                <w:rFonts w:ascii="Arial" w:cs="Arial" w:eastAsia="Arial" w:hAnsi="Arial"/>
                <w:sz w:val="18"/>
                <w:szCs w:val="18"/>
                <w:color w:val="auto"/>
                <w:w w:val="94"/>
              </w:rPr>
              <w:t>2018</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Arial" w:cs="Arial" w:eastAsia="Arial" w:hAnsi="Arial"/>
                <w:sz w:val="18"/>
                <w:szCs w:val="18"/>
                <w:color w:val="auto"/>
              </w:rPr>
              <w:t>32,500</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Arial" w:cs="Arial" w:eastAsia="Arial" w:hAnsi="Arial"/>
                <w:sz w:val="18"/>
                <w:szCs w:val="18"/>
                <w:color w:val="auto"/>
                <w:w w:val="94"/>
              </w:rPr>
              <w:t>2019</w:t>
            </w:r>
          </w:p>
        </w:tc>
        <w:tc>
          <w:tcPr>
            <w:tcW w:w="16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273,750</w:t>
            </w:r>
          </w:p>
        </w:tc>
      </w:tr>
      <w:tr>
        <w:trPr>
          <w:trHeight w:val="237"/>
        </w:trPr>
        <w:tc>
          <w:tcPr>
            <w:tcW w:w="2000" w:type="dxa"/>
            <w:vAlign w:val="bottom"/>
          </w:tcPr>
          <w:p>
            <w:pPr>
              <w:spacing w:after="0"/>
              <w:rPr>
                <w:sz w:val="20"/>
                <w:szCs w:val="20"/>
                <w:color w:val="auto"/>
              </w:rPr>
            </w:pPr>
          </w:p>
        </w:tc>
        <w:tc>
          <w:tcPr>
            <w:tcW w:w="7140" w:type="dxa"/>
            <w:vAlign w:val="bottom"/>
            <w:gridSpan w:val="3"/>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348,125</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20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outstanding borrowings of the Senior Credit Facility's revolving credit facility and term loan components at September 30, 2015 was approximately $153.7 million and $326.2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15, 2011, the Company issued $230.0 million aggregate principal amount of its 1.625% Convertible Senior Notes due in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2016 Notes are senior, unsecured obligations of the Company, and are convertible into cash and, if applicable, shares of its common stock based on an initial conversion rate, subject to adjustment of 17.4092 shares per $1,000 principal amount of 2016 Notes (which represents an initial conversion price of approximately $57.44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The issue price of the 2016 Notes was equal to their face amount, which is also the amount holders are entitled to receive at maturity if the 2016 Notes are not converted. As of March 31, 2015, certain conversion features were triggered due to the announced spin-off of the Company's subsidiary, SeaSpine Holdings Corporation, which allowed the holders to convert all or any of the 2016 Notes subject to certain conditions. The 2016 Notes were convertible through June 10, 2015 and as of the close of the conversion window, note holders provided notice to convert 2,903 notes. During the three-months ended September 30, 2015, the Company paid $2.9 million in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4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cash and issued 8,457 shares to settle the obligation to the note holders that converted. As a result of the spin-off and pursuant to the indenture for the Company's 2016 Notes, the initial conversion price and rate was adjusted effective July 1, 2015. The conversion price on the 2016 Notes has been adjusted to $52.83 per share and the new conversion rate is 18.9287 shares per $1,000 principal amount of 2016 Notes. In connection with the issuance of the 2016 Notes, the Company entered into call transactions and warrant transactions, primarily with affiliates of the initial purchasers of such notes (the “hedge participants”). The initial strike price of the call transaction is approximately $57.44 per share, subject to customary anti-dilution adjustments. The initial strike price of the warrant transaction is approximately $70.05 per share, subject to customary anti-dilution adjustments. Similarly, the strike price of the call transaction has been adjusted to $52.83 per share and the warrant transaction has been adjusted to $64.43 per share.</w:t>
      </w:r>
    </w:p>
    <w:p>
      <w:pPr>
        <w:spacing w:after="0" w:line="1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September 30, 2015, the carrying amount of the liability component was $216.6 million, the remaining unamortized discount was $10.5 million, and the principal amount outstanding was $227.1 million. The fair value of the 2016 Notes at September 30, 2015 was approximately $272.1 million. At December 31, 2014, the carrying amount of the liability component was $213.1 million, the remaining unamortized discount was $16.9 million and the principal amount outstanding was $230.0 million.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components of the Company’s convertible notes are as follows (net of capitalized interest amounts):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2,142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7"/>
              <w:spacing w:after="0"/>
              <w:rPr>
                <w:sz w:val="20"/>
                <w:szCs w:val="20"/>
                <w:color w:val="auto"/>
              </w:rPr>
            </w:pPr>
            <w:r>
              <w:rPr>
                <w:rFonts w:ascii="Arial" w:cs="Arial" w:eastAsia="Arial" w:hAnsi="Arial"/>
                <w:sz w:val="18"/>
                <w:szCs w:val="18"/>
                <w:color w:val="auto"/>
              </w:rPr>
              <w:t>1,822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5,874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5,256</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2,548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2,675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8,422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7,747</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LIBOR interest rate borrowings. On August 10, 2015 the interest rate swap derivative instrument the Company entered into on August 10, 2010 with an effective date of December 31, 2010 expired. The interest rate swap was used to manage the Company's earnings and cash flow exposure to changes in interest rates by converting a portion of its floating-rate debt into fixed-rate debt. The Company did not enter into another interest rate swap derivative instrument.</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expiration, the Company designated this derivative instrument as a cash flow hedge. The Company recorded the effective portion of any change in the fair value of a derivative instrument designated as a cash flow hedge as unrealized gains or losses in accumulated other comprehensive income (“AOCI”), net of tax, until the hedged item affected earnings, at which point the effective portion of any gain or loss was reclassified to earnings. If the hedged cash flow does not occur, or if it becomes probable that it will not occur, the Company reclassified the amount of any gain or loss on the related cash flow hedge to interest expense at that time.</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reclassified $0.2 million of pre-tax losses recorded as net in AOCI related to the interest rate hedge to earnings prior to the date of expiration.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contracts outstanding as of September 30,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and presentation for derivatives designated as hedging instruments in the condensed consolidated balance sheets as of September 30, 2015 and December 31, 2014:</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1176"/>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90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180" w:type="dxa"/>
            <w:vAlign w:val="bottom"/>
          </w:tcPr>
          <w:p>
            <w:pPr>
              <w:spacing w:after="0"/>
              <w:rPr>
                <w:sz w:val="22"/>
                <w:szCs w:val="22"/>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 2015</w:t>
            </w:r>
          </w:p>
        </w:tc>
        <w:tc>
          <w:tcPr>
            <w:tcW w:w="200" w:type="dxa"/>
            <w:vAlign w:val="bottom"/>
          </w:tcPr>
          <w:p>
            <w:pPr>
              <w:spacing w:after="0"/>
              <w:rPr>
                <w:sz w:val="22"/>
                <w:szCs w:val="22"/>
                <w:color w:val="auto"/>
              </w:rPr>
            </w:pPr>
          </w:p>
        </w:tc>
        <w:tc>
          <w:tcPr>
            <w:tcW w:w="150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December 31, 2014</w:t>
            </w:r>
          </w:p>
        </w:tc>
      </w:tr>
      <w:tr>
        <w:trPr>
          <w:trHeight w:val="250"/>
        </w:trPr>
        <w:tc>
          <w:tcPr>
            <w:tcW w:w="76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340" w:type="dxa"/>
            <w:vAlign w:val="bottom"/>
            <w:tcBorders>
              <w:top w:val="single" w:sz="8" w:color="auto"/>
            </w:tcBorders>
            <w:gridSpan w:val="4"/>
          </w:tcPr>
          <w:p>
            <w:pPr>
              <w:jc w:val="right"/>
              <w:ind w:right="1216"/>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70"/>
        </w:trPr>
        <w:tc>
          <w:tcPr>
            <w:tcW w:w="790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Interest rate swap — Accrued expenses and other current liabilities </w:t>
            </w:r>
            <w:r>
              <w:rPr>
                <w:rFonts w:ascii="Arial" w:cs="Arial" w:eastAsia="Arial" w:hAnsi="Arial"/>
                <w:sz w:val="25"/>
                <w:szCs w:val="25"/>
                <w:color w:val="auto"/>
                <w:vertAlign w:val="superscript"/>
              </w:rPr>
              <w:t>(2)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898</w:t>
            </w:r>
          </w:p>
        </w:tc>
      </w:tr>
      <w:tr>
        <w:trPr>
          <w:trHeight w:val="269"/>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Derivatives designated as hedges —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898</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24"/>
          <w:szCs w:val="24"/>
          <w:color w:val="auto"/>
          <w:vertAlign w:val="superscript"/>
        </w:rPr>
      </w:pPr>
      <w:r>
        <w:rPr>
          <w:rFonts w:ascii="Arial" w:cs="Arial" w:eastAsia="Arial" w:hAnsi="Arial"/>
          <w:sz w:val="17"/>
          <w:szCs w:val="17"/>
          <w:color w:val="auto"/>
        </w:rPr>
        <w:t>The Company classifies derivative assets and liabilities as current based on the cash flows expected to be incurred within the following 12 months.</w:t>
      </w:r>
    </w:p>
    <w:p>
      <w:pPr>
        <w:spacing w:after="0" w:line="1" w:lineRule="exact"/>
        <w:rPr>
          <w:rFonts w:ascii="Arial" w:cs="Arial" w:eastAsia="Arial" w:hAnsi="Arial"/>
          <w:sz w:val="24"/>
          <w:szCs w:val="24"/>
          <w:color w:val="auto"/>
          <w:vertAlign w:val="superscript"/>
        </w:rPr>
      </w:pPr>
    </w:p>
    <w:p>
      <w:pPr>
        <w:ind w:left="340" w:hanging="332"/>
        <w:spacing w:after="0" w:line="236"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At September 30, 2015 and December 31, 2014, the notional amount related to the Company’s sole interest rate swap was $0.0 million and $97.5 million, respectively. As of September 30, 2015, the Company reduced the notional amount by the entire remaining $90.0 million as the swap expired.</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statements of operations during the three and nine months ended September 30, 2015 and 2014:</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00"/>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 of Loss</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vMerge w:val="restart"/>
          </w:tcPr>
          <w:p>
            <w:pPr>
              <w:jc w:val="center"/>
              <w:ind w:left="41"/>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Portion</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End of Quarter</w:t>
            </w:r>
          </w:p>
        </w:tc>
        <w:tc>
          <w:tcPr>
            <w:tcW w:w="15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September 30, 2015</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4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September 30, 2014</w:t>
            </w:r>
          </w:p>
        </w:tc>
        <w:tc>
          <w:tcPr>
            <w:tcW w:w="22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100"/>
              <w:spacing w:after="0" w:line="153" w:lineRule="exact"/>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Amount of Loss</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vMerge w:val="restart"/>
          </w:tcPr>
          <w:p>
            <w:pPr>
              <w:jc w:val="center"/>
              <w:ind w:left="41"/>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Portion</w:t>
            </w:r>
          </w:p>
        </w:tc>
        <w:tc>
          <w:tcPr>
            <w:tcW w:w="11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End of Quarter</w:t>
            </w:r>
          </w:p>
        </w:tc>
        <w:tc>
          <w:tcPr>
            <w:tcW w:w="1580" w:type="dxa"/>
            <w:vAlign w:val="bottom"/>
            <w:tcBorders>
              <w:bottom w:val="single" w:sz="8" w:color="auto"/>
            </w:tcBorders>
          </w:tcPr>
          <w:p>
            <w:pPr>
              <w:jc w:val="center"/>
              <w:ind w:left="21"/>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2015</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420" w:type="dxa"/>
            <w:vAlign w:val="bottom"/>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gridSpan w:val="2"/>
            <w:shd w:val="clear" w:color="auto" w:fill="CCEEFF"/>
          </w:tcPr>
          <w:p>
            <w:pPr>
              <w:ind w:left="37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3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Nine Months Ended September 30, 2014</w:t>
            </w:r>
          </w:p>
        </w:tc>
        <w:tc>
          <w:tcPr>
            <w:tcW w:w="2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color w:val="auto"/>
              </w:rPr>
              <w:t>Interest rate swap</w:t>
            </w:r>
          </w:p>
        </w:tc>
        <w:tc>
          <w:tcPr>
            <w:tcW w:w="1420" w:type="dxa"/>
            <w:vAlign w:val="bottom"/>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(1,289)</w:t>
            </w:r>
          </w:p>
        </w:tc>
        <w:tc>
          <w:tcPr>
            <w:tcW w:w="1580" w:type="dxa"/>
            <w:vAlign w:val="bottom"/>
          </w:tcPr>
          <w:p>
            <w:pPr>
              <w:ind w:left="140"/>
              <w:spacing w:after="0"/>
              <w:rPr>
                <w:sz w:val="20"/>
                <w:szCs w:val="20"/>
                <w:color w:val="auto"/>
              </w:rPr>
            </w:pPr>
            <w:r>
              <w:rPr>
                <w:rFonts w:ascii="Arial" w:cs="Arial" w:eastAsia="Arial" w:hAnsi="Arial"/>
                <w:sz w:val="18"/>
                <w:szCs w:val="18"/>
                <w:color w:val="auto"/>
                <w:w w:val="97"/>
              </w:rPr>
              <w:t>Interest (expense)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gridSpan w:val="2"/>
            <w:shd w:val="clear" w:color="auto" w:fill="CCEEFF"/>
          </w:tcPr>
          <w:p>
            <w:pPr>
              <w:ind w:left="370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no gains or losses resulting from ineffectiveness of cash flow hedges during the nine months ended September 30, 2015 and 2014.</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2015, the Company had stock options, restricted stock awards, performance stock units,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directors, and employees, and generally expire eight years from the grant date for employees, and from eight to ten 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1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to provide holders performance stock, restricted stock, and contract stock in the company that</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employs such employee following the separation. The adjustments to the Company's stock-based compensation awards resulted in an increase in incremental fair value of $4.4 million, of which $3.0 million was recorded in the three months ended September 30, 2015. The remaining $1.4 million will be recognized prospectively over the remaining term of outstanding awards, adjusted, as applicable, for forfeitures.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2015, there were approximately $2.6 million of total unrecognized compensation costs related to unvested stock options, including the additional incremental fair value expense discussed above. These costs are expected to be recognized over a weighted-average period of approximately two years. There were 166,751 stock options granted during the nine months ended September 30,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Performance stock, restricted stock and contract stock awards generally have requisite service periods of three years. Performance stock units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As of September 30, 2015, there were approximately $18.9 million of total unrecognized compensation costs related to these unvested awards, including the additional incremental fair value expense discussed above. The Company expects to recognize these costs over a weighted-average period of approximately two years. The Company granted 325,411 restricted stock awards/stock units and 139,259 performance shares during the nine months ended September 30, 2015.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TREASURY STOCK</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28, 2014, the Board of Directors terminated the October 2012 authorization and authorized up to $75.0 million of its outstanding common stock through December 2016. The Company has not repurchased any of its outstanding shares of common stock during the nine-month periods ended September 30, 2015 and 2014. As of September 30, 2015, there remained $75.0 million available for repurchases under this authorization.</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96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72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74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22"/>
                <w:szCs w:val="22"/>
                <w:color w:val="auto"/>
              </w:rPr>
            </w:pPr>
          </w:p>
        </w:tc>
        <w:tc>
          <w:tcPr>
            <w:tcW w:w="1300" w:type="dxa"/>
            <w:vAlign w:val="bottom"/>
            <w:tcBorders>
              <w:top w:val="single" w:sz="8" w:color="auto"/>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2014</w:t>
            </w:r>
          </w:p>
        </w:tc>
      </w:tr>
      <w:tr>
        <w:trPr>
          <w:trHeight w:val="135"/>
        </w:trPr>
        <w:tc>
          <w:tcPr>
            <w:tcW w:w="57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243"/>
        </w:trPr>
        <w:tc>
          <w:tcPr>
            <w:tcW w:w="5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57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effective income tax rates for the three and nine months ended September 30, 2015 were 694.6% and 119.7% respectively. The 2015 income tax expense for both periods includes $35.6 million of expense relating to a tax valuation allowance recorded in its continuing operations as a result of the spin-off of the spine business. The Company determined that upon spin-off, the deferred tax assets of the spine business would be unrealizable.</w:t>
      </w:r>
    </w:p>
    <w:p>
      <w:pPr>
        <w:spacing w:after="0" w:line="1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Excluding the valuation allowance, the Company's effective income tax rates for the three months ended September 30, 2015 and 2014 were 29.8% and 18.0%, respectively. The primary drivers of the overall tax rate for the three months ended September 30, 2015 were a tax expense of $0.3 million relating to the filing of foreign income tax returns and the settlement of foreign audits.</w:t>
      </w:r>
    </w:p>
    <w:p>
      <w:pPr>
        <w:jc w:val="both"/>
        <w:spacing w:after="0" w:line="261" w:lineRule="auto"/>
        <w:rPr>
          <w:sz w:val="20"/>
          <w:szCs w:val="20"/>
          <w:color w:val="auto"/>
        </w:rPr>
      </w:pPr>
      <w:r>
        <w:rPr>
          <w:rFonts w:ascii="Arial" w:cs="Arial" w:eastAsia="Arial" w:hAnsi="Arial"/>
          <w:sz w:val="18"/>
          <w:szCs w:val="18"/>
          <w:color w:val="auto"/>
        </w:rPr>
        <w:t>The primary driver of the overall tax rate for the three months ended September 30, 2014 was a benefit of $1.6 million for the release of uncertain tax positions and related interest due to expiration of statute of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Excluding the valuation allowance, the Company's effective income tax rates for the nine months ended September 30, 2015 and 2014 were 33.1% and 28.6%, respectively. The primary driver of the overall tax rate for the nine months ended September 30, 2015 were a tax expense of $0.9 million relating to the filing of Federal and foreign income tax returns. The primary driver of the overall tax rate for the nine months ended September 30, 2014 was a benefit of $1.9 million for the release of uncertain tax positions and related interest due to expiration of statute of limitations.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its effective income tax rate for the full year to be approximately 87%, driven largely by the tax expense of $35.6 million in its continuing operations, relating to the establishment of a valuation allowance created upon the SeaSpine spin-off. The valuation allowance is due to the deferred tax assets having been impaired by the decision to spin-off the business into a separate entity that, more likely than not, will not be able to realize the value of those deferred tax assets.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Excluding the valuation allowance adjustment, the Company expects its effective income tax rate for the full year to be approximately 32.0%, resulting largely from audit settlements, offset with benefits from the domestic manufacturing deduction and the release of uncertain tax positions, as well as the jurisdictional mix of pretax income in U.S.-based operations relative to foreign operations. This estimate could be revised in the future as additional information is presented to the Company.</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1"/>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40" w:type="dxa"/>
            <w:vAlign w:val="bottom"/>
          </w:tcPr>
          <w:p>
            <w:pPr>
              <w:spacing w:after="0"/>
              <w:rPr>
                <w:sz w:val="22"/>
                <w:szCs w:val="22"/>
                <w:color w:val="auto"/>
              </w:rPr>
            </w:pPr>
          </w:p>
        </w:tc>
        <w:tc>
          <w:tcPr>
            <w:tcW w:w="2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2014</w:t>
            </w:r>
          </w:p>
        </w:tc>
      </w:tr>
      <w:tr>
        <w:trPr>
          <w:trHeight w:val="352"/>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80" w:type="dxa"/>
            <w:vAlign w:val="bottom"/>
            <w:gridSpan w:val="7"/>
          </w:tcPr>
          <w:p>
            <w:pPr>
              <w:ind w:left="20"/>
              <w:spacing w:after="0"/>
              <w:rPr>
                <w:sz w:val="20"/>
                <w:szCs w:val="20"/>
                <w:color w:val="auto"/>
              </w:rPr>
            </w:pPr>
            <w:r>
              <w:rPr>
                <w:rFonts w:ascii="Arial" w:cs="Arial" w:eastAsia="Arial" w:hAnsi="Arial"/>
                <w:sz w:val="14"/>
                <w:szCs w:val="14"/>
                <w:b w:val="1"/>
                <w:bCs w:val="1"/>
                <w:color w:val="auto"/>
                <w:w w:val="91"/>
              </w:rPr>
              <w:t>(In thousands, except per share amounts)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5"/>
        </w:trPr>
        <w:tc>
          <w:tcPr>
            <w:tcW w:w="652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(loss) per share:</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2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39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(loss) income from continuing operations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(31,881)</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15,890</w:t>
            </w: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Net income (loss) from discontinued operations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948</w:t>
            </w:r>
          </w:p>
        </w:tc>
      </w:tr>
      <w:tr>
        <w:trPr>
          <w:trHeight w:val="27"/>
        </w:trPr>
        <w:tc>
          <w:tcPr>
            <w:tcW w:w="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(31,881)</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16,838</w:t>
            </w:r>
          </w:p>
        </w:tc>
      </w:tr>
      <w:tr>
        <w:trPr>
          <w:trHeight w:val="324"/>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35,279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32,374</w:t>
            </w:r>
          </w:p>
        </w:tc>
      </w:tr>
      <w:tr>
        <w:trPr>
          <w:trHeight w:val="324"/>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(loss) income per common share from continuing operations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0.49</w:t>
            </w: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Basic net income (loss) per common share from discontinued operations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0.03</w:t>
            </w:r>
          </w:p>
        </w:tc>
      </w:tr>
      <w:tr>
        <w:trPr>
          <w:trHeight w:val="27"/>
        </w:trPr>
        <w:tc>
          <w:tcPr>
            <w:tcW w:w="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(loss) income per common share</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0.52</w:t>
            </w:r>
          </w:p>
        </w:tc>
      </w:tr>
      <w:tr>
        <w:trPr>
          <w:trHeight w:val="338"/>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5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9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Net (loss) income from continuing operations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(31,881)</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8,990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15,890</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 (loss)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948</w:t>
            </w:r>
          </w:p>
        </w:tc>
      </w:tr>
      <w:tr>
        <w:trPr>
          <w:trHeight w:val="237"/>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(31,881)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9,807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16,838</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2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35,279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32,450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33,682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32,374</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2016 Convertible notes</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Stock options and restricted stock</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470</w:t>
            </w:r>
          </w:p>
        </w:tc>
      </w:tr>
      <w:tr>
        <w:trPr>
          <w:trHeight w:val="237"/>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35,279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32,906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33,682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32,844</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2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9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Diluted net (loss) income per common share from continuing operations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(0.90)</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0.48</w:t>
            </w:r>
          </w:p>
        </w:tc>
      </w:tr>
      <w:tr>
        <w:trPr>
          <w:trHeight w:val="27"/>
        </w:trPr>
        <w:tc>
          <w:tcPr>
            <w:tcW w:w="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Diluted net income (loss) per common share from 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0.03</w:t>
            </w:r>
          </w:p>
        </w:tc>
      </w:tr>
      <w:tr>
        <w:trPr>
          <w:trHeight w:val="237"/>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Diluted net (loss) income per common share</w:t>
            </w: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0.51</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to provide holders performance stock, restricted stock, and contract stock in the company that employs such employee following the separation. The adjustments to the Company's stock-based compensation awards resulted in an increase in incremental fair value of $4.4 million, of which $3.0 million was recorded in the three-months ended September 30, 2015. The remaining $1.4 million will be recognized prospectively over the remaining term of outstanding awards, adjusted, as applicable, for forfeitures.</w:t>
      </w:r>
    </w:p>
    <w:p>
      <w:pPr>
        <w:spacing w:after="0" w:line="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At September 30, 2015 and 2014, the Company had 1.1 million and 1.4 million of outstanding stock options, respectively. The Company also has warrants outstanding relating to its 2016 Notes at September 30, 2015 and 2014 and the Company's 2016 Notes are convertible to common shares in certain circumstances. See Note 6 - </w:t>
      </w:r>
      <w:r>
        <w:rPr>
          <w:rFonts w:ascii="Arial" w:cs="Arial" w:eastAsia="Arial" w:hAnsi="Arial"/>
          <w:sz w:val="16"/>
          <w:szCs w:val="16"/>
          <w:i w:val="1"/>
          <w:iCs w:val="1"/>
          <w:color w:val="auto"/>
        </w:rPr>
        <w:t>Debt</w:t>
      </w:r>
      <w:r>
        <w:rPr>
          <w:rFonts w:ascii="Arial" w:cs="Arial" w:eastAsia="Arial" w:hAnsi="Arial"/>
          <w:sz w:val="16"/>
          <w:szCs w:val="16"/>
          <w:color w:val="auto"/>
        </w:rPr>
        <w:t xml:space="preserve"> for additional information. Stock options, restricted stock, warrants and the excess conversion value of the 2016 Notes are included in the diluted earnings per share calculation using the treasury stock method, unless the effect of including such items would be anti-dilutive.</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September 30, 2015 and 2014, 0.5 million and 0.2 million, respectively, of anti-dilutive stock options and certain other performance awards were excluded from the diluted earnings per share calculation. For the nine months ended September 30, 2015 and 2014, 0.6 million and 0.2 million, respectively, of anti-dilutive stock options and certain other performance awards were excluded from the diluted earnings per share calculation. The effects of outstanding warrants were anti-dilutive because the strike price of the warrants exceeded the Company’s average stock price for the periods presented.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and nine months ended September 30, 2015, the potential excess conversion value on the 2016 Notes was included in the Company's dilutive share calculation because the average stock price for the three and nine months ended September 30, 2015 exceeded the conversion price. The potential excess conversion value of the 2016 Notes were anti-dilutive because the conversion price exceeded the Company's stock price for the three and nine months ended September 30, 2014; therefore, these amounts have been excluded from the diluted earnings per share calculation.</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4" w:lineRule="exact"/>
        <w:rPr>
          <w:sz w:val="20"/>
          <w:szCs w:val="20"/>
          <w:color w:val="auto"/>
        </w:rPr>
      </w:pPr>
    </w:p>
    <w:p>
      <w:pPr>
        <w:jc w:val="both"/>
        <w:ind w:right="8100" w:firstLine="8"/>
        <w:spacing w:after="0" w:line="453" w:lineRule="auto"/>
        <w:tabs>
          <w:tab w:leader="none" w:pos="27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(LOSS) </w:t>
      </w:r>
      <w:r>
        <w:rPr>
          <w:rFonts w:ascii="Arial" w:cs="Arial" w:eastAsia="Arial" w:hAnsi="Arial"/>
          <w:sz w:val="16"/>
          <w:szCs w:val="16"/>
          <w:color w:val="auto"/>
        </w:rPr>
        <w:t>Comprehensive income (loss)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7"/>
              </w:rPr>
              <w:t>Three Months Ended September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r>
      <w:tr>
        <w:trPr>
          <w:trHeight w:val="190"/>
        </w:trPr>
        <w:tc>
          <w:tcPr>
            <w:tcW w:w="6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gridSpan w:val="4"/>
          </w:tcPr>
          <w:p>
            <w:pPr>
              <w:jc w:val="right"/>
              <w:ind w:right="67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6520" w:type="dxa"/>
            <w:vAlign w:val="bottom"/>
          </w:tcPr>
          <w:p>
            <w:pPr>
              <w:ind w:left="40"/>
              <w:spacing w:after="0"/>
              <w:rPr>
                <w:sz w:val="20"/>
                <w:szCs w:val="20"/>
                <w:color w:val="auto"/>
              </w:rPr>
            </w:pPr>
            <w:r>
              <w:rPr>
                <w:rFonts w:ascii="Arial" w:cs="Arial" w:eastAsia="Arial" w:hAnsi="Arial"/>
                <w:sz w:val="18"/>
                <w:szCs w:val="18"/>
                <w:color w:val="auto"/>
              </w:rPr>
              <w:t>Net (loss) income</w:t>
            </w: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(31,881)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8,990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(8,129)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15,890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(15,952)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Unrealized currency translation adjustment accelerated upon spin</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52</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(26,364)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645</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Changes in Accumulated Other Comprehensive Loss by component between December 31, 2014 and September 30, 2015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Gains and (Losses)</w:t>
            </w:r>
          </w:p>
        </w:tc>
        <w:tc>
          <w:tcPr>
            <w:tcW w:w="140" w:type="dxa"/>
            <w:vAlign w:val="bottom"/>
          </w:tcPr>
          <w:p>
            <w:pPr>
              <w:spacing w:after="0"/>
              <w:rPr>
                <w:sz w:val="14"/>
                <w:szCs w:val="14"/>
                <w:color w:val="auto"/>
              </w:rPr>
            </w:pPr>
          </w:p>
        </w:tc>
        <w:tc>
          <w:tcPr>
            <w:tcW w:w="13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Defined Benefit</w:t>
            </w:r>
          </w:p>
        </w:tc>
        <w:tc>
          <w:tcPr>
            <w:tcW w:w="260" w:type="dxa"/>
            <w:vAlign w:val="bottom"/>
          </w:tcPr>
          <w:p>
            <w:pPr>
              <w:spacing w:after="0"/>
              <w:rPr>
                <w:sz w:val="14"/>
                <w:szCs w:val="14"/>
                <w:color w:val="auto"/>
              </w:rPr>
            </w:pPr>
          </w:p>
        </w:tc>
        <w:tc>
          <w:tcPr>
            <w:tcW w:w="10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3"/>
              </w:rPr>
              <w:t>Foreign</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on Cash Flow</w:t>
            </w: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86"/>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0"/>
              </w:rPr>
              <w:t>Pension Items</w:t>
            </w:r>
          </w:p>
        </w:tc>
        <w:tc>
          <w:tcPr>
            <w:tcW w:w="134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4"/>
                <w:szCs w:val="14"/>
                <w:b w:val="1"/>
                <w:bCs w:val="1"/>
                <w:color w:val="auto"/>
                <w:w w:val="94"/>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(22,070)</w:t>
            </w:r>
          </w:p>
        </w:tc>
        <w:tc>
          <w:tcPr>
            <w:tcW w:w="2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(23,488)</w:t>
            </w:r>
          </w:p>
        </w:tc>
        <w:tc>
          <w:tcPr>
            <w:tcW w:w="0" w:type="dxa"/>
            <w:vAlign w:val="bottom"/>
          </w:tcPr>
          <w:p>
            <w:pPr>
              <w:spacing w:after="0"/>
              <w:rPr>
                <w:sz w:val="1"/>
                <w:szCs w:val="1"/>
                <w:color w:val="auto"/>
              </w:rPr>
            </w:pPr>
          </w:p>
        </w:tc>
      </w:tr>
      <w:tr>
        <w:trPr>
          <w:trHeight w:val="237"/>
        </w:trPr>
        <w:tc>
          <w:tcPr>
            <w:tcW w:w="5960" w:type="dxa"/>
            <w:vAlign w:val="bottom"/>
          </w:tcPr>
          <w:p>
            <w:pPr>
              <w:ind w:left="28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(19,505)</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(18,761)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526</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512</w:t>
            </w: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758</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(19,505)</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(18,235)</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(41,575)</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(41,723)</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reclassification adjustments out of Accumulated Other Comprehensive Loss during the three and nine months ended September 30, 2015 were as follows: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4"/>
                <w:szCs w:val="14"/>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4"/>
                <w:szCs w:val="14"/>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20" w:type="dxa"/>
            <w:vAlign w:val="bottom"/>
          </w:tcPr>
          <w:p>
            <w:pPr>
              <w:spacing w:after="0"/>
              <w:rPr>
                <w:sz w:val="16"/>
                <w:szCs w:val="16"/>
                <w:color w:val="auto"/>
              </w:rPr>
            </w:pPr>
          </w:p>
        </w:tc>
        <w:tc>
          <w:tcPr>
            <w:tcW w:w="3860" w:type="dxa"/>
            <w:vAlign w:val="bottom"/>
            <w:gridSpan w:val="3"/>
          </w:tcPr>
          <w:p>
            <w:pPr>
              <w:ind w:left="1220"/>
              <w:spacing w:after="0"/>
              <w:rPr>
                <w:sz w:val="20"/>
                <w:szCs w:val="20"/>
                <w:color w:val="auto"/>
              </w:rPr>
            </w:pPr>
            <w:r>
              <w:rPr>
                <w:rFonts w:ascii="Arial" w:cs="Arial" w:eastAsia="Arial" w:hAnsi="Arial"/>
                <w:sz w:val="14"/>
                <w:szCs w:val="14"/>
                <w:b w:val="1"/>
                <w:bCs w:val="1"/>
                <w:color w:val="auto"/>
              </w:rPr>
              <w:t>(Loss) Components</w:t>
            </w:r>
          </w:p>
        </w:tc>
        <w:tc>
          <w:tcPr>
            <w:tcW w:w="260" w:type="dxa"/>
            <w:vAlign w:val="bottom"/>
          </w:tcPr>
          <w:p>
            <w:pPr>
              <w:spacing w:after="0"/>
              <w:rPr>
                <w:sz w:val="16"/>
                <w:szCs w:val="16"/>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Comprehensive Income (Loss)</w:t>
            </w:r>
          </w:p>
        </w:tc>
        <w:tc>
          <w:tcPr>
            <w:tcW w:w="2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(Loss) is Presented</w:t>
            </w:r>
          </w:p>
        </w:tc>
      </w:tr>
      <w:tr>
        <w:trPr>
          <w:trHeight w:val="264"/>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Gains and losses on cash flow hedges</w:t>
            </w:r>
          </w:p>
        </w:tc>
        <w:tc>
          <w:tcPr>
            <w:tcW w:w="114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97"/>
        </w:trPr>
        <w:tc>
          <w:tcPr>
            <w:tcW w:w="2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20" w:type="dxa"/>
            <w:vAlign w:val="bottom"/>
            <w:tcBorders>
              <w:bottom w:val="single" w:sz="8" w:color="CCEEFF"/>
            </w:tcBorders>
          </w:tcPr>
          <w:p>
            <w:pPr>
              <w:spacing w:after="0"/>
              <w:rPr>
                <w:sz w:val="24"/>
                <w:szCs w:val="24"/>
                <w:color w:val="auto"/>
              </w:rPr>
            </w:pPr>
          </w:p>
        </w:tc>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of tax</w:t>
            </w:r>
          </w:p>
        </w:tc>
      </w:tr>
      <w:tr>
        <w:trPr>
          <w:trHeight w:val="311"/>
        </w:trPr>
        <w:tc>
          <w:tcPr>
            <w:tcW w:w="2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r>
      <w:tr>
        <w:trPr>
          <w:trHeight w:val="197"/>
        </w:trPr>
        <w:tc>
          <w:tcPr>
            <w:tcW w:w="2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tcPr>
          <w:p>
            <w:pPr>
              <w:jc w:val="center"/>
              <w:ind w:right="220"/>
              <w:spacing w:after="0"/>
              <w:rPr>
                <w:sz w:val="20"/>
                <w:szCs w:val="20"/>
                <w:color w:val="auto"/>
              </w:rPr>
            </w:pPr>
            <w:r>
              <w:rPr>
                <w:rFonts w:ascii="Arial" w:cs="Arial" w:eastAsia="Arial" w:hAnsi="Arial"/>
                <w:sz w:val="14"/>
                <w:szCs w:val="14"/>
                <w:b w:val="1"/>
                <w:bCs w:val="1"/>
                <w:color w:val="auto"/>
                <w:w w:val="92"/>
              </w:rPr>
              <w:t>Nine Months Ended September 30, 2015</w:t>
            </w:r>
          </w:p>
        </w:tc>
        <w:tc>
          <w:tcPr>
            <w:tcW w:w="22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tcPr>
          <w:p>
            <w:pPr>
              <w:spacing w:after="0"/>
              <w:rPr>
                <w:sz w:val="17"/>
                <w:szCs w:val="17"/>
                <w:color w:val="auto"/>
              </w:rPr>
            </w:pPr>
          </w:p>
        </w:tc>
      </w:tr>
      <w:tr>
        <w:trPr>
          <w:trHeight w:val="152"/>
        </w:trPr>
        <w:tc>
          <w:tcPr>
            <w:tcW w:w="20" w:type="dxa"/>
            <w:vAlign w:val="bottom"/>
          </w:tcPr>
          <w:p>
            <w:pPr>
              <w:spacing w:after="0"/>
              <w:rPr>
                <w:sz w:val="13"/>
                <w:szCs w:val="13"/>
                <w:color w:val="auto"/>
              </w:rPr>
            </w:pPr>
          </w:p>
        </w:tc>
        <w:tc>
          <w:tcPr>
            <w:tcW w:w="386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w w:val="99"/>
              </w:rPr>
              <w:t>Details about Accumulated Other Comprehensive Income</w:t>
            </w:r>
          </w:p>
        </w:tc>
        <w:tc>
          <w:tcPr>
            <w:tcW w:w="260" w:type="dxa"/>
            <w:vAlign w:val="bottom"/>
          </w:tcPr>
          <w:p>
            <w:pPr>
              <w:spacing w:after="0"/>
              <w:rPr>
                <w:sz w:val="13"/>
                <w:szCs w:val="13"/>
                <w:color w:val="auto"/>
              </w:rPr>
            </w:pPr>
          </w:p>
        </w:tc>
        <w:tc>
          <w:tcPr>
            <w:tcW w:w="3400" w:type="dxa"/>
            <w:vAlign w:val="bottom"/>
          </w:tcPr>
          <w:p>
            <w:pPr>
              <w:jc w:val="center"/>
              <w:ind w:right="180"/>
              <w:spacing w:after="0" w:line="153" w:lineRule="exact"/>
              <w:rPr>
                <w:sz w:val="20"/>
                <w:szCs w:val="20"/>
                <w:color w:val="auto"/>
              </w:rPr>
            </w:pPr>
            <w:r>
              <w:rPr>
                <w:rFonts w:ascii="Arial" w:cs="Arial" w:eastAsia="Arial" w:hAnsi="Arial"/>
                <w:sz w:val="14"/>
                <w:szCs w:val="14"/>
                <w:b w:val="1"/>
                <w:bCs w:val="1"/>
                <w:color w:val="auto"/>
                <w:w w:val="93"/>
              </w:rPr>
              <w:t>Amount Reclassified from Accumulated Other</w:t>
            </w:r>
          </w:p>
        </w:tc>
        <w:tc>
          <w:tcPr>
            <w:tcW w:w="220" w:type="dxa"/>
            <w:vAlign w:val="bottom"/>
          </w:tcPr>
          <w:p>
            <w:pPr>
              <w:spacing w:after="0"/>
              <w:rPr>
                <w:sz w:val="13"/>
                <w:szCs w:val="13"/>
                <w:color w:val="auto"/>
              </w:rPr>
            </w:pPr>
          </w:p>
        </w:tc>
        <w:tc>
          <w:tcPr>
            <w:tcW w:w="36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Affected Line Item in the Statement where Net Income</w:t>
            </w:r>
          </w:p>
        </w:tc>
      </w:tr>
      <w:tr>
        <w:trPr>
          <w:trHeight w:val="192"/>
        </w:trPr>
        <w:tc>
          <w:tcPr>
            <w:tcW w:w="20" w:type="dxa"/>
            <w:vAlign w:val="bottom"/>
          </w:tcPr>
          <w:p>
            <w:pPr>
              <w:spacing w:after="0"/>
              <w:rPr>
                <w:sz w:val="16"/>
                <w:szCs w:val="16"/>
                <w:color w:val="auto"/>
              </w:rPr>
            </w:pPr>
          </w:p>
        </w:tc>
        <w:tc>
          <w:tcPr>
            <w:tcW w:w="3860" w:type="dxa"/>
            <w:vAlign w:val="bottom"/>
            <w:gridSpan w:val="3"/>
          </w:tcPr>
          <w:p>
            <w:pPr>
              <w:ind w:left="1220"/>
              <w:spacing w:after="0"/>
              <w:rPr>
                <w:sz w:val="20"/>
                <w:szCs w:val="20"/>
                <w:color w:val="auto"/>
              </w:rPr>
            </w:pPr>
            <w:r>
              <w:rPr>
                <w:rFonts w:ascii="Arial" w:cs="Arial" w:eastAsia="Arial" w:hAnsi="Arial"/>
                <w:sz w:val="14"/>
                <w:szCs w:val="14"/>
                <w:b w:val="1"/>
                <w:bCs w:val="1"/>
                <w:color w:val="auto"/>
              </w:rPr>
              <w:t>(Loss) Components</w:t>
            </w:r>
          </w:p>
        </w:tc>
        <w:tc>
          <w:tcPr>
            <w:tcW w:w="260" w:type="dxa"/>
            <w:vAlign w:val="bottom"/>
          </w:tcPr>
          <w:p>
            <w:pPr>
              <w:spacing w:after="0"/>
              <w:rPr>
                <w:sz w:val="16"/>
                <w:szCs w:val="16"/>
                <w:color w:val="auto"/>
              </w:rPr>
            </w:pPr>
          </w:p>
        </w:tc>
        <w:tc>
          <w:tcPr>
            <w:tcW w:w="3400" w:type="dxa"/>
            <w:vAlign w:val="bottom"/>
          </w:tcPr>
          <w:p>
            <w:pPr>
              <w:jc w:val="center"/>
              <w:ind w:right="180"/>
              <w:spacing w:after="0"/>
              <w:rPr>
                <w:sz w:val="20"/>
                <w:szCs w:val="20"/>
                <w:color w:val="auto"/>
              </w:rPr>
            </w:pPr>
            <w:r>
              <w:rPr>
                <w:rFonts w:ascii="Arial" w:cs="Arial" w:eastAsia="Arial" w:hAnsi="Arial"/>
                <w:sz w:val="14"/>
                <w:szCs w:val="14"/>
                <w:b w:val="1"/>
                <w:bCs w:val="1"/>
                <w:color w:val="auto"/>
                <w:w w:val="91"/>
              </w:rPr>
              <w:t>Comprehensive Income (Loss)</w:t>
            </w:r>
          </w:p>
        </w:tc>
        <w:tc>
          <w:tcPr>
            <w:tcW w:w="220" w:type="dxa"/>
            <w:vAlign w:val="bottom"/>
          </w:tcPr>
          <w:p>
            <w:pPr>
              <w:spacing w:after="0"/>
              <w:rPr>
                <w:sz w:val="16"/>
                <w:szCs w:val="16"/>
                <w:color w:val="auto"/>
              </w:rPr>
            </w:pPr>
          </w:p>
        </w:tc>
        <w:tc>
          <w:tcPr>
            <w:tcW w:w="3620" w:type="dxa"/>
            <w:vAlign w:val="bottom"/>
          </w:tcPr>
          <w:p>
            <w:pPr>
              <w:jc w:val="center"/>
              <w:spacing w:after="0"/>
              <w:rPr>
                <w:sz w:val="20"/>
                <w:szCs w:val="20"/>
                <w:color w:val="auto"/>
              </w:rPr>
            </w:pPr>
            <w:r>
              <w:rPr>
                <w:rFonts w:ascii="Arial" w:cs="Arial" w:eastAsia="Arial" w:hAnsi="Arial"/>
                <w:sz w:val="14"/>
                <w:szCs w:val="14"/>
                <w:b w:val="1"/>
                <w:bCs w:val="1"/>
                <w:color w:val="auto"/>
                <w:w w:val="88"/>
              </w:rPr>
              <w:t>(Loss) is Presented</w:t>
            </w:r>
          </w:p>
        </w:tc>
      </w:tr>
      <w:tr>
        <w:trPr>
          <w:trHeight w:val="264"/>
        </w:trPr>
        <w:tc>
          <w:tcPr>
            <w:tcW w:w="20" w:type="dxa"/>
            <w:vAlign w:val="bottom"/>
            <w:tcBorders>
              <w:top w:val="single" w:sz="8" w:color="auto"/>
            </w:tcBorders>
          </w:tcPr>
          <w:p>
            <w:pPr>
              <w:spacing w:after="0"/>
              <w:rPr>
                <w:sz w:val="22"/>
                <w:szCs w:val="22"/>
                <w:color w:val="auto"/>
              </w:rPr>
            </w:pPr>
          </w:p>
        </w:tc>
        <w:tc>
          <w:tcPr>
            <w:tcW w:w="27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400" w:type="dxa"/>
            <w:vAlign w:val="bottom"/>
            <w:tcBorders>
              <w:top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22"/>
                <w:szCs w:val="22"/>
                <w:color w:val="auto"/>
              </w:rPr>
            </w:pPr>
          </w:p>
        </w:tc>
        <w:tc>
          <w:tcPr>
            <w:tcW w:w="3620" w:type="dxa"/>
            <w:vAlign w:val="bottom"/>
            <w:tcBorders>
              <w:top w:val="single" w:sz="8" w:color="auto"/>
            </w:tcBorders>
          </w:tcPr>
          <w:p>
            <w:pPr>
              <w:spacing w:after="0"/>
              <w:rPr>
                <w:sz w:val="22"/>
                <w:szCs w:val="22"/>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7"/>
              </w:rPr>
              <w:t>Gains and losses on cash flow hedges</w:t>
            </w:r>
          </w:p>
        </w:tc>
        <w:tc>
          <w:tcPr>
            <w:tcW w:w="1140" w:type="dxa"/>
            <w:vAlign w:val="bottom"/>
            <w:tcBorders>
              <w:bottom w:val="single" w:sz="8" w:color="CCEEFF"/>
            </w:tcBorders>
            <w:gridSpan w:val="2"/>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34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3860" w:type="dxa"/>
            <w:vAlign w:val="bottom"/>
            <w:gridSpan w:val="3"/>
          </w:tcPr>
          <w:p>
            <w:pPr>
              <w:spacing w:after="0"/>
              <w:rPr>
                <w:sz w:val="20"/>
                <w:szCs w:val="20"/>
                <w:color w:val="auto"/>
              </w:rPr>
            </w:pPr>
            <w:r>
              <w:rPr>
                <w:rFonts w:ascii="Arial" w:cs="Arial" w:eastAsia="Arial" w:hAnsi="Arial"/>
                <w:sz w:val="18"/>
                <w:szCs w:val="18"/>
                <w:color w:val="auto"/>
              </w:rPr>
              <w:t>Interest rate swap</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Pr>
          <w:p>
            <w:pPr>
              <w:spacing w:after="0"/>
              <w:rPr>
                <w:sz w:val="21"/>
                <w:szCs w:val="21"/>
                <w:color w:val="auto"/>
              </w:rPr>
            </w:pPr>
          </w:p>
        </w:tc>
        <w:tc>
          <w:tcPr>
            <w:tcW w:w="3620" w:type="dxa"/>
            <w:vAlign w:val="bottom"/>
          </w:tcPr>
          <w:p>
            <w:pPr>
              <w:ind w:left="20"/>
              <w:spacing w:after="0"/>
              <w:rPr>
                <w:sz w:val="20"/>
                <w:szCs w:val="20"/>
                <w:color w:val="auto"/>
              </w:rPr>
            </w:pPr>
            <w:r>
              <w:rPr>
                <w:rFonts w:ascii="Arial" w:cs="Arial" w:eastAsia="Arial" w:hAnsi="Arial"/>
                <w:sz w:val="18"/>
                <w:szCs w:val="18"/>
                <w:color w:val="auto"/>
              </w:rPr>
              <w:t>Interest (expense)</w:t>
            </w: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20" w:type="dxa"/>
            <w:vAlign w:val="bottom"/>
          </w:tcPr>
          <w:p>
            <w:pPr>
              <w:spacing w:after="0"/>
              <w:rPr>
                <w:sz w:val="2"/>
                <w:szCs w:val="2"/>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3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CCEEFF"/>
            </w:tcBorders>
            <w:shd w:val="clear" w:color="auto" w:fill="CCEEFF"/>
          </w:tcPr>
          <w:p>
            <w:pPr>
              <w:spacing w:after="0"/>
              <w:rPr>
                <w:sz w:val="23"/>
                <w:szCs w:val="23"/>
                <w:color w:val="auto"/>
              </w:rPr>
            </w:pPr>
          </w:p>
        </w:tc>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 or benefit</w:t>
            </w:r>
          </w:p>
        </w:tc>
      </w:tr>
      <w:tr>
        <w:trPr>
          <w:trHeight w:val="297"/>
        </w:trPr>
        <w:tc>
          <w:tcPr>
            <w:tcW w:w="20" w:type="dxa"/>
            <w:vAlign w:val="bottom"/>
            <w:tcBorders>
              <w:bottom w:val="single" w:sz="8" w:color="CCEEFF"/>
            </w:tcBorders>
          </w:tcPr>
          <w:p>
            <w:pPr>
              <w:spacing w:after="0"/>
              <w:rPr>
                <w:sz w:val="24"/>
                <w:szCs w:val="24"/>
                <w:color w:val="auto"/>
              </w:rPr>
            </w:pPr>
          </w:p>
        </w:tc>
        <w:tc>
          <w:tcPr>
            <w:tcW w:w="272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220" w:type="dxa"/>
            <w:vAlign w:val="bottom"/>
            <w:tcBorders>
              <w:bottom w:val="single" w:sz="8" w:color="CCEEFF"/>
            </w:tcBorders>
          </w:tcPr>
          <w:p>
            <w:pPr>
              <w:spacing w:after="0"/>
              <w:rPr>
                <w:sz w:val="24"/>
                <w:szCs w:val="24"/>
                <w:color w:val="auto"/>
              </w:rPr>
            </w:pPr>
          </w:p>
        </w:tc>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of tax</w:t>
            </w:r>
          </w:p>
        </w:tc>
      </w:tr>
      <w:tr>
        <w:trPr>
          <w:trHeight w:val="311"/>
        </w:trPr>
        <w:tc>
          <w:tcPr>
            <w:tcW w:w="20" w:type="dxa"/>
            <w:vAlign w:val="bottom"/>
            <w:shd w:val="clear" w:color="auto" w:fill="CCEEFF"/>
          </w:tcPr>
          <w:p>
            <w:pPr>
              <w:spacing w:after="0"/>
              <w:rPr>
                <w:sz w:val="24"/>
                <w:szCs w:val="24"/>
                <w:color w:val="auto"/>
              </w:rPr>
            </w:pPr>
          </w:p>
        </w:tc>
        <w:tc>
          <w:tcPr>
            <w:tcW w:w="27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34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62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AND GEOGRAPHIC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first quarter of 2015, the Company began to disclose three global reportable segments as a result of changes in how the Company internally manages and reports the results of its businesses to its chief operating decision maker. On July 1, 2015, the Company completed the separation of its spine business, which was a reportable segment. See Note 2 -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additional information. Following the separation, the Company is disclosing two reportable segments. The two reportable segments and their activities are described below:</w:t>
      </w:r>
    </w:p>
    <w:p>
      <w:pPr>
        <w:spacing w:after="0" w:line="241" w:lineRule="exact"/>
        <w:rPr>
          <w:sz w:val="20"/>
          <w:szCs w:val="20"/>
          <w:color w:val="auto"/>
        </w:rPr>
      </w:pPr>
    </w:p>
    <w:p>
      <w:pPr>
        <w:jc w:val="both"/>
        <w:ind w:left="660" w:hanging="328"/>
        <w:spacing w:after="0" w:line="259"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Specialty Surgical Solutions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60,000 instrument patterns and surgical and lighting products to hospitals, surgery centers, and dental, podiatry, and veterinary offices.</w:t>
      </w:r>
    </w:p>
    <w:p>
      <w:pPr>
        <w:spacing w:after="0" w:line="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most notable change from the Company's financial statements for the year ended December 31, 2014 included in the Annual Report on Form 10-K is the integration of the former International reportable segment into the segments noted above as well as certain products from the Private Label segment into Orthopedics and Tissue Technologies and Spine. The Spine Private Label products were included in the separation of the spine business.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Corporate and other category includes (i) various legal, finance, information systems, executive, and human resource functions, (ii) brand management, and (iii) share-based compensation costs. Prior to the realignment, costs related to procurement, manufacturing operations and logistics for the Company's entire organization were not allocated to operating segments. In connection with the realignment, a portion of these costs have now been incorporated into the disclosed operating segments.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three and nine months ended September 30, 2015 and 2014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64"/>
        </w:trPr>
        <w:tc>
          <w:tcPr>
            <w:tcW w:w="448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gridSpan w:val="4"/>
          </w:tcPr>
          <w:p>
            <w:pPr>
              <w:jc w:val="right"/>
              <w:ind w:right="67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04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90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86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Specialty Surgical Solutions</w:t>
            </w:r>
          </w:p>
        </w:tc>
        <w:tc>
          <w:tcPr>
            <w:tcW w:w="23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147,085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137,494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433,834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402,210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204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79,282</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60,029</w:t>
            </w:r>
          </w:p>
        </w:tc>
        <w:tc>
          <w:tcPr>
            <w:tcW w:w="10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207,740</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175,433</w:t>
            </w:r>
          </w:p>
        </w:tc>
        <w:tc>
          <w:tcPr>
            <w:tcW w:w="0" w:type="dxa"/>
            <w:vAlign w:val="bottom"/>
          </w:tcPr>
          <w:p>
            <w:pPr>
              <w:spacing w:after="0"/>
              <w:rPr>
                <w:sz w:val="1"/>
                <w:szCs w:val="1"/>
                <w:color w:val="auto"/>
              </w:rPr>
            </w:pPr>
          </w:p>
        </w:tc>
      </w:tr>
      <w:tr>
        <w:trPr>
          <w:trHeight w:val="237"/>
        </w:trPr>
        <w:tc>
          <w:tcPr>
            <w:tcW w:w="44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040" w:type="dxa"/>
            <w:vAlign w:val="bottom"/>
          </w:tcPr>
          <w:p>
            <w:pPr>
              <w:spacing w:after="0"/>
              <w:rPr>
                <w:sz w:val="20"/>
                <w:szCs w:val="20"/>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226,367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197,523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641,574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577,643</w:t>
            </w:r>
          </w:p>
        </w:tc>
        <w:tc>
          <w:tcPr>
            <w:tcW w:w="0" w:type="dxa"/>
            <w:vAlign w:val="bottom"/>
          </w:tcPr>
          <w:p>
            <w:pPr>
              <w:spacing w:after="0"/>
              <w:rPr>
                <w:sz w:val="1"/>
                <w:szCs w:val="1"/>
                <w:color w:val="auto"/>
              </w:rPr>
            </w:pPr>
          </w:p>
        </w:tc>
      </w:tr>
      <w:tr>
        <w:trPr>
          <w:trHeight w:val="67"/>
        </w:trPr>
        <w:tc>
          <w:tcPr>
            <w:tcW w:w="4480" w:type="dxa"/>
            <w:vAlign w:val="bottom"/>
            <w:tcBorders>
              <w:bottom w:val="single" w:sz="8" w:color="BFE4FF"/>
            </w:tcBorders>
          </w:tcPr>
          <w:p>
            <w:pPr>
              <w:spacing w:after="0"/>
              <w:rPr>
                <w:sz w:val="5"/>
                <w:szCs w:val="5"/>
                <w:color w:val="auto"/>
              </w:rPr>
            </w:pPr>
          </w:p>
        </w:tc>
        <w:tc>
          <w:tcPr>
            <w:tcW w:w="2040" w:type="dxa"/>
            <w:vAlign w:val="bottom"/>
            <w:tcBorders>
              <w:bottom w:val="single" w:sz="8" w:color="BFE4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480" w:type="dxa"/>
            <w:vAlign w:val="bottom"/>
            <w:tcBorders>
              <w:bottom w:val="single" w:sz="8" w:color="BFE4FF"/>
            </w:tcBorders>
            <w:shd w:val="clear" w:color="auto" w:fill="BFE4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2040" w:type="dxa"/>
            <w:vAlign w:val="bottom"/>
            <w:tcBorders>
              <w:bottom w:val="single" w:sz="8" w:color="BFE4FF"/>
            </w:tcBorders>
            <w:shd w:val="clear" w:color="auto" w:fill="BFE4FF"/>
          </w:tcPr>
          <w:p>
            <w:pPr>
              <w:spacing w:after="0"/>
              <w:rPr>
                <w:sz w:val="20"/>
                <w:szCs w:val="20"/>
                <w:color w:val="auto"/>
              </w:rPr>
            </w:pPr>
          </w:p>
        </w:tc>
        <w:tc>
          <w:tcPr>
            <w:tcW w:w="280" w:type="dxa"/>
            <w:vAlign w:val="bottom"/>
            <w:tcBorders>
              <w:bottom w:val="single" w:sz="8" w:color="BFE4FF"/>
            </w:tcBorders>
            <w:shd w:val="clear" w:color="auto" w:fill="BFE4FF"/>
          </w:tcPr>
          <w:p>
            <w:pPr>
              <w:spacing w:after="0"/>
              <w:rPr>
                <w:sz w:val="20"/>
                <w:szCs w:val="20"/>
                <w:color w:val="auto"/>
              </w:rPr>
            </w:pPr>
          </w:p>
        </w:tc>
        <w:tc>
          <w:tcPr>
            <w:tcW w:w="90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80" w:type="dxa"/>
            <w:vAlign w:val="bottom"/>
            <w:tcBorders>
              <w:bottom w:val="single" w:sz="8" w:color="BFE4FF"/>
            </w:tcBorders>
            <w:shd w:val="clear" w:color="auto" w:fill="BFE4FF"/>
          </w:tcPr>
          <w:p>
            <w:pPr>
              <w:spacing w:after="0"/>
              <w:rPr>
                <w:sz w:val="20"/>
                <w:szCs w:val="20"/>
                <w:color w:val="auto"/>
              </w:rPr>
            </w:pPr>
          </w:p>
        </w:tc>
        <w:tc>
          <w:tcPr>
            <w:tcW w:w="8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Specialty Surgical Solutions</w:t>
            </w:r>
          </w:p>
        </w:tc>
        <w:tc>
          <w:tcPr>
            <w:tcW w:w="2320" w:type="dxa"/>
            <w:vAlign w:val="bottom"/>
            <w:gridSpan w:val="2"/>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61,017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54,406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183,674</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151,694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204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9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20,072</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20,812</w:t>
            </w:r>
          </w:p>
        </w:tc>
        <w:tc>
          <w:tcPr>
            <w:tcW w:w="10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59,095</w:t>
            </w:r>
          </w:p>
        </w:tc>
        <w:tc>
          <w:tcPr>
            <w:tcW w:w="100" w:type="dxa"/>
            <w:vAlign w:val="bottom"/>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59,354</w:t>
            </w:r>
          </w:p>
        </w:tc>
        <w:tc>
          <w:tcPr>
            <w:tcW w:w="0" w:type="dxa"/>
            <w:vAlign w:val="bottom"/>
          </w:tcPr>
          <w:p>
            <w:pPr>
              <w:spacing w:after="0"/>
              <w:rPr>
                <w:sz w:val="1"/>
                <w:szCs w:val="1"/>
                <w:color w:val="auto"/>
              </w:rPr>
            </w:pPr>
          </w:p>
        </w:tc>
      </w:tr>
      <w:tr>
        <w:trPr>
          <w:trHeight w:val="237"/>
        </w:trPr>
        <w:tc>
          <w:tcPr>
            <w:tcW w:w="448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0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81,089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75,218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242,769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211,048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Amortization</w:t>
            </w:r>
          </w:p>
        </w:tc>
        <w:tc>
          <w:tcPr>
            <w:tcW w:w="204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9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(2,942)</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(6,418)</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(68,153)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(56,513)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(180,772)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(167,933)</w:t>
            </w:r>
          </w:p>
        </w:tc>
        <w:tc>
          <w:tcPr>
            <w:tcW w:w="0" w:type="dxa"/>
            <w:vAlign w:val="bottom"/>
          </w:tcPr>
          <w:p>
            <w:pPr>
              <w:spacing w:after="0"/>
              <w:rPr>
                <w:sz w:val="1"/>
                <w:szCs w:val="1"/>
                <w:color w:val="auto"/>
              </w:rPr>
            </w:pPr>
          </w:p>
        </w:tc>
      </w:tr>
      <w:tr>
        <w:trPr>
          <w:trHeight w:val="27"/>
        </w:trPr>
        <w:tc>
          <w:tcPr>
            <w:tcW w:w="4480" w:type="dxa"/>
            <w:vAlign w:val="bottom"/>
            <w:tcBorders>
              <w:bottom w:val="single" w:sz="8" w:color="BFE4FF"/>
            </w:tcBorders>
          </w:tcPr>
          <w:p>
            <w:pPr>
              <w:spacing w:after="0"/>
              <w:rPr>
                <w:sz w:val="2"/>
                <w:szCs w:val="2"/>
                <w:color w:val="auto"/>
              </w:rPr>
            </w:pPr>
          </w:p>
        </w:tc>
        <w:tc>
          <w:tcPr>
            <w:tcW w:w="204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4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income from continuing operations</w:t>
            </w:r>
          </w:p>
        </w:tc>
        <w:tc>
          <w:tcPr>
            <w:tcW w:w="2320" w:type="dxa"/>
            <w:vAlign w:val="bottom"/>
            <w:tcBorders>
              <w:bottom w:val="single" w:sz="8" w:color="BFE4FF"/>
            </w:tcBorders>
            <w:gridSpan w:val="2"/>
            <w:shd w:val="clear" w:color="auto" w:fill="BFE4FF"/>
          </w:tcPr>
          <w:p>
            <w:pPr>
              <w:jc w:val="right"/>
              <w:ind w:right="79"/>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BFE4FF"/>
            </w:tcBorders>
            <w:shd w:val="clear" w:color="auto" w:fill="BFE4FF"/>
          </w:tcPr>
          <w:p>
            <w:pPr>
              <w:jc w:val="right"/>
              <w:ind w:right="32"/>
              <w:spacing w:after="0"/>
              <w:rPr>
                <w:sz w:val="20"/>
                <w:szCs w:val="20"/>
                <w:color w:val="auto"/>
              </w:rPr>
            </w:pPr>
            <w:r>
              <w:rPr>
                <w:rFonts w:ascii="Arial" w:cs="Arial" w:eastAsia="Arial" w:hAnsi="Arial"/>
                <w:sz w:val="18"/>
                <w:szCs w:val="18"/>
                <w:color w:val="auto"/>
              </w:rPr>
              <w:t>9,994</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17,107</w:t>
            </w:r>
          </w:p>
        </w:tc>
        <w:tc>
          <w:tcPr>
            <w:tcW w:w="10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33"/>
              <w:spacing w:after="0"/>
              <w:rPr>
                <w:sz w:val="20"/>
                <w:szCs w:val="20"/>
                <w:color w:val="auto"/>
              </w:rPr>
            </w:pPr>
            <w:r>
              <w:rPr>
                <w:rFonts w:ascii="Arial" w:cs="Arial" w:eastAsia="Arial" w:hAnsi="Arial"/>
                <w:sz w:val="18"/>
                <w:szCs w:val="18"/>
                <w:color w:val="auto"/>
              </w:rPr>
              <w:t>55,579</w:t>
            </w:r>
          </w:p>
        </w:tc>
        <w:tc>
          <w:tcPr>
            <w:tcW w:w="360" w:type="dxa"/>
            <w:vAlign w:val="bottom"/>
            <w:tcBorders>
              <w:bottom w:val="single" w:sz="8" w:color="BFE4FF"/>
            </w:tcBorders>
            <w:gridSpan w:val="2"/>
            <w:shd w:val="clear" w:color="auto" w:fill="BFE4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38,276</w:t>
            </w:r>
          </w:p>
        </w:tc>
        <w:tc>
          <w:tcPr>
            <w:tcW w:w="0" w:type="dxa"/>
            <w:vAlign w:val="bottom"/>
          </w:tcPr>
          <w:p>
            <w:pPr>
              <w:spacing w:after="0"/>
              <w:rPr>
                <w:sz w:val="1"/>
                <w:szCs w:val="1"/>
                <w:color w:val="auto"/>
              </w:rPr>
            </w:pPr>
          </w:p>
        </w:tc>
      </w:tr>
      <w:tr>
        <w:trPr>
          <w:trHeight w:val="20"/>
        </w:trPr>
        <w:tc>
          <w:tcPr>
            <w:tcW w:w="4480" w:type="dxa"/>
            <w:vAlign w:val="bottom"/>
            <w:tcBorders>
              <w:top w:val="single" w:sz="8" w:color="BFE4FF"/>
            </w:tcBorders>
          </w:tcPr>
          <w:p>
            <w:pPr>
              <w:spacing w:after="0" w:line="20" w:lineRule="exact"/>
              <w:rPr>
                <w:sz w:val="1"/>
                <w:szCs w:val="1"/>
                <w:color w:val="auto"/>
              </w:rPr>
            </w:pPr>
          </w:p>
        </w:tc>
        <w:tc>
          <w:tcPr>
            <w:tcW w:w="2040" w:type="dxa"/>
            <w:vAlign w:val="bottom"/>
            <w:tcBorders>
              <w:top w:val="single" w:sz="8" w:color="BFE4FF"/>
              <w:bottom w:val="single" w:sz="8" w:color="BFE4FF"/>
            </w:tcBorders>
            <w:vMerge w:val="restart"/>
          </w:tcPr>
          <w:p>
            <w:pPr>
              <w:jc w:val="right"/>
              <w:ind w:right="630"/>
              <w:spacing w:after="0"/>
              <w:rPr>
                <w:sz w:val="20"/>
                <w:szCs w:val="20"/>
                <w:color w:val="auto"/>
              </w:rPr>
            </w:pPr>
            <w:r>
              <w:rPr>
                <w:rFonts w:ascii="Arial" w:cs="Arial" w:eastAsia="Arial" w:hAnsi="Arial"/>
                <w:sz w:val="18"/>
                <w:szCs w:val="18"/>
                <w:color w:val="auto"/>
              </w:rPr>
              <w:t>26</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8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178,290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150,867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493,559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433,865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24,275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22,369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75,046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70,207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24,287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72,969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73,571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226,367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197,523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641,574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577,643</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RETIREMENT BENEFIT PLANS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Defined Benefit Plans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maintains a defined benefit pension plan that covers employees in its manufacturing plant located in Andover, United Kingdom (the “UK Plan”). In March 2011, the Company froze the benefits due to the participants of the UK Plan in their entirety, and in 2015, the Company began the process of investigating the viability of buying-out the UK Plan. The purpose of the buy-out was to substantially reduce the administrative costs of maintaining the UK Plan, indemnify the Company from future claims and transfer all remaining obligations of the UK Plan to a highly-rated independent financial services firm in the UK where it will be maintained and managed. In September 2015, the Company completed the UK Plan buy-out and transferred all of the UK Plan assets to an independent financial services firm and also made cash contributions of approximately $1.8 million during the quarter. The impact to the Company’s condensed consolidated statement of operations for the three and nine months ended September 30, 2015 was to record expenses totaling approximately $5.6 million in selling, general and administrative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TEI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w:t>
      </w:r>
    </w:p>
    <w:p>
      <w:pPr>
        <w:spacing w:after="0" w:line="1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3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Acquisition of the United States rights to certain Tornier N.V Product Portfolios</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 2015, the Company announced that it had completed the acquisition of the United States rights to Tornier's Salto Talaris® and Salto Talaris® XT ankle replacement products and Tornier's FuturaTM silastic toe replacement products for a cash purchase price of approximately $6.0 million. Under the agreement, Integra has acquired the U.S. rights to the Salto Talaris® Total Ankle Prosthesis, Salto Talaris® XT Revision Total Ankle Prosthesis, Futura™ Primus Flexible Great Toe system, Futura™ Classic Flexible Great Toe system, and Futura™ Lesser Metatarsal Phalangeal system. The agreement also includes an option to purchase, in the future, the rights to the Salto Talaris®, Salto Talaris® XT, Salto Mobile, and Futura™ silastic toe replacement products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2014 included in our Annual Report on Form 10-K.</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under the heading “Risk Factors” in our Annual Report on Form 10-K for the year ended December 31, 2014 and under the heading "Risk Factors"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Integra is a world leader in medical technology focused on limiting uncertainty for surgeons so that they can concentrate on providing the best patient care.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Integra offers innovative solutions in orthopedic extremity surgery, neurosurgery, and reconstructive and general surgery.</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the first quarter of 2015, we changed how we manage the business and we began reporting our financial results under three global reportable segments. On July 1, 2015, the Company completed the separation of its spine business. See Note 2 - </w:t>
      </w:r>
      <w:r>
        <w:rPr>
          <w:rFonts w:ascii="Arial" w:cs="Arial" w:eastAsia="Arial" w:hAnsi="Arial"/>
          <w:sz w:val="18"/>
          <w:szCs w:val="18"/>
          <w:i w:val="1"/>
          <w:iCs w:val="1"/>
          <w:color w:val="auto"/>
        </w:rPr>
        <w:t>Discontinued Operations</w:t>
      </w:r>
      <w:r>
        <w:rPr>
          <w:rFonts w:ascii="Arial" w:cs="Arial" w:eastAsia="Arial" w:hAnsi="Arial"/>
          <w:sz w:val="18"/>
          <w:szCs w:val="18"/>
          <w:color w:val="auto"/>
        </w:rPr>
        <w:t xml:space="preserve"> for additional information. Following the separation, we report our financial results under two global reportable segments - Specialty Surgical Solutions and Orthopedics and Tissue Technologies. Refer to Note 13 - </w:t>
      </w:r>
      <w:r>
        <w:rPr>
          <w:rFonts w:ascii="Arial" w:cs="Arial" w:eastAsia="Arial" w:hAnsi="Arial"/>
          <w:sz w:val="18"/>
          <w:szCs w:val="18"/>
          <w:i w:val="1"/>
          <w:iCs w:val="1"/>
          <w:color w:val="auto"/>
        </w:rPr>
        <w:t>Segment and Geographic Information</w:t>
      </w:r>
      <w:r>
        <w:rPr>
          <w:rFonts w:ascii="Arial" w:cs="Arial" w:eastAsia="Arial" w:hAnsi="Arial"/>
          <w:sz w:val="18"/>
          <w:szCs w:val="18"/>
          <w:color w:val="auto"/>
        </w:rPr>
        <w:t xml:space="preserve"> for more information.</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Specialty Surgical Solutions segment includes, among other things, dural grafts and dural sealants which are indicated for the repair of the dura mater, ultrasonic surgery systems for tissue ablation, monitoring systems for neuro critical care, cranial stabilization and retraction systems, and a wide range of specialty and general surgical and dental instruments and surgical lighting for sale to hospitals, outpatient surgery centers, and physician and other specialty practices. Our Orthopedics and Tissue Technologies segment includes specialty metal implants for surgery of the upper and lower extremities, regenerative technology products for wound, nerve and tendon repair and reconstruction of soft tissues.</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manufacture many of our products in plants located in the United States, Puerto Rico, France, Germany, Ireland, and Mexico. We also source most of our handheld surgical instruments and specialty metal and pyrocarbon implants through specialized third-party vendors.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products in each reportable segment are sold through a combination of a direct sales organization and distributors.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aspire to be a multi-billion dollar diversified global medical technology company that helps patients by limiting uncertainty for medical professionals, and is a high quality investment for shareholders. We will achieve these goals by delivering on our Brand Promises to our customers worldwide and by becoming a top player in all markets in which we compete.</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strategy is built around three pillars - optimize, execute and accelerate growth. These three pillars support our strategic initiatives to optimize our infrastructure, to deliver on our commitments through improved planning and communication, and to grow by introducing new products to the market through internal development, expanding geographically, and strategic acquisitions.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Offering</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August 2015, we commenced and closed on a public offering of our common stock. The total proceeds, net of underwriting fees, were approximately $219.9 million. The offering was used in part to fund the acquisition of TEI.</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 Biosciences, Inc. and TEI Medical, Inc.</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we executed the two merger agreements (collectively, the "Agreements") under which we acquired TEI Biosciences, Inc., a Delaware corporation ("TEI Bio"), and TEI Medical Inc., a Delaware corporation ("TEI Med"). Under the terms of the Agreements, we paid $312.4 million ($210.4 million for TEI Bio and $102.0 million for TEI Med) subject in each case to purchase price adjustments for certain working capital changes. The purchase price consists of a cash payment to the former shareholders of TEI Bio and TEI Med of approximately $312.4 million upon the closing of the transaction, net of $1.2 million of acquired cash.</w:t>
      </w:r>
    </w:p>
    <w:p>
      <w:pPr>
        <w:spacing w:after="0" w:line="13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Metasurg</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2014, we acquired certain assets of Koby Ventures II, L.P. dba Metasurg ("Metasurg") for an aggregate purchase price of $27.6 million. The purchase price consists of an initial cash payment to Metasurg of $26.5 million, a separate purchase price adjustment cash payment of $0.4 million, and contingent consideration with an acquisition date fair value of $0.7 million. The potential maximum undiscounted contingent consideration of $38.5 million is based on reaching certain sales levels for acquired products from April 1, 2015 through June 30, 2016. Metasurg develops intuitive implant systems for the foot and ankle market and sells almost entirely in the U.S. market.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MicroFrance</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2014, we acquired all outstanding shares of Medtronic Xomed Instrumentation, SAS ("MicroFrance") from Medtronic, Inc. ("Medtronic") as well as certain assets of Medtronic for $60.1 million in cash (including working capital and purchase price adjustments of $1.5 million, of which $0.8 million was recorded against goodwill). MicroFrance specializes in manual ear, nose, and throat ("ENT") surgical instruments and designs, manufactures, and sells reusable handheld instruments to ENT and laparoscopy surgical specialists around the world.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Confluent Surgical, Inc.</w:t>
      </w:r>
    </w:p>
    <w:p>
      <w:pPr>
        <w:spacing w:after="0" w:line="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2014, we acquired all outstanding shares of Confluent Surgical, Inc., ("Confluent Surgical") - including its surgical sealant and adhesion barrier product lines - from Covidien Group S.a.r.l, ("Covidien") for an aggregate purchase price of $255.9 million. The purchase price consists of an initial cash payment to Covidien of $231.0 million upon the closing of the transaction, a separate prepayment of $4.0 million made under a transitional supply agreement with an affiliate of Covidien, and contingent consideration with an acquisition date fair value of $20.9 million. The potential maximum undiscounted contingent consideration of $30.0 million consists of $25.0 million upon obtaining certain U.S. governmental approvals and $5.0 million upon obtaining certain European governmental approvals, both related to the completion of the transition of the Confluent Surgical business to us. Confluent Surgical is a developer and supplier of polymer-based biosurgery technology used in surgical sealants and anti-adhesion products.</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transitional supply agreement secures the supply of the acquired products from an affiliate of Covidien until the earlier of (i) the time that the transition of the Confluent Surgical business as discussed above is complete, or (ii) the fifth anniversary of the effective date of the agreement (the agreement also contains an option to extend for another two years by providing written notice at least 180 days prior to the end of the initial five-year period). This agreement contains financial incentives to the affiliate of Covidien for the timely supply of products each fiscal quarter through the third anniversary of the agreement. The prices paid under the supply agreement are essentially flat through the third anniversary of the agreement, and then increase significantly each</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of the following three years. We also entered into a transition services agreement with an affiliate of Covidien at the closing for services such as customer service, accounting and information technology management, clinical and regulatory affairs, manufacturing transition services, and other functions.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This acquisition complements our global neurosurgery growth strategy aimed at providing a broader set of solutions for surgical procedures in the head.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Diabetic Foot Ulcer Clinical Trial</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July 2014, we completed our multicenter clinical trial evaluating the safety and effectiveness of the INTEGRA® Dermal Regeneration Template for the Treatment of Diabetic Foot Ulcers (“DFU”). The data collected formed the foundation for the Premarket Approval Supplement application that we filed with the FDA, which we announced in February 2015. In addition, the results from our Integra DFU clinical trial have been accepted by an important peer-reviewed wound journal. An FDA approval, along with published data, will form the key to securing reimbursement. Assuming FDA approval the Company anticipates commercializing the resulting DFU product in the middle of 2016.</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the Spine Business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November 2014, we announced a plan to spin-off our spine business into a stand-alone public company ("SeaSpine"). On July 1, 2015, we completed the distribution of 100% of the outstanding common shares of SeaSpine to Integra stockholders, who received one share of SeaSpine common stock for every three shares of Integra held as of the close of business on the record date, June 19, 2015. Since the announcement, we incurred separation expenses of approximately $2.2 million in 2014 and $14.8 million in the six months ended June 30, 2015. Separation costs includes all incremental expenses incurred by Integra in order to effect the separation and the cost of all new employees recruited to operate the two separate companies. The separation costs through June 30, 2015 are reported within the discontinued operations. For the three months ending September 30, 2015, we incurred $3.4 million of separation costs relating to adjustment to the Company’s stock-based compensation (Refer to Note 8 Stock-Based Compensation for additional information ) and professional fees that will be reported as part of continuing operations.</w:t>
      </w:r>
    </w:p>
    <w:p>
      <w:pPr>
        <w:spacing w:after="0" w:line="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indicated otherwise, the information in the management discussion and analysis of financial condition and results of operations relates to the Company’s continuing operations. Further information regarding the SeaSpine separation and discontinued operations reporting may be found in Note 2 - Discontinued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(loss) for the three months ended September 30, 2015, was $(31.9) million, or $(0.90) per diluted share as compared to $9.0 million or $0.27 per diluted share for the three months ended September 30, 2014.</w:t>
      </w:r>
    </w:p>
    <w:p>
      <w:pPr>
        <w:spacing w:after="0" w:line="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(loss) for the nine months ended September 30, 2015 was $(8.1) million or $(0.24) per diluted share as compared to $15.9 million or $0.48 per diluted share for the nine months ended September 30, 2014.</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decrease in net income for the nine months ended September 30, 2015 over the same period last year resulted primarily from the $35.6 million of expense relating to a tax valuation allowance recorded as a result of the spin-off of the spine business. The Company determined that upon spin-off, the deferred tax assets of the spine business would be unrealizable as a stand-alone company. This expense was partially offset by the inclusion of the MicroFrance, Metasurg and TEI operations as well as strong growth in our dural repair and regenerative technology franchises.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4,468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11,891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17,876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Structural optimization charges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13,965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9,203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Manufacturing facility remediation costs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Certain employee severance charges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3,619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1,291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8,229</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product lines charges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Acquisition-related charges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5,061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2,378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7,315</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Spine spin-off charges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debt non-cash interest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5,828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5,256</w:t>
            </w:r>
          </w:p>
        </w:tc>
      </w:tr>
      <w:tr>
        <w:trPr>
          <w:trHeight w:val="237"/>
        </w:trPr>
        <w:tc>
          <w:tcPr>
            <w:tcW w:w="6520" w:type="dxa"/>
            <w:vAlign w:val="bottom"/>
          </w:tcPr>
          <w:p>
            <w:pPr>
              <w:ind w:left="1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23,566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17,384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47,820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49,984</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4,705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11,076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11,497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500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10,352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32,731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Intangible asset amortization</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from Continuing operations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23,566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17,384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49,984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In 2010, we began investing significant resources in the global implementation of a single enterprise resource planning ("ERP") system. We began capitalizing certain costs for the project starting in 2011 and continued to do so during the nine months ended September 30, 2015. We placed the ERP in service across a number of U.S. sites in May of 2014, and at that time, we began depreciating the capitalized costs associated with that part of the implementation. We expect the additional capital and integration expenses associated with our ERP system to decrease as we continue to progress in our ERP implementation over the next several years.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the business model objectives that management has established, and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an outstanding FDA warning letter related to TEI Biosciences Inc., a recent acquisition by Integra on July 17, 2015. TEI Biosciences Inc. received a Warning Letter from the FDA dated May 29, 2015 for promoting the product SurgiMend for breast surgery applications that were not cleared in the 510(k) process and do not have a PMA Approval for the indication. The FDA requested that TEI Biosciences Inc. immediately cease all activities that resulted in misbranding or adulteration of the product in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commercial distribution. The FDA also required TEI Biosciences Inc. to cease all violations regarding promotion of the product for an indication that it was not cleared or approved. TEI Biosciences Inc. responded with a corrective action plan to the FDA. We will continue to monitor this activity and address all corrective actions submitted to the FDA. The FDA may not accept our corrective action plan or it may choose to scrutinize other promotional claims on products and require additional corrective actions. We do not expect to incur material operating expenses to complete the corrective action plan.</w:t>
      </w:r>
    </w:p>
    <w:p>
      <w:pPr>
        <w:spacing w:after="0" w:line="1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remediation expenses incurred in the three and nine months ended September 30, 2015 and an insignificant amount of expenses were incurred in the three and nine months ended September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8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3"/>
        </w:trPr>
        <w:tc>
          <w:tcPr>
            <w:tcW w:w="626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1"/>
        </w:trPr>
        <w:tc>
          <w:tcPr>
            <w:tcW w:w="62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1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60" w:type="dxa"/>
            <w:vAlign w:val="bottom"/>
            <w:gridSpan w:val="5"/>
          </w:tcPr>
          <w:p>
            <w:pPr>
              <w:ind w:left="340"/>
              <w:spacing w:after="0"/>
              <w:rPr>
                <w:sz w:val="20"/>
                <w:szCs w:val="20"/>
                <w:color w:val="auto"/>
              </w:rPr>
            </w:pPr>
            <w:r>
              <w:rPr>
                <w:rFonts w:ascii="Arial" w:cs="Arial" w:eastAsia="Arial" w:hAnsi="Arial"/>
                <w:sz w:val="14"/>
                <w:szCs w:val="14"/>
                <w:b w:val="1"/>
                <w:bCs w:val="1"/>
                <w:color w:val="auto"/>
              </w:rPr>
              <w:t>(Dollars in thousands)</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Surgical Solutions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147,085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137,494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433,834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402,210</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Orthopedics &amp; Tissue Technologies</w:t>
            </w:r>
          </w:p>
        </w:tc>
        <w:tc>
          <w:tcPr>
            <w:tcW w:w="1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79,282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60,029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207,740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175,433</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226,367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197,523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641,574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577,643</w:t>
            </w:r>
          </w:p>
        </w:tc>
        <w:tc>
          <w:tcPr>
            <w:tcW w:w="0" w:type="dxa"/>
            <w:vAlign w:val="bottom"/>
          </w:tcPr>
          <w:p>
            <w:pPr>
              <w:spacing w:after="0"/>
              <w:rPr>
                <w:sz w:val="1"/>
                <w:szCs w:val="1"/>
                <w:color w:val="auto"/>
              </w:rPr>
            </w:pPr>
          </w:p>
        </w:tc>
      </w:tr>
      <w:tr>
        <w:trPr>
          <w:trHeight w:val="243"/>
        </w:trPr>
        <w:tc>
          <w:tcPr>
            <w:tcW w:w="62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Arial" w:cs="Arial" w:eastAsia="Arial" w:hAnsi="Arial"/>
                <w:sz w:val="18"/>
                <w:szCs w:val="18"/>
                <w:color w:val="auto"/>
              </w:rPr>
              <w:t>86,069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Arial" w:cs="Arial" w:eastAsia="Arial" w:hAnsi="Arial"/>
                <w:sz w:val="18"/>
                <w:szCs w:val="18"/>
                <w:color w:val="auto"/>
              </w:rPr>
              <w:t>73,896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236,541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217,922</w:t>
            </w: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on total revenues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140,298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123,627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405,033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359,721</w:t>
            </w: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Gross margin as a percentage of total revenues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2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2014 Segment revenues above have been reclassified in order to conform with the current year's presentation.</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2015 as Compared to Three Months Ended September 30,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2015 total revenues increased by $28.8 million to $226.4 million from $197.5 million for the same period in 2014.</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Specialty Surgical Solutions revenues were $147.1 million, an increase of 7% from the prior-year period. The increase partially resulted from the impact of the MicroFrance product sales arising out of the acquisition, which added $6.7 million in the quarter. Global sales of our dural repair products increased in the low double digits for the quarter. Revenue in our Precision Tools and Instruments business, which includes the former Instruments product portfolio as well as our cranial stabilization and stereotaxy product lines, also increased, particularly in the U.S and Europe. These increased sales were partially offset by a decline in tissue ablation and neuro critical care.</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Orthopedics and Tissue Technologies revenues were $79.3 million, an increase of 32% from the prior-year period. The increase resulted from the impact of the TEI and Metasurg product sales arising out of the acquisitions, which added $15.0 million in the quarter. Non-acquired product growth was led by strong demand in our regenerative technologies franchise as a result of both additional headcount in our sales force and new products, including the Integra Wound Matrix-Thin, Integra Reinforcement Matrix and Integra Wound Matrix-Meshed. Sales growth in our upper extremity franchise also benefited from increasing demand for new products in shoulder. These increased sales were partially offset by a decline in our lower extremities and wrist arthroplasty franchises.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Gross margin increased to $140.3 million for the three-month period ended September 30, 2015 from $123.6 million for the same period last year. Gross margin as a percentage of total revenue decreased to 62.0% for the third quarter of 2015 from 62.6% for the same period last year. The slight decrease in gross margin percentage resulted primarily from our regenerative facility start-up costs partially offset by an increase in sales of higher margin products such as DuraSeal, DuraGen, skin and wound products, and improvements in the utilization of our manufacturing facilities.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consolidated gross margin percentage for the full year 2015 to be between 63.0% and 63.5%. We expect our gross margin will see increases from improved product mix offset by a negative top-line impact on revenues because of the stronger U.S. dollar and corresponding weaknesses in other currencies in which we transact business, particularly the euro, as well as additional costs related to the completion of our regenerative technology manufacturing facility capacity expansion.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379"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gridSpan w:val="2"/>
          </w:tcPr>
          <w:p>
            <w:pPr>
              <w:ind w:left="8740"/>
              <w:spacing w:after="0"/>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2014</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37"/>
        </w:trPr>
        <w:tc>
          <w:tcPr>
            <w:tcW w:w="812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r>
      <w:tr>
        <w:trPr>
          <w:trHeight w:val="27"/>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$23.8 million, or 22%, to $130.3 million in the three months ended September 30, 2015, compared to $106.5 million in the same period last year.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 the third quarter of 2015 increased compared to the same period last year. This increase was due to additional spending on new product development and clinical studies. We expect full-year 2015 spending on research and development to be between 5.5% and 6.0% of total revenues.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Selling, general and administrative expenses in the third quarter of 2015 increased by $19.6 million to $113.4 million compared to $93.8 million in the same period last year. Selling and marketing expenses increased by $10.0 million, primarily resulting from TEI acquisition related expenses, including the addition of approximately 130 sales representatives. General and administrative costs increased $9.7 million primarily due to facility optimization activities and higher transaction related costs both to effectuate the spin-off of our Spine business, and to close the TEI and Salto acquisitions. In addition, we experienced higher incentive compensation costs for the quarter. We expect full year selling, general and administrative expenses to be approximately 46.5% of revenues.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as a percentage of revenues in the third quarter of 2015 increased compared to the same period last year. This was primarily related to the increase in intangibles from the TEI acquisition in July 2015.</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628"/>
              <w:spacing w:after="0"/>
              <w:rPr>
                <w:sz w:val="20"/>
                <w:szCs w:val="20"/>
                <w:color w:val="auto"/>
              </w:rPr>
            </w:pPr>
            <w:r>
              <w:rPr>
                <w:rFonts w:ascii="Arial" w:cs="Arial" w:eastAsia="Arial" w:hAnsi="Arial"/>
                <w:sz w:val="14"/>
                <w:szCs w:val="14"/>
                <w:b w:val="1"/>
                <w:bCs w:val="1"/>
                <w:color w:val="auto"/>
                <w:w w:val="93"/>
              </w:rPr>
              <w:t>Three Months Ended September 30,</w:t>
            </w:r>
          </w:p>
        </w:tc>
        <w:tc>
          <w:tcPr>
            <w:tcW w:w="680" w:type="dxa"/>
            <w:vAlign w:val="bottom"/>
            <w:tcBorders>
              <w:bottom w:val="single" w:sz="8" w:color="auto"/>
            </w:tcBorders>
          </w:tcPr>
          <w:p>
            <w:pPr>
              <w:spacing w:after="0"/>
              <w:rPr>
                <w:sz w:val="16"/>
                <w:szCs w:val="16"/>
                <w:color w:val="auto"/>
              </w:rPr>
            </w:pPr>
          </w:p>
        </w:tc>
      </w:tr>
      <w:tr>
        <w:trPr>
          <w:trHeight w:val="264"/>
        </w:trPr>
        <w:tc>
          <w:tcPr>
            <w:tcW w:w="3840" w:type="dxa"/>
            <w:vAlign w:val="bottom"/>
          </w:tcPr>
          <w:p>
            <w:pPr>
              <w:spacing w:after="0"/>
              <w:rPr>
                <w:sz w:val="22"/>
                <w:szCs w:val="22"/>
                <w:color w:val="auto"/>
              </w:rPr>
            </w:pPr>
          </w:p>
        </w:tc>
        <w:tc>
          <w:tcPr>
            <w:tcW w:w="48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78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680" w:type="dxa"/>
            <w:vAlign w:val="bottom"/>
          </w:tcPr>
          <w:p>
            <w:pPr>
              <w:spacing w:after="0"/>
              <w:rPr>
                <w:sz w:val="22"/>
                <w:szCs w:val="22"/>
                <w:color w:val="auto"/>
              </w:rPr>
            </w:pPr>
          </w:p>
        </w:tc>
      </w:tr>
      <w:tr>
        <w:trPr>
          <w:trHeight w:val="196"/>
        </w:trPr>
        <w:tc>
          <w:tcPr>
            <w:tcW w:w="38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40" w:type="dxa"/>
            <w:vAlign w:val="bottom"/>
            <w:tcBorders>
              <w:top w:val="single" w:sz="8" w:color="auto"/>
            </w:tcBorders>
            <w:gridSpan w:val="2"/>
          </w:tcPr>
          <w:p>
            <w:pPr>
              <w:jc w:val="center"/>
              <w:ind w:right="379"/>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Borders>
              <w:top w:val="single" w:sz="8" w:color="auto"/>
            </w:tcBorders>
          </w:tcPr>
          <w:p>
            <w:pPr>
              <w:spacing w:after="0"/>
              <w:rPr>
                <w:sz w:val="17"/>
                <w:szCs w:val="17"/>
                <w:color w:val="auto"/>
              </w:rPr>
            </w:pPr>
          </w:p>
        </w:tc>
      </w:tr>
      <w:tr>
        <w:trPr>
          <w:trHeight w:val="256"/>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4860" w:type="dxa"/>
            <w:vAlign w:val="bottom"/>
            <w:tcBorders>
              <w:bottom w:val="single" w:sz="8" w:color="CCEEFF"/>
            </w:tcBorders>
            <w:gridSpan w:val="2"/>
            <w:shd w:val="clear" w:color="auto" w:fill="CCEEFF"/>
          </w:tcPr>
          <w:p>
            <w:pPr>
              <w:jc w:val="right"/>
              <w:ind w:right="96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7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(6,464)</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(5,912)</w:t>
            </w:r>
          </w:p>
        </w:tc>
      </w:tr>
      <w:tr>
        <w:trPr>
          <w:trHeight w:val="27"/>
        </w:trPr>
        <w:tc>
          <w:tcPr>
            <w:tcW w:w="38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3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1,827</w:t>
            </w:r>
          </w:p>
        </w:tc>
        <w:tc>
          <w:tcPr>
            <w:tcW w:w="1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675"/>
        </w:trPr>
        <w:tc>
          <w:tcPr>
            <w:tcW w:w="3840" w:type="dxa"/>
            <w:vAlign w:val="bottom"/>
          </w:tcPr>
          <w:p>
            <w:pPr>
              <w:spacing w:after="0"/>
              <w:rPr>
                <w:sz w:val="24"/>
                <w:szCs w:val="24"/>
                <w:color w:val="auto"/>
              </w:rPr>
            </w:pPr>
          </w:p>
        </w:tc>
        <w:tc>
          <w:tcPr>
            <w:tcW w:w="3700" w:type="dxa"/>
            <w:vAlign w:val="bottom"/>
          </w:tcPr>
          <w:p>
            <w:pPr>
              <w:jc w:val="right"/>
              <w:ind w:right="1656"/>
              <w:spacing w:after="0"/>
              <w:rPr>
                <w:sz w:val="20"/>
                <w:szCs w:val="20"/>
                <w:color w:val="auto"/>
              </w:rPr>
            </w:pPr>
            <w:r>
              <w:rPr>
                <w:rFonts w:ascii="Arial" w:cs="Arial" w:eastAsia="Arial" w:hAnsi="Arial"/>
                <w:sz w:val="18"/>
                <w:szCs w:val="18"/>
                <w:color w:val="auto"/>
              </w:rPr>
              <w:t>33</w:t>
            </w: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 the three months ended September 30, 2015 increased by $0.6 million primarily due to increased borrowings on our Senior Credit facility compared to the prior year. Our reported interest expense for the three-month periods ended September 30, 2015 and 2014 includes non-cash interest related to the accounting for convertible securities of $2.1 million and $1.8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three months ended September 30, 2015, and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for the third quarter of 2015 includes approximately $1.8 million from the performance of certain services to SeaSpine under the Transition Services Agreement which went into effect on the July 1, 2015 spin-off.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3260" w:type="dxa"/>
            <w:vAlign w:val="bottom"/>
            <w:tcBorders>
              <w:bottom w:val="single" w:sz="8" w:color="auto"/>
            </w:tcBorders>
            <w:gridSpan w:val="3"/>
          </w:tcPr>
          <w:p>
            <w:pPr>
              <w:jc w:val="center"/>
              <w:ind w:left="682"/>
              <w:spacing w:after="0"/>
              <w:rPr>
                <w:sz w:val="20"/>
                <w:szCs w:val="20"/>
                <w:color w:val="auto"/>
              </w:rPr>
            </w:pPr>
            <w:r>
              <w:rPr>
                <w:rFonts w:ascii="Arial" w:cs="Arial" w:eastAsia="Arial" w:hAnsi="Arial"/>
                <w:sz w:val="14"/>
                <w:szCs w:val="14"/>
                <w:b w:val="1"/>
                <w:bCs w:val="1"/>
                <w:color w:val="auto"/>
                <w:w w:val="93"/>
              </w:rPr>
              <w:t>Three Months Ended September 30,</w:t>
            </w:r>
          </w:p>
        </w:tc>
        <w:tc>
          <w:tcPr>
            <w:tcW w:w="74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40" w:type="dxa"/>
            <w:vAlign w:val="bottom"/>
            <w:tcBorders>
              <w:bottom w:val="single" w:sz="8" w:color="auto"/>
            </w:tcBorders>
          </w:tcPr>
          <w:p>
            <w:pPr>
              <w:spacing w:after="0"/>
              <w:rPr>
                <w:sz w:val="22"/>
                <w:szCs w:val="22"/>
                <w:color w:val="auto"/>
              </w:rPr>
            </w:pPr>
          </w:p>
        </w:tc>
      </w:tr>
      <w:tr>
        <w:trPr>
          <w:trHeight w:val="196"/>
        </w:trPr>
        <w:tc>
          <w:tcPr>
            <w:tcW w:w="7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214"/>
              <w:spacing w:after="0"/>
              <w:rPr>
                <w:sz w:val="20"/>
                <w:szCs w:val="20"/>
                <w:color w:val="auto"/>
              </w:rPr>
            </w:pPr>
            <w:r>
              <w:rPr>
                <w:rFonts w:ascii="Arial" w:cs="Arial" w:eastAsia="Arial" w:hAnsi="Arial"/>
                <w:sz w:val="18"/>
                <w:szCs w:val="18"/>
                <w:color w:val="auto"/>
              </w:rPr>
              <w:t>5,362</w:t>
            </w:r>
          </w:p>
        </w:tc>
        <w:tc>
          <w:tcPr>
            <w:tcW w:w="12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10,957</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160" w:type="dxa"/>
            <w:vAlign w:val="bottom"/>
          </w:tcPr>
          <w:p>
            <w:pPr>
              <w:spacing w:after="0"/>
              <w:rPr>
                <w:sz w:val="21"/>
                <w:szCs w:val="21"/>
                <w:color w:val="auto"/>
              </w:rPr>
            </w:pPr>
          </w:p>
        </w:tc>
        <w:tc>
          <w:tcPr>
            <w:tcW w:w="840" w:type="dxa"/>
            <w:vAlign w:val="bottom"/>
          </w:tcPr>
          <w:p>
            <w:pPr>
              <w:jc w:val="right"/>
              <w:ind w:right="214"/>
              <w:spacing w:after="0"/>
              <w:rPr>
                <w:sz w:val="20"/>
                <w:szCs w:val="20"/>
                <w:color w:val="auto"/>
              </w:rPr>
            </w:pPr>
            <w:r>
              <w:rPr>
                <w:rFonts w:ascii="Arial" w:cs="Arial" w:eastAsia="Arial" w:hAnsi="Arial"/>
                <w:sz w:val="18"/>
                <w:szCs w:val="18"/>
                <w:color w:val="auto"/>
                <w:w w:val="94"/>
              </w:rPr>
              <w:t>37,243</w:t>
            </w:r>
          </w:p>
        </w:tc>
        <w:tc>
          <w:tcPr>
            <w:tcW w:w="126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1,967</w:t>
            </w:r>
          </w:p>
        </w:tc>
      </w:tr>
      <w:tr>
        <w:trPr>
          <w:trHeight w:val="27"/>
        </w:trPr>
        <w:tc>
          <w:tcPr>
            <w:tcW w:w="7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694.6%</w:t>
            </w:r>
          </w:p>
        </w:tc>
        <w:tc>
          <w:tcPr>
            <w:tcW w:w="1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7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income tax rates for the three months ended September 30, 2015 and 2014 were 694.6% and 18.0%, respectively. The 2015 income tax expense includes $35.6 million of expense relating to a tax valuation allowance recorded as a result of the spin-off of the spine business. The Company determined that, upon spin-off, the deferred tax assets of the spine business would be unrealizable. The valuation allowance amounts are part of continuing operations.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Excluding the valuation allowance, the Company’s effective income tax rates for the three months ended September 30, 2015 and 2014 were 29.8% and 18.0%, respectively. The primary drivers of the overall tax rate for the three months ended September 30, 2015 was a tax expense of $0.3 million relating to the filing of foreign income tax returns and the settlement of foreign audits; while the primary driver of the overall tax rate for the three months ended September 30, 2014 was a benefit of $1.6 million for the release of uncertain tax positions and related interest due to expiration of statute of limitations.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its effective income tax rate for the full year to be approximately 87%, driven largely by a tax expense of $35.6 million in its continuing operations, relating to the establishment of a valuation allowance created upon the SeaSpine spin-off.</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Excluding the valuation allowance adjustment, the Company expects its effective income tax rate for the full year to be approximately 32.0%, resulting largely from nondeductible spine spin-off costs and audit settlements, offset with benefits from the domestic manufacturing deduction and the release of uncertain tax positions, as well as the jurisdictional mix of pretax income in U.S.-based operations relative to foreign operations. This estimate could be revised in the future as additional information is presented to the Company.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would be classified as current income taxes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2015 as Compared to Nine Months Ended September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 nine months ended September 30, 2015, total revenues increased by $63.9 million to $641.6 million from $577.6 million during the prior-year period.</w:t>
      </w:r>
    </w:p>
    <w:p>
      <w:pPr>
        <w:spacing w:after="0" w:line="19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Specialty Surgical Solutions revenues were $433.8 million, an increase of 8% from the prior-year period. The increase partially resulted from the impact of the MicroFrance product sales arising out of the acquisition, which added $18.8 million for the nine months ended September 30, 2015. Our dural repair franchise performed very well as demand for our products continued to rise. Revenue in our Precision Tools and Instruments business, which includes the former Instruments product portfolio as well as our cranial stabilization and stereotaxy product lines, also increased. Neuro critical care revenues remained relatively flat year over year. These increased sales were partially offset by a decline in tissue ablation.</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Orthopedics and Tissue Technologies revenues were $207.7 million, an increase of 18% from the prior-year period. The increase partially resulted from the impact of the TEI and Metasurg product sales arising out of the acquisitions, which added $18.3 million for the nine months ended September 30, 2015. The increase was driven by strong demand in our regenerative technologies franchise as a result of both additional headcount in our sales force and new products, including the Integra Wound Matrix-Thin, Integra Reinforcement Matrix and Integra Wound Matrix-Meshed. Sales growth in our upper extremity franchise benefited from increasing demand for new products in shoulder and wrist arthroplasty. The increase in upper extremities revenue was partially due to an increase in distributors for the year to date period ended September 30, 2015. These increased sales were partially offset by a decline in lower extremities revenues.</w:t>
      </w:r>
    </w:p>
    <w:p>
      <w:pPr>
        <w:spacing w:after="0" w:line="13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Gross margin increased to $405.0 million for the nine-month period ended September 30, 2015 from $359.7 million for the same period last year. Gross margin as a percentage of total revenue increased to 63.1% for the year to date period from 62.3% for the same period last year. The increase in gross margin percentage resulted primarily from an increase in sales of higher margin products such as DuraSeal, DuraGen, skin and wound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Selling, general and administrative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Intangible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23495</wp:posOffset>
            </wp:positionV>
            <wp:extent cx="1680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103" w:lineRule="exact"/>
        <w:rPr>
          <w:sz w:val="20"/>
          <w:szCs w:val="20"/>
          <w:color w:val="auto"/>
        </w:rPr>
      </w:pPr>
    </w:p>
    <w:p>
      <w:pPr>
        <w:ind w:left="200"/>
        <w:spacing w:after="0"/>
        <w:tabs>
          <w:tab w:leader="none" w:pos="160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23495</wp:posOffset>
            </wp:positionV>
            <wp:extent cx="16808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43" w:lineRule="exact"/>
        <w:rPr>
          <w:sz w:val="20"/>
          <w:szCs w:val="20"/>
          <w:color w:val="auto"/>
        </w:rPr>
      </w:pPr>
    </w:p>
    <w:p>
      <w:pPr>
        <w:jc w:val="right"/>
        <w:ind w:right="40"/>
        <w:spacing w:after="0"/>
        <w:tabs>
          <w:tab w:leader="none" w:pos="3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6"/>
          <w:szCs w:val="16"/>
          <w:color w:val="auto"/>
        </w:rPr>
        <w:t>5.8%</w:t>
      </w:r>
    </w:p>
    <w:p>
      <w:pPr>
        <w:spacing w:after="0" w:line="63" w:lineRule="exact"/>
        <w:rPr>
          <w:sz w:val="20"/>
          <w:szCs w:val="20"/>
          <w:color w:val="auto"/>
        </w:rPr>
      </w:pPr>
    </w:p>
    <w:p>
      <w:pPr>
        <w:jc w:val="right"/>
        <w:ind w:right="40"/>
        <w:spacing w:after="0"/>
        <w:tabs>
          <w:tab w:leader="none" w:pos="440" w:val="left"/>
        </w:tabs>
        <w:rPr>
          <w:sz w:val="20"/>
          <w:szCs w:val="20"/>
          <w:color w:val="auto"/>
        </w:rPr>
      </w:pPr>
      <w:r>
        <w:rPr>
          <w:rFonts w:ascii="Arial" w:cs="Arial" w:eastAsia="Arial" w:hAnsi="Arial"/>
          <w:sz w:val="18"/>
          <w:szCs w:val="18"/>
          <w:color w:val="auto"/>
        </w:rPr>
        <w:t>47.7%</w:t>
      </w:r>
      <w:r>
        <w:rPr>
          <w:sz w:val="20"/>
          <w:szCs w:val="20"/>
          <w:color w:val="auto"/>
        </w:rPr>
        <w:tab/>
      </w:r>
      <w:r>
        <w:rPr>
          <w:rFonts w:ascii="Arial" w:cs="Arial" w:eastAsia="Arial" w:hAnsi="Arial"/>
          <w:sz w:val="16"/>
          <w:szCs w:val="16"/>
          <w:color w:val="auto"/>
        </w:rPr>
        <w:t>49.0%</w:t>
      </w:r>
    </w:p>
    <w:p>
      <w:pPr>
        <w:spacing w:after="0" w:line="63" w:lineRule="exact"/>
        <w:rPr>
          <w:sz w:val="20"/>
          <w:szCs w:val="20"/>
          <w:color w:val="auto"/>
        </w:rPr>
      </w:pPr>
    </w:p>
    <w:p>
      <w:pPr>
        <w:jc w:val="right"/>
        <w:ind w:right="40"/>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0.8%</w:t>
      </w:r>
    </w:p>
    <w:p>
      <w:pPr>
        <w:spacing w:after="0" w:line="77" w:lineRule="exact"/>
        <w:rPr>
          <w:sz w:val="20"/>
          <w:szCs w:val="20"/>
          <w:color w:val="auto"/>
        </w:rPr>
      </w:pPr>
    </w:p>
    <w:p>
      <w:pPr>
        <w:jc w:val="right"/>
        <w:ind w:right="40"/>
        <w:spacing w:after="0"/>
        <w:tabs>
          <w:tab w:leader="none" w:pos="440" w:val="left"/>
        </w:tabs>
        <w:rPr>
          <w:sz w:val="20"/>
          <w:szCs w:val="20"/>
          <w:color w:val="auto"/>
        </w:rPr>
      </w:pPr>
      <w:r>
        <w:rPr>
          <w:rFonts w:ascii="Arial" w:cs="Arial" w:eastAsia="Arial" w:hAnsi="Arial"/>
          <w:sz w:val="18"/>
          <w:szCs w:val="18"/>
          <w:color w:val="auto"/>
        </w:rPr>
        <w:t>54.5%</w:t>
      </w:r>
      <w:r>
        <w:rPr>
          <w:sz w:val="20"/>
          <w:szCs w:val="20"/>
          <w:color w:val="auto"/>
        </w:rPr>
        <w:tab/>
      </w:r>
      <w:r>
        <w:rPr>
          <w:rFonts w:ascii="Arial" w:cs="Arial" w:eastAsia="Arial" w:hAnsi="Arial"/>
          <w:sz w:val="16"/>
          <w:szCs w:val="16"/>
          <w:color w:val="auto"/>
        </w:rPr>
        <w:t>55.6%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48895</wp:posOffset>
            </wp:positionV>
            <wp:extent cx="16808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20" w:space="720"/>
            <w:col w:w="2380"/>
          </w:cols>
          <w:pgMar w:left="240" w:top="125" w:right="239" w:bottom="1440" w:gutter="0" w:footer="0" w:header="0"/>
          <w:type w:val="continuous"/>
        </w:sectPr>
      </w:pPr>
    </w:p>
    <w:p>
      <w:pPr>
        <w:spacing w:after="0" w:line="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Total operating expenses, which consist of research and development expenses, selling, general and administrative expenses, and amortization expense, increased $28.0 million, or 8.7%, to $349.5 million in the first nine months of 2015, compared to $321.4 million in the same period last year.</w:t>
      </w:r>
    </w:p>
    <w:p>
      <w:pPr>
        <w:spacing w:after="0" w:line="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Research and development expenses in the first nine months of 2015 were up approximately $3.5 million but remained flat as a percentage of revenue compared to the same period last year. This increase was due to additional spending on new product development and clinical studies.</w:t>
      </w:r>
    </w:p>
    <w:p>
      <w:pPr>
        <w:spacing w:after="0" w:line="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in the first nine months of 2015 increased by $23.0 million to $306.0 million compared to $283.1 million in the same period last year. Selling and marketing expenses increased by $18.2 million, primarily resulting from higher commissions, distributor fees related to the MicroFrance and Metasurg sales, and TEI acquisition related expenses, including the addition of approximately 130 sales representatives. General and administrative costs increased $4.8 million, primarily due to facility optimization activities and higher transaction related costs both to effectuate the spin-off of our Spine business, and to close the TEI and Salto acquisitions. In addition, we experienced higher incentive compensation costs for the nine- month period ended September 30, 2015.</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in the first nine months of 2015 increased by $1.6 million to $6.4 million, compared to $4.8 million in the same period last year.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in the first nine months of 2015 reflects the increase in intangibles due to the acquisition of TEI.</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center"/>
              <w:ind w:right="14"/>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90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2014</w:t>
            </w:r>
          </w:p>
        </w:tc>
      </w:tr>
      <w:tr>
        <w:trPr>
          <w:trHeight w:val="196"/>
        </w:trPr>
        <w:tc>
          <w:tcPr>
            <w:tcW w:w="9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2"/>
          </w:tcPr>
          <w:p>
            <w:pPr>
              <w:jc w:val="center"/>
              <w:ind w:left="539"/>
              <w:spacing w:after="0"/>
              <w:rPr>
                <w:sz w:val="20"/>
                <w:szCs w:val="20"/>
                <w:color w:val="auto"/>
              </w:rPr>
            </w:pPr>
            <w:r>
              <w:rPr>
                <w:rFonts w:ascii="Arial" w:cs="Arial" w:eastAsia="Arial" w:hAnsi="Arial"/>
                <w:sz w:val="14"/>
                <w:szCs w:val="14"/>
                <w:b w:val="1"/>
                <w:bCs w:val="1"/>
                <w:color w:val="auto"/>
                <w:w w:val="91"/>
              </w:rPr>
              <w:t>(In thousands)</w:t>
            </w:r>
          </w:p>
        </w:tc>
        <w:tc>
          <w:tcPr>
            <w:tcW w:w="720" w:type="dxa"/>
            <w:vAlign w:val="bottom"/>
          </w:tcPr>
          <w:p>
            <w:pPr>
              <w:spacing w:after="0"/>
              <w:rPr>
                <w:sz w:val="17"/>
                <w:szCs w:val="17"/>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(17,404)</w:t>
            </w:r>
          </w:p>
        </w:tc>
        <w:tc>
          <w:tcPr>
            <w:tcW w:w="4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(16,436)</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2,984</w:t>
            </w:r>
          </w:p>
        </w:tc>
        <w:tc>
          <w:tcPr>
            <w:tcW w:w="4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203</w:t>
            </w:r>
          </w:p>
        </w:tc>
      </w:tr>
      <w:tr>
        <w:trPr>
          <w:trHeight w:val="27"/>
        </w:trPr>
        <w:tc>
          <w:tcPr>
            <w:tcW w:w="9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 the nine-month period ended September 30, 2015 increased by $1.0 million primarily due to increased borrowings on our Senior Credit facility compared to the prior year. Our reported interest expense for the nine-month periods ended September 30, 2015 and 2014 includes non-cash interest related to the accounting for convertible securities of $5.9 million and $5.3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nine months ended September 30, 2015 and 2014.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income for the nine months ended September 30, 2015 includes $1.8 million from the performance of certain services to SeaSpine under the Transition Services Agreement, which went into effect on the July 1, 2015 spin-off. Other income for the nine months ended September 30, 2015 and 2014 also includes the foreign exchange impact on intercompany balances.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7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8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89"/>
              </w:rPr>
              <w:t>2014</w:t>
            </w:r>
          </w:p>
        </w:tc>
      </w:tr>
      <w:tr>
        <w:trPr>
          <w:trHeight w:val="196"/>
        </w:trPr>
        <w:tc>
          <w:tcPr>
            <w:tcW w:w="8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gridSpan w:val="3"/>
          </w:tcPr>
          <w:p>
            <w:pPr>
              <w:jc w:val="center"/>
              <w:ind w:left="559"/>
              <w:spacing w:after="0"/>
              <w:rPr>
                <w:sz w:val="20"/>
                <w:szCs w:val="20"/>
                <w:color w:val="auto"/>
              </w:rPr>
            </w:pPr>
            <w:r>
              <w:rPr>
                <w:rFonts w:ascii="Arial" w:cs="Arial" w:eastAsia="Arial" w:hAnsi="Arial"/>
                <w:sz w:val="14"/>
                <w:szCs w:val="14"/>
                <w:b w:val="1"/>
                <w:bCs w:val="1"/>
                <w:color w:val="auto"/>
                <w:w w:val="91"/>
              </w:rPr>
              <w:t>(In thousands)</w:t>
            </w:r>
          </w:p>
        </w:tc>
        <w:tc>
          <w:tcPr>
            <w:tcW w:w="780" w:type="dxa"/>
            <w:vAlign w:val="bottom"/>
          </w:tcPr>
          <w:p>
            <w:pPr>
              <w:spacing w:after="0"/>
              <w:rPr>
                <w:sz w:val="17"/>
                <w:szCs w:val="17"/>
                <w:color w:val="auto"/>
              </w:rPr>
            </w:pPr>
          </w:p>
        </w:tc>
      </w:tr>
      <w:tr>
        <w:trPr>
          <w:trHeight w:val="256"/>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41,160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22,184</w:t>
            </w:r>
          </w:p>
        </w:tc>
      </w:tr>
      <w:tr>
        <w:trPr>
          <w:trHeight w:val="243"/>
        </w:trPr>
        <w:tc>
          <w:tcPr>
            <w:tcW w:w="882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21"/>
                <w:szCs w:val="21"/>
                <w:color w:val="auto"/>
              </w:rPr>
            </w:pPr>
          </w:p>
        </w:tc>
        <w:tc>
          <w:tcPr>
            <w:tcW w:w="1040" w:type="dxa"/>
            <w:vAlign w:val="bottom"/>
          </w:tcPr>
          <w:p>
            <w:pPr>
              <w:jc w:val="right"/>
              <w:ind w:right="99"/>
              <w:spacing w:after="0"/>
              <w:rPr>
                <w:sz w:val="20"/>
                <w:szCs w:val="20"/>
                <w:color w:val="auto"/>
              </w:rPr>
            </w:pPr>
            <w:r>
              <w:rPr>
                <w:rFonts w:ascii="Arial" w:cs="Arial" w:eastAsia="Arial" w:hAnsi="Arial"/>
                <w:sz w:val="18"/>
                <w:szCs w:val="18"/>
                <w:color w:val="auto"/>
              </w:rPr>
              <w:t>49,289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6,294</w:t>
            </w:r>
          </w:p>
        </w:tc>
      </w:tr>
      <w:tr>
        <w:trPr>
          <w:trHeight w:val="27"/>
        </w:trPr>
        <w:tc>
          <w:tcPr>
            <w:tcW w:w="8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8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7"/>
        </w:trPr>
        <w:tc>
          <w:tcPr>
            <w:tcW w:w="88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effective income tax rates for the nine months ended September 30, 2015 and 2014 were 119.7% and 28.4%, respectively. The 2015 income tax expense includes $35.6 million of expense relating to a tax valuation allowance recorded as a result of the spin-off of the spine business. The Company determined that, upon spin-off, the deferred tax assets of the spine business would be unrealizable.</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Excluding the valuation allowance, the Company’s effective income tax rates for the nine months ended September 30, 2015 and 2014 were 33.1% and 28.4%, respectively. The primary driver of the overall tax rate for the nine months ended September 30, 2015 was a tax expense of $0.9 million relating to the filing of Federal and foreign income tax returns. The primary driver of the overall tax rate for the nine months ended September 30, 2014 was a benefit of $1.9 million for the release of uncertain tax positions and related interest due to expiration of statute of limitations.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expects its effective income tax rate for the full year to be approximately 87%, driven largely by expense of $35.6 million in its continuing operations, relating to the establishment of a tax valuation allowance created upon the SeaSpine spin-off.</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Excluding the valuation allowance adjustment, the Company expects its effective income tax rate for the full year to be approximately 32.0%, resulting largely from audit settlements, offset with benefits from the domestic manufacturing deduction and the release of uncertain tax positions, as well as the jurisdictional mix of pretax income in U.S.-based operations relative to foreign operations. This estimate could be revised in the future as additional information is presented to the Company.</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520" w:type="dxa"/>
            <w:vAlign w:val="bottom"/>
            <w:gridSpan w:val="6"/>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520" w:type="dxa"/>
            <w:vAlign w:val="bottom"/>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2014</w:t>
            </w:r>
          </w:p>
        </w:tc>
      </w:tr>
      <w:tr>
        <w:trPr>
          <w:trHeight w:val="196"/>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178,290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150,867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493,559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433,865</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Europe</w:t>
            </w:r>
          </w:p>
        </w:tc>
        <w:tc>
          <w:tcPr>
            <w:tcW w:w="28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24,275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22,369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75,046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70,207</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23,802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24,287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72,969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73,571</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226,367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197,523</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641,574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577,643</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5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Domestic revenues increased to $178.3 million, or 79% of total revenues, for the three months ended September 30, 2015 from $150.9 million, or 76% of total revenues, for the three months ended September 30, 2014. International revenues increased to $48.1 million from $46.7 million in the prior-year period, an increase of 3%. Changes in foreign exchange rates decreased our sales by $5.7 million compared to the three months ended September 30, 2014.</w:t>
      </w:r>
    </w:p>
    <w:p>
      <w:pPr>
        <w:spacing w:after="0" w:line="1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Domestic revenues increased to $493.6 million, or 77% of total revenues, for the nine months ended September 30, 2015 from $433.9 million, or 75% of total revenues, for the nine months ended September 30, 2014. International revenues increased to $148.0 million from $143.8 million in the prior-year period, an increase of 3%. Changes in foreign exchange rates decreased our sales by $17.6 million in the nine- month period 2015 compared to the same period last year.</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cash and cash equivalents totaling approximately $79.3 million and $71.7 million at September 30, 2015 and December 31, 2014, respectively, which are valued based on Level 1 measurements in the fair value hierarchy. At September 30, 2015, our non-U.S. subsidiaries held approximately $58.6 million of cash and cash equivalents that are available for use by our operations outside of the United States. If cash and cash equivalents held by our non-U.S. subsidiaries were repatriated to the United States, or used for United States operations, certain amounts could be subject to tax in the United States for the incremental amount in excess of the foreign tax paid.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96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w w:val="92"/>
              </w:rPr>
              <w:t>Nine Months Ended September 30,</w:t>
            </w:r>
          </w:p>
        </w:tc>
        <w:tc>
          <w:tcPr>
            <w:tcW w:w="76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8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76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0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w w:val="93"/>
              </w:rPr>
              <w:t>(In thousands)</w:t>
            </w:r>
          </w:p>
        </w:tc>
        <w:tc>
          <w:tcPr>
            <w:tcW w:w="76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81,300</w:t>
            </w:r>
          </w:p>
        </w:tc>
        <w:tc>
          <w:tcPr>
            <w:tcW w:w="110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40,944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w w:val="88"/>
              </w:rPr>
              <w:t>(327,132)</w:t>
            </w:r>
          </w:p>
        </w:tc>
        <w:tc>
          <w:tcPr>
            <w:tcW w:w="1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0"/>
              </w:rPr>
              <w:t>(262,108)</w:t>
            </w:r>
          </w:p>
        </w:tc>
      </w:tr>
      <w:tr>
        <w:trPr>
          <w:trHeight w:val="27"/>
        </w:trPr>
        <w:tc>
          <w:tcPr>
            <w:tcW w:w="7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5"/>
              </w:rPr>
              <w:t>276,025</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231,044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(3,347)</w:t>
            </w:r>
          </w:p>
        </w:tc>
        <w:tc>
          <w:tcPr>
            <w:tcW w:w="1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(5,667)</w:t>
            </w:r>
          </w:p>
        </w:tc>
      </w:tr>
    </w:tbl>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we anticipate that our principal uses of cash will include approximately $30.0 million of capital expenditures primarily for the completion of our regenerative technology manufacturing capacity expansion, support and maintenance in our existing plants, our enterprise resource planning system implementation, and additions to our instrument kits used in sales of orthopedic products to support future growth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$81.3 million and $40.9 million for the nine months ended September 30, 2015 and 2014, respectively.</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cash flows for the nine months ended September 30, 2015 increased compared to the same period in 2014. Net income decreased compared to the same period of the prior year primarily due to the impact of the tax valuation allowance, which was a non-cash adjustment. Changes in working capital decreased cash flows for the nine months ended September 30, 2015 by approximately $0.6 million. Among the changes in working capital, accounts receivable used $9.2 million of cash, inventory used $8.0 million of cash, prepaid expenses and other current assets provided $7.4 million of cash and accounts payable, accrued expenses and other current liabilities provided $9.3 million of cash.</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cash flow for the nine months ended September 30, 2014 benefited from an increase in net income compared to the same period in 2013. Changes in working capital decreased cash flows by approximately $19.0 million. Among the changes in working capital, accounts receivable used $12.4 million of cash, inventory used $23.8 million of cash, prepaid expenses and other current assets provided $11.6 million of cash and accounts payable, accrued expenses and other current liabilities provided $4.5 million of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nine months ended September 30, 2015, we paid $310.1 million for the acquisition of TEI, net of acquired cash in July 2015 less cash received of $1.8 million related to a purchase price working capital adjustment in the first half of 2015. We received cash of $1.4 million related to the sale of our Andover facility. We paid $20.3 million for capital expenditures, most of which was directed to the expansion of our regenerative medicine production capacity and global enterprise system implementation.</w:t>
      </w:r>
    </w:p>
    <w:p>
      <w:pPr>
        <w:spacing w:after="0" w:line="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nine months ended September 30, 2014, we paid $235.0 million for the acquisition of Confluent Surgical, and $27.1 million for capital expenditures, most of which was directed to the expansion of our regenerative medicine production capacity and global enterprise system implementation.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principal use of cash for financing activities in the nine months ended September 30, 2015 was a repayment of $448.8 million on the revolving portion under our Senior Credit Facility. We also repaid $2.5 million related to the 2016 Convertible Notes. Additionally, we received proceeds from stock option exercises of $7.3 million and borrowed $545.0 million under our Senior Credit Facility to fund the TEI acquisition. We also received proceeds from the issuance of common stock, net of issuance costs of approximately $219.9 million related to the Company's equity offering in August 2015. We also provided $47.0 million to SeaSpine as part of the divestiture.</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sources of cash for financing activities in the nine months ended September 30, 2014 were $225.0 million of net borrowings under our senior credit facility to fund the Confluent Surgical acquisition and received proceeds related to stock option exercises of $8.3 million. In addition, in connection with the July 2014 refinancing, we incurred debt issuance costs of $3.1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2015 and December 31, 2014, working capital was $365.0 million and $403.3 million,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Debt and Related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6 </w:t>
      </w:r>
      <w:r>
        <w:rPr>
          <w:rFonts w:ascii="Arial" w:cs="Arial" w:eastAsia="Arial" w:hAnsi="Arial"/>
          <w:sz w:val="18"/>
          <w:szCs w:val="18"/>
          <w:i w:val="1"/>
          <w:iCs w:val="1"/>
          <w:color w:val="auto"/>
        </w:rPr>
        <w:t>- Debt</w:t>
      </w:r>
      <w:r>
        <w:rPr>
          <w:rFonts w:ascii="Arial" w:cs="Arial" w:eastAsia="Arial" w:hAnsi="Arial"/>
          <w:sz w:val="18"/>
          <w:szCs w:val="18"/>
          <w:color w:val="auto"/>
        </w:rPr>
        <w:t xml:space="preserve"> to the current period’s condensed consolidated financial statements for a discussion of our (i) amended and restated Senior Credit Agreement, and (ii) convertible debt and related hedging activities.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28, 2015, we entered into a second amendment (the "Second Amendment") to the Senior Credit Facility. In connection with the Second Amendment, the Company borrowed $200.0 million of incremental term loans as permitted under the original terms of the Senior Credit Facility. Additionally, the Second Amendment (i) enables the Company to incur up to $200.0 million of incremental loans in the future and (ii) modifies the consolidated leverage ratio covenant in the Credit Agreement.</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Second Amendment creates an aggregate principal amount of up to $1.1 billion (increased from $900 million) available to the Company through the following facilities: (i) a $750 million revolving credit facility and (ii) a $350 million term loan facility (increased from $150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 As of September 30, 2015, there remained $75.0 million available for repurchases under this authorization.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The Company considers all such outstanding amounts to be long-term in nature based on its current intent and ability to repay the borrowings outside of the next twelve month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we were obligated to pay the following amounts under various agreements: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Payments Due by Calendar 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35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Remaining 2015</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2016-2017</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2018-2019</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Thereafter</w:t>
            </w:r>
          </w:p>
        </w:tc>
      </w:tr>
      <w:tr>
        <w:trPr>
          <w:trHeight w:val="250"/>
        </w:trPr>
        <w:tc>
          <w:tcPr>
            <w:tcW w:w="3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Securities (1)</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227.1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Revolving Credit Facility (2)</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w w:val="84"/>
              </w:rPr>
              <w:t>165.0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165.0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348.2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306.3</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Interest (3)</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26.6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 (4)</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Leases</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51.7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24.7</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0.6</w:t>
            </w:r>
          </w:p>
        </w:tc>
      </w:tr>
      <w:tr>
        <w:trPr>
          <w:trHeight w:val="27"/>
        </w:trPr>
        <w:tc>
          <w:tcPr>
            <w:tcW w:w="3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833.3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305.9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489.8</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r>
      <w:tr>
        <w:trPr>
          <w:trHeight w:val="20"/>
        </w:trPr>
        <w:tc>
          <w:tcPr>
            <w:tcW w:w="3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jc w:val="both"/>
        <w:ind w:left="840" w:right="20" w:hanging="293"/>
        <w:spacing w:after="0" w:line="264"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The estimated debt service obligation of the senior convertible securities includes interest expense representing the amortization of the discount on the liability component of the senior convertible notes in accordance with the authoritative guidance. See Note 6 - </w:t>
      </w:r>
      <w:r>
        <w:rPr>
          <w:rFonts w:ascii="Arial" w:cs="Arial" w:eastAsia="Arial" w:hAnsi="Arial"/>
          <w:sz w:val="18"/>
          <w:szCs w:val="18"/>
          <w:i w:val="1"/>
          <w:iCs w:val="1"/>
          <w:color w:val="auto"/>
        </w:rPr>
        <w:t>Debt</w:t>
      </w:r>
      <w:r>
        <w:rPr>
          <w:rFonts w:ascii="Arial" w:cs="Arial" w:eastAsia="Arial" w:hAnsi="Arial"/>
          <w:sz w:val="18"/>
          <w:szCs w:val="18"/>
          <w:color w:val="auto"/>
        </w:rPr>
        <w:t xml:space="preserve"> of our condensed consolidated financial statements for additional information.</w:t>
      </w:r>
    </w:p>
    <w:p>
      <w:pPr>
        <w:spacing w:after="0" w:line="19" w:lineRule="exact"/>
        <w:rPr>
          <w:rFonts w:ascii="Arial" w:cs="Arial" w:eastAsia="Arial" w:hAnsi="Arial"/>
          <w:sz w:val="18"/>
          <w:szCs w:val="18"/>
          <w:color w:val="auto"/>
        </w:rPr>
      </w:pPr>
    </w:p>
    <w:p>
      <w:pPr>
        <w:ind w:left="840" w:right="40" w:hanging="293"/>
        <w:spacing w:after="0" w:line="317" w:lineRule="auto"/>
        <w:tabs>
          <w:tab w:leader="none" w:pos="8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Company may borrow and make payments against the revolver portion of its Senior Credit Facility from time to time and considers all of the outstanding amounts to be long-term based on its current intent and ability to repay the borrowing outside of the next twelve-month period.</w:t>
      </w:r>
    </w:p>
    <w:p>
      <w:pPr>
        <w:ind w:left="840" w:right="40" w:hanging="293"/>
        <w:spacing w:after="0" w:line="277"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is calculated on the term loan portion of the Senior Credit Facility and convertible securities based on current interest rates paid by the Company. As the revolving credit facility can be repaid at any time, no interest has been included in the calculation.</w:t>
      </w:r>
    </w:p>
    <w:p>
      <w:pPr>
        <w:spacing w:after="0" w:line="8" w:lineRule="exact"/>
        <w:rPr>
          <w:rFonts w:ascii="Arial" w:cs="Arial" w:eastAsia="Arial" w:hAnsi="Arial"/>
          <w:sz w:val="18"/>
          <w:szCs w:val="18"/>
          <w:color w:val="auto"/>
        </w:rPr>
      </w:pPr>
    </w:p>
    <w:p>
      <w:pPr>
        <w:ind w:left="840" w:hanging="293"/>
        <w:spacing w:after="0"/>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shown under Employment Agreements do not include compensation resulting from a change in control.</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excluded contingent consideration obligations related to prior acquisitions from the contractual obligations table above; these liabilities had a fair value of $22.4 million at September 30, 2015. These liabilities have been excluded because the amounts to be paid and the potential payment dates are not fixed.</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also excluded the liability for uncertain tax benefits from the contractual obligations table above, including interest and penalties, totaling $1.3 million at September 30, 2015. This liability for uncertain tax benefits has been excluded because we cannot make a reliable estimate of the period in which the uncertain tax benefits may be realized.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nine months ended September 30, 2015 that have or are reasonably likely to have, a current or future effect on our financial condition, changes in financial condition, revenues or expenses, results of operations, liquidity, capital expenditures or capital resources that is material to our interests.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critical accounting estimates included in our Annual Report on Form 10-K for the fiscal year ended December 31, 2014, have not materially changed, except as noted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 Goodwill and Other Intangible Assets</w:t>
      </w:r>
      <w:r>
        <w:rPr>
          <w:rFonts w:ascii="Arial" w:cs="Arial" w:eastAsia="Arial" w:hAnsi="Arial"/>
          <w:sz w:val="18"/>
          <w:szCs w:val="18"/>
          <w:color w:val="auto"/>
        </w:rPr>
        <w:t xml:space="preserve"> to the current period’s condensed consolidated financial statements for a discussion of the reallocation of goodwill in connection with the Company's change in operating 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Swiss francs, British pounds, Canadian dollars, Australian dollars and Japanese yen.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September 30, 2015 would increase interest income by approximately $0.8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2 basis points. We are subject to foreign currency exchange risk with respect to cash balances maintained in foreign currencies.</w:t>
      </w:r>
    </w:p>
    <w:p>
      <w:pPr>
        <w:spacing w:after="0" w:line="13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u w:val="single" w:color="auto"/>
          <w:color w:val="auto"/>
        </w:rPr>
        <w:t>Senior Credit Facility</w:t>
      </w:r>
      <w:r>
        <w:rPr>
          <w:rFonts w:ascii="Arial" w:cs="Arial" w:eastAsia="Arial" w:hAnsi="Arial"/>
          <w:sz w:val="17"/>
          <w:szCs w:val="17"/>
          <w:i w:val="1"/>
          <w:iCs w:val="1"/>
          <w:color w:val="auto"/>
        </w:rPr>
        <w:t xml:space="preserve"> </w:t>
      </w:r>
      <w:r>
        <w:rPr>
          <w:rFonts w:ascii="Arial" w:cs="Arial" w:eastAsia="Arial" w:hAnsi="Arial"/>
          <w:sz w:val="17"/>
          <w:szCs w:val="17"/>
          <w:color w:val="auto"/>
        </w:rPr>
        <w:t>- Our interest rate risk relates primarily to U.S. dollar LIBOR-indexed borrowings. We have used an interest rate derivative instrument</w:t>
      </w:r>
      <w:r>
        <w:rPr>
          <w:rFonts w:ascii="Arial" w:cs="Arial" w:eastAsia="Arial" w:hAnsi="Arial"/>
          <w:sz w:val="17"/>
          <w:szCs w:val="17"/>
          <w:i w:val="1"/>
          <w:iCs w:val="1"/>
          <w:color w:val="auto"/>
        </w:rPr>
        <w:t xml:space="preserve"> </w:t>
      </w:r>
      <w:r>
        <w:rPr>
          <w:rFonts w:ascii="Arial" w:cs="Arial" w:eastAsia="Arial" w:hAnsi="Arial"/>
          <w:sz w:val="17"/>
          <w:szCs w:val="17"/>
          <w:color w:val="auto"/>
        </w:rPr>
        <w:t>to manage our earnings and cash flow exposure to changes in interest rates by utilizing a forward-starting interest rate swap that began to offset a portion of our interest payments in the first quarter of 2011. This interest rate derivative instrument fixed the interest rate on a portion of our expected LIBOR-indexed floating-rate borrowings beginning on December 31, 2010. The interest rate swap expired during August 2015. We recognized $0.2 million of additional interest expense related to this derivative during the three months ended September 30, 2015.</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our outstanding borrowings at September 30, 2015, a one-percentage point change in interest rates would have affected interest expense on the debt by $5.1 million on an annualized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2015. Based upon this evaluation, our principal executive officer and principal financial officer concluded that our disclosure controls and procedures were effective as of September 30, 2015 to provide such reasonable assurance.</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the Company is in the process of a multi-year implementation of a global enterprise resource planning (“ERP”) system. In addition, in response to business integration activities, the Company has and will continue to further align and streamline the design and operation of the financial control environment to be responsive to the changing business model.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September 30, 2015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TEI, a recent acquisition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2014, as modified by the subsequent Quarterly Report on Form 10-Q for the period ended June 30, 2015, have not materially changed.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28, 2014, our Board of Directors terminated the previous share repurchase plan dated October 23, 2012, and authorized a new repurchase of up to $75.0 million of outstanding common stock through December 2016. Shares may be repurchased either in the open market or in privately negotiated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during the three months ended September 30, 2015 under this program.</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6. EXHIBITS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Exhibits</w:t>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10020" w:type="dxa"/>
            <w:vAlign w:val="bottom"/>
          </w:tcPr>
          <w:p>
            <w:pPr>
              <w:ind w:left="140"/>
              <w:spacing w:after="0"/>
              <w:rPr>
                <w:sz w:val="20"/>
                <w:szCs w:val="20"/>
                <w:color w:val="auto"/>
              </w:rPr>
            </w:pPr>
            <w:r>
              <w:rPr>
                <w:rFonts w:ascii="Arial" w:cs="Arial" w:eastAsia="Arial" w:hAnsi="Arial"/>
                <w:sz w:val="18"/>
                <w:szCs w:val="18"/>
                <w:color w:val="auto"/>
                <w:w w:val="92"/>
              </w:rPr>
              <w:t>Agreement and Plan of Merger by and among Integra LifeSciences Corporation, Patriot S1, Inc., TEI Biosciences Inc. and Dr. Yiannis</w:t>
            </w:r>
          </w:p>
        </w:tc>
      </w:tr>
      <w:tr>
        <w:trPr>
          <w:trHeight w:val="216"/>
        </w:trPr>
        <w:tc>
          <w:tcPr>
            <w:tcW w:w="100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1"/>
              </w:rPr>
              <w:t>Monovoukas, dated as of June 26, 2015 (Incorporated by reference to Exhibit 2.1 to the Company's Current Report on Form 8-K filed on</w:t>
            </w:r>
          </w:p>
        </w:tc>
      </w:tr>
      <w:tr>
        <w:trPr>
          <w:trHeight w:val="230"/>
        </w:trPr>
        <w:tc>
          <w:tcPr>
            <w:tcW w:w="100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July 20, 2015)</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10020" w:type="dxa"/>
            <w:vAlign w:val="bottom"/>
          </w:tcPr>
          <w:p>
            <w:pPr>
              <w:ind w:left="140"/>
              <w:spacing w:after="0"/>
              <w:rPr>
                <w:sz w:val="20"/>
                <w:szCs w:val="20"/>
                <w:color w:val="auto"/>
              </w:rPr>
            </w:pPr>
            <w:r>
              <w:rPr>
                <w:rFonts w:ascii="Arial" w:cs="Arial" w:eastAsia="Arial" w:hAnsi="Arial"/>
                <w:sz w:val="18"/>
                <w:szCs w:val="18"/>
                <w:color w:val="auto"/>
                <w:w w:val="95"/>
              </w:rPr>
              <w:t>Agreement and Plan of Merger by and among Integra LifeSciences Corporation, Patriot S2, Inc., TEI Medical Inc. and Dr. Yiannis</w:t>
            </w:r>
          </w:p>
        </w:tc>
      </w:tr>
      <w:tr>
        <w:trPr>
          <w:trHeight w:val="216"/>
        </w:trPr>
        <w:tc>
          <w:tcPr>
            <w:tcW w:w="100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1"/>
              </w:rPr>
              <w:t>Monovoukas, dated as of June 26, 2015 (Incorporated by reference to Exhibit 2.2 to the Company's Current Report on Form 8-K filed on</w:t>
            </w:r>
          </w:p>
        </w:tc>
      </w:tr>
      <w:tr>
        <w:trPr>
          <w:trHeight w:val="230"/>
        </w:trPr>
        <w:tc>
          <w:tcPr>
            <w:tcW w:w="100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July 20, 2015)</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10020" w:type="dxa"/>
            <w:vAlign w:val="bottom"/>
          </w:tcPr>
          <w:p>
            <w:pPr>
              <w:ind w:left="140"/>
              <w:spacing w:after="0"/>
              <w:rPr>
                <w:sz w:val="20"/>
                <w:szCs w:val="20"/>
                <w:color w:val="auto"/>
              </w:rPr>
            </w:pPr>
            <w:r>
              <w:rPr>
                <w:rFonts w:ascii="Arial" w:cs="Arial" w:eastAsia="Arial" w:hAnsi="Arial"/>
                <w:sz w:val="18"/>
                <w:szCs w:val="18"/>
                <w:color w:val="auto"/>
                <w:w w:val="95"/>
              </w:rPr>
              <w:t>Second Amendment, dated August 28, 2015, to that Third Amended and Restated Credit Agreement, among Integra LifeSciences</w:t>
            </w:r>
          </w:p>
        </w:tc>
      </w:tr>
      <w:tr>
        <w:trPr>
          <w:trHeight w:val="216"/>
        </w:trPr>
        <w:tc>
          <w:tcPr>
            <w:tcW w:w="100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6"/>
              </w:rPr>
              <w:t>Holdings Corporation, a syndicate of lending banks, Bank of America, N.A., as Administrative Agent, Swing Line Lender and L/C</w:t>
            </w:r>
          </w:p>
        </w:tc>
      </w:tr>
      <w:tr>
        <w:trPr>
          <w:trHeight w:val="216"/>
        </w:trPr>
        <w:tc>
          <w:tcPr>
            <w:tcW w:w="100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5"/>
              </w:rPr>
              <w:t>Issuer, Wells Fargo Bank, National Association, as Syndication Agent, and HSBC Bank USA, National Association, Royal Bank of</w:t>
            </w:r>
          </w:p>
        </w:tc>
      </w:tr>
      <w:tr>
        <w:trPr>
          <w:trHeight w:val="216"/>
        </w:trPr>
        <w:tc>
          <w:tcPr>
            <w:tcW w:w="100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3"/>
              </w:rPr>
              <w:t>Canada, Citizens Bank, National Association, DNB Capital LLC, Crédit Agricole-Corporate and Investment Bank and TD Bank, N.A.,</w:t>
            </w:r>
          </w:p>
        </w:tc>
      </w:tr>
      <w:tr>
        <w:trPr>
          <w:trHeight w:val="216"/>
        </w:trPr>
        <w:tc>
          <w:tcPr>
            <w:tcW w:w="1000" w:type="dxa"/>
            <w:vAlign w:val="bottom"/>
          </w:tcPr>
          <w:p>
            <w:pPr>
              <w:spacing w:after="0"/>
              <w:rPr>
                <w:sz w:val="18"/>
                <w:szCs w:val="18"/>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w w:val="98"/>
              </w:rPr>
              <w:t>as Co-Documentation Agents (Incorporated by reference to Exhibit 4.1 to the Company’s Current Report on Form 8-K filed on</w:t>
            </w:r>
          </w:p>
        </w:tc>
      </w:tr>
      <w:tr>
        <w:trPr>
          <w:trHeight w:val="230"/>
        </w:trPr>
        <w:tc>
          <w:tcPr>
            <w:tcW w:w="1000" w:type="dxa"/>
            <w:vAlign w:val="bottom"/>
          </w:tcPr>
          <w:p>
            <w:pPr>
              <w:spacing w:after="0"/>
              <w:rPr>
                <w:sz w:val="20"/>
                <w:szCs w:val="20"/>
                <w:color w:val="auto"/>
              </w:rPr>
            </w:pPr>
          </w:p>
        </w:tc>
        <w:tc>
          <w:tcPr>
            <w:tcW w:w="10020" w:type="dxa"/>
            <w:vAlign w:val="bottom"/>
          </w:tcPr>
          <w:p>
            <w:pPr>
              <w:ind w:left="140"/>
              <w:spacing w:after="0"/>
              <w:rPr>
                <w:sz w:val="20"/>
                <w:szCs w:val="20"/>
                <w:color w:val="auto"/>
              </w:rPr>
            </w:pPr>
            <w:r>
              <w:rPr>
                <w:rFonts w:ascii="Arial" w:cs="Arial" w:eastAsia="Arial" w:hAnsi="Arial"/>
                <w:sz w:val="18"/>
                <w:szCs w:val="18"/>
                <w:color w:val="auto"/>
              </w:rPr>
              <w:t>September 1, 2015)</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1002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1002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002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1002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3"/>
              </w:rPr>
              <w:t>*†101.SCH</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6"/>
              </w:rPr>
              <w:t>*†101.CAL</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5"/>
              </w:rPr>
              <w:t>*†101.DEF</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7"/>
              </w:rPr>
              <w:t>*†101.LAB</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4"/>
              </w:rPr>
              <w:t>*†101.PRE</w:t>
            </w:r>
          </w:p>
        </w:tc>
        <w:tc>
          <w:tcPr>
            <w:tcW w:w="1002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rFonts w:ascii="Arial" w:cs="Arial" w:eastAsia="Arial" w:hAnsi="Arial"/>
          <w:sz w:val="18"/>
          <w:szCs w:val="18"/>
          <w:color w:val="auto"/>
        </w:rPr>
      </w:pPr>
    </w:p>
    <w:p>
      <w:pPr>
        <w:ind w:left="500" w:hanging="492"/>
        <w:spacing w:after="0" w:line="257" w:lineRule="auto"/>
        <w:tabs>
          <w:tab w:leader="none" w:pos="1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2015 filed on November 4, 2015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00"/>
              <w:spacing w:after="0"/>
              <w:rPr>
                <w:sz w:val="20"/>
                <w:szCs w:val="20"/>
                <w:color w:val="auto"/>
              </w:rPr>
            </w:pPr>
            <w:r>
              <w:rPr>
                <w:rFonts w:ascii="Arial" w:cs="Arial" w:eastAsia="Arial" w:hAnsi="Arial"/>
                <w:sz w:val="18"/>
                <w:szCs w:val="18"/>
                <w:color w:val="auto"/>
              </w:rPr>
              <w:t>November 4, 2015</w:t>
            </w:r>
          </w:p>
        </w:tc>
        <w:tc>
          <w:tcPr>
            <w:tcW w:w="23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4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4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280" w:type="dxa"/>
            <w:vAlign w:val="bottom"/>
          </w:tcPr>
          <w:p>
            <w:pPr>
              <w:ind w:left="100"/>
              <w:spacing w:after="0"/>
              <w:rPr>
                <w:sz w:val="20"/>
                <w:szCs w:val="20"/>
                <w:color w:val="auto"/>
              </w:rPr>
            </w:pPr>
            <w:r>
              <w:rPr>
                <w:rFonts w:ascii="Arial" w:cs="Arial" w:eastAsia="Arial" w:hAnsi="Arial"/>
                <w:sz w:val="18"/>
                <w:szCs w:val="18"/>
                <w:color w:val="auto"/>
              </w:rPr>
              <w:t>November 4, 2015</w:t>
            </w:r>
          </w:p>
        </w:tc>
        <w:tc>
          <w:tcPr>
            <w:tcW w:w="23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Glenn G. Coleman</w:t>
            </w:r>
          </w:p>
        </w:tc>
      </w:tr>
      <w:tr>
        <w:trPr>
          <w:trHeight w:val="27"/>
        </w:trPr>
        <w:tc>
          <w:tcPr>
            <w:tcW w:w="480" w:type="dxa"/>
            <w:vAlign w:val="bottom"/>
          </w:tcPr>
          <w:p>
            <w:pPr>
              <w:spacing w:after="0"/>
              <w:rPr>
                <w:sz w:val="2"/>
                <w:szCs w:val="2"/>
                <w:color w:val="auto"/>
              </w:rPr>
            </w:pPr>
          </w:p>
        </w:tc>
        <w:tc>
          <w:tcPr>
            <w:tcW w:w="32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Glenn G. Coleman</w:t>
            </w:r>
          </w:p>
        </w:tc>
      </w:tr>
      <w:tr>
        <w:trPr>
          <w:trHeight w:val="270"/>
        </w:trPr>
        <w:tc>
          <w:tcPr>
            <w:tcW w:w="48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23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Corporate Vice President and Chief Financial Officer</w:t>
            </w:r>
          </w:p>
        </w:tc>
      </w:tr>
      <w:tr>
        <w:trPr>
          <w:trHeight w:val="702"/>
        </w:trPr>
        <w:tc>
          <w:tcPr>
            <w:tcW w:w="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80" w:type="dxa"/>
            <w:vAlign w:val="bottom"/>
          </w:tcPr>
          <w:p>
            <w:pPr>
              <w:jc w:val="right"/>
              <w:ind w:right="290"/>
              <w:spacing w:after="0"/>
              <w:rPr>
                <w:sz w:val="20"/>
                <w:szCs w:val="20"/>
                <w:color w:val="auto"/>
              </w:rPr>
            </w:pPr>
            <w:r>
              <w:rPr>
                <w:rFonts w:ascii="Arial" w:cs="Arial" w:eastAsia="Arial" w:hAnsi="Arial"/>
                <w:sz w:val="18"/>
                <w:szCs w:val="18"/>
                <w:color w:val="auto"/>
              </w:rPr>
              <w:t>44</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400" w:type="dxa"/>
        <w:tblCellMar>
          <w:top w:w="0" w:type="dxa"/>
          <w:left w:w="0" w:type="dxa"/>
          <w:bottom w:w="0" w:type="dxa"/>
          <w:right w:w="0" w:type="dxa"/>
        </w:tblCellMar>
      </w:tblPr>
      <w:tr>
        <w:trPr>
          <w:trHeight w:val="21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9960" w:type="dxa"/>
            <w:vAlign w:val="bottom"/>
          </w:tcPr>
          <w:p>
            <w:pPr>
              <w:ind w:left="140"/>
              <w:spacing w:after="0"/>
              <w:rPr>
                <w:sz w:val="20"/>
                <w:szCs w:val="20"/>
                <w:color w:val="auto"/>
              </w:rPr>
            </w:pPr>
            <w:r>
              <w:rPr>
                <w:rFonts w:ascii="Arial" w:cs="Arial" w:eastAsia="Arial" w:hAnsi="Arial"/>
                <w:sz w:val="18"/>
                <w:szCs w:val="18"/>
                <w:color w:val="auto"/>
                <w:w w:val="92"/>
              </w:rPr>
              <w:t>Agreement and Plan of Merger by and among Integra LifeSciences Corporation, Patriot S1, Inc., TEI Biosciences Inc. and Dr. Yiannis</w:t>
            </w:r>
          </w:p>
        </w:tc>
      </w:tr>
      <w:tr>
        <w:trPr>
          <w:trHeight w:val="216"/>
        </w:trPr>
        <w:tc>
          <w:tcPr>
            <w:tcW w:w="100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2"/>
              </w:rPr>
              <w:t>Monovoukas, dated as of June 26, 2015 (Incorporated by reference to Exhibit 2.1 to the Company's Current Report on Form 8-K filed</w:t>
            </w:r>
          </w:p>
        </w:tc>
      </w:tr>
      <w:tr>
        <w:trPr>
          <w:trHeight w:val="230"/>
        </w:trPr>
        <w:tc>
          <w:tcPr>
            <w:tcW w:w="100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on July 20, 2015)</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9960" w:type="dxa"/>
            <w:vAlign w:val="bottom"/>
          </w:tcPr>
          <w:p>
            <w:pPr>
              <w:ind w:left="140"/>
              <w:spacing w:after="0"/>
              <w:rPr>
                <w:sz w:val="20"/>
                <w:szCs w:val="20"/>
                <w:color w:val="auto"/>
              </w:rPr>
            </w:pPr>
            <w:r>
              <w:rPr>
                <w:rFonts w:ascii="Arial" w:cs="Arial" w:eastAsia="Arial" w:hAnsi="Arial"/>
                <w:sz w:val="18"/>
                <w:szCs w:val="18"/>
                <w:color w:val="auto"/>
                <w:w w:val="95"/>
              </w:rPr>
              <w:t>Agreement and Plan of Merger by and among Integra LifeSciences Corporation, Patriot S2, Inc., TEI Medical Inc. and Dr. Yiannis</w:t>
            </w:r>
          </w:p>
        </w:tc>
      </w:tr>
      <w:tr>
        <w:trPr>
          <w:trHeight w:val="216"/>
        </w:trPr>
        <w:tc>
          <w:tcPr>
            <w:tcW w:w="100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2"/>
              </w:rPr>
              <w:t>Monovoukas, dated as of June 26, 2015 (Incorporated by reference to Exhibit 2.2 to the Company's Current Report on Form 8-K filed</w:t>
            </w:r>
          </w:p>
        </w:tc>
      </w:tr>
      <w:tr>
        <w:trPr>
          <w:trHeight w:val="230"/>
        </w:trPr>
        <w:tc>
          <w:tcPr>
            <w:tcW w:w="100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on July 20, 2015)</w:t>
            </w:r>
          </w:p>
        </w:tc>
      </w:tr>
      <w:tr>
        <w:trPr>
          <w:trHeight w:val="52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9960" w:type="dxa"/>
            <w:vAlign w:val="bottom"/>
          </w:tcPr>
          <w:p>
            <w:pPr>
              <w:ind w:left="140"/>
              <w:spacing w:after="0"/>
              <w:rPr>
                <w:sz w:val="20"/>
                <w:szCs w:val="20"/>
                <w:color w:val="auto"/>
              </w:rPr>
            </w:pPr>
            <w:r>
              <w:rPr>
                <w:rFonts w:ascii="Arial" w:cs="Arial" w:eastAsia="Arial" w:hAnsi="Arial"/>
                <w:sz w:val="18"/>
                <w:szCs w:val="18"/>
                <w:color w:val="auto"/>
                <w:w w:val="94"/>
              </w:rPr>
              <w:t>Second Amendment, dated August 28, 2015, to that Third Amended and Restated Credit Agreement, among Integra LifeSciences</w:t>
            </w:r>
          </w:p>
        </w:tc>
      </w:tr>
      <w:tr>
        <w:trPr>
          <w:trHeight w:val="216"/>
        </w:trPr>
        <w:tc>
          <w:tcPr>
            <w:tcW w:w="100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6"/>
              </w:rPr>
              <w:t>Holdings Corporation, a syndicate of lending banks, Bank of America, N.A., as Administrative Agent, Swing Line Lender and L/C</w:t>
            </w:r>
          </w:p>
        </w:tc>
      </w:tr>
      <w:tr>
        <w:trPr>
          <w:trHeight w:val="216"/>
        </w:trPr>
        <w:tc>
          <w:tcPr>
            <w:tcW w:w="100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5"/>
              </w:rPr>
              <w:t>Issuer, Wells Fargo Bank, National Association, as Syndication Agent, and HSBC Bank USA, National Association, Royal Bank of</w:t>
            </w:r>
          </w:p>
        </w:tc>
      </w:tr>
      <w:tr>
        <w:trPr>
          <w:trHeight w:val="216"/>
        </w:trPr>
        <w:tc>
          <w:tcPr>
            <w:tcW w:w="100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3"/>
              </w:rPr>
              <w:t>Canada, Citizens Bank, National Association, DNB Capital LLC, Crédit Agricole-Corporate and Investment Bank and TD Bank, N.A.,</w:t>
            </w:r>
          </w:p>
        </w:tc>
      </w:tr>
      <w:tr>
        <w:trPr>
          <w:trHeight w:val="216"/>
        </w:trPr>
        <w:tc>
          <w:tcPr>
            <w:tcW w:w="1000" w:type="dxa"/>
            <w:vAlign w:val="bottom"/>
          </w:tcPr>
          <w:p>
            <w:pPr>
              <w:spacing w:after="0"/>
              <w:rPr>
                <w:sz w:val="18"/>
                <w:szCs w:val="18"/>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w w:val="98"/>
              </w:rPr>
              <w:t>as Co-Documentation Agents (Incorporated by reference to Exhibit 4.1 to the Company’s Current Report on Form 8-K filed on</w:t>
            </w:r>
          </w:p>
        </w:tc>
      </w:tr>
      <w:tr>
        <w:trPr>
          <w:trHeight w:val="230"/>
        </w:trPr>
        <w:tc>
          <w:tcPr>
            <w:tcW w:w="1000" w:type="dxa"/>
            <w:vAlign w:val="bottom"/>
          </w:tcPr>
          <w:p>
            <w:pPr>
              <w:spacing w:after="0"/>
              <w:rPr>
                <w:sz w:val="20"/>
                <w:szCs w:val="20"/>
                <w:color w:val="auto"/>
              </w:rPr>
            </w:pPr>
          </w:p>
        </w:tc>
        <w:tc>
          <w:tcPr>
            <w:tcW w:w="9960" w:type="dxa"/>
            <w:vAlign w:val="bottom"/>
          </w:tcPr>
          <w:p>
            <w:pPr>
              <w:ind w:left="140"/>
              <w:spacing w:after="0"/>
              <w:rPr>
                <w:sz w:val="20"/>
                <w:szCs w:val="20"/>
                <w:color w:val="auto"/>
              </w:rPr>
            </w:pPr>
            <w:r>
              <w:rPr>
                <w:rFonts w:ascii="Arial" w:cs="Arial" w:eastAsia="Arial" w:hAnsi="Arial"/>
                <w:sz w:val="18"/>
                <w:szCs w:val="18"/>
                <w:color w:val="auto"/>
              </w:rPr>
              <w:t>September 1, 2015)</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996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996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996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996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996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3"/>
              </w:rPr>
              <w:t>*†101.SCH</w:t>
            </w:r>
          </w:p>
        </w:tc>
        <w:tc>
          <w:tcPr>
            <w:tcW w:w="996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6"/>
              </w:rPr>
              <w:t>*†101.CAL</w:t>
            </w:r>
          </w:p>
        </w:tc>
        <w:tc>
          <w:tcPr>
            <w:tcW w:w="996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5"/>
              </w:rPr>
              <w:t>*†101.DEF</w:t>
            </w:r>
          </w:p>
        </w:tc>
        <w:tc>
          <w:tcPr>
            <w:tcW w:w="996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7"/>
              </w:rPr>
              <w:t>*†101.LAB</w:t>
            </w:r>
          </w:p>
        </w:tc>
        <w:tc>
          <w:tcPr>
            <w:tcW w:w="996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4"/>
              </w:rPr>
              <w:t>*†101.PRE</w:t>
            </w:r>
          </w:p>
        </w:tc>
        <w:tc>
          <w:tcPr>
            <w:tcW w:w="996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500" w:hanging="492"/>
        <w:spacing w:after="0" w:line="257" w:lineRule="auto"/>
        <w:tabs>
          <w:tab w:leader="none" w:pos="14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September 30, 2015 filed on November 4, 2015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25" w:right="239" w:bottom="1440" w:gutter="0" w:footer="0" w:header="0"/>
          <w:type w:val="continuous"/>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920"/>
        <w:spacing w:after="0"/>
        <w:tabs>
          <w:tab w:leader="none" w:pos="6240" w:val="left"/>
        </w:tabs>
        <w:rPr>
          <w:sz w:val="20"/>
          <w:szCs w:val="20"/>
          <w:color w:val="auto"/>
        </w:rPr>
      </w:pPr>
      <w:r>
        <w:rPr>
          <w:rFonts w:ascii="Arial" w:cs="Arial" w:eastAsia="Arial" w:hAnsi="Arial"/>
          <w:sz w:val="18"/>
          <w:szCs w:val="18"/>
          <w:color w:val="auto"/>
        </w:rPr>
        <w:t>Date: November 4, 2015</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2015</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2015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40" w:val="left"/>
          <w:tab w:leader="none" w:pos="6140" w:val="left"/>
        </w:tabs>
        <w:rPr>
          <w:sz w:val="20"/>
          <w:szCs w:val="20"/>
          <w:color w:val="auto"/>
        </w:rPr>
      </w:pPr>
      <w:r>
        <w:rPr>
          <w:rFonts w:ascii="Arial" w:cs="Arial" w:eastAsia="Arial" w:hAnsi="Arial"/>
          <w:sz w:val="18"/>
          <w:szCs w:val="18"/>
          <w:color w:val="auto"/>
        </w:rPr>
        <w:t>Date:</w:t>
        <w:tab/>
        <w:t>November 4, 2015</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2015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4, 2015</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x"/>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lowerRoman"/>
      <w:start w:val="1"/>
    </w:lvl>
  </w:abstractNum>
  <w:abstractNum w:abstractNumId="7">
    <w:nsid w:val="3352255A"/>
    <w:multiLevelType w:val="hybridMultilevel"/>
    <w:lvl w:ilvl="0">
      <w:lvlJc w:val="left"/>
      <w:lvlText w:val="%1."/>
      <w:numFmt w:val="lowerRoman"/>
      <w:start w:val="1"/>
    </w:lvl>
    <w:lvl w:ilvl="1">
      <w:lvlJc w:val="left"/>
      <w:lvlText w:val="%2."/>
      <w:numFmt w:val="decimal"/>
      <w:start w:val="1"/>
    </w:lvl>
  </w:abstractNum>
  <w:abstractNum w:abstractNumId="8">
    <w:nsid w:val="109CF92E"/>
    <w:multiLevelType w:val="hybridMultilevel"/>
    <w:lvl w:ilvl="0">
      <w:lvlJc w:val="left"/>
      <w:lvlText w:val="(%1)"/>
      <w:numFmt w:val="decimal"/>
      <w:start w:val="1"/>
    </w:lvl>
  </w:abstractNum>
  <w:abstractNum w:abstractNumId="9">
    <w:nsid w:val="DED7263"/>
    <w:multiLevelType w:val="hybridMultilevel"/>
    <w:lvl w:ilvl="0">
      <w:lvlJc w:val="left"/>
      <w:lvlText w:val="%1."/>
      <w:numFmt w:val="decimal"/>
      <w:start w:val="12"/>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lvl w:ilvl="1">
      <w:lvlJc w:val="left"/>
      <w:lvlText w:val="*"/>
      <w:numFmt w:val="bullet"/>
      <w:start w:val="1"/>
    </w:lvl>
  </w:abstractNum>
  <w:abstractNum w:abstractNumId="13">
    <w:nsid w:val="6B68079A"/>
    <w:multiLevelType w:val="hybridMultilevel"/>
    <w:lvl w:ilvl="0">
      <w:lvlJc w:val="left"/>
      <w:lvlText w:val="†"/>
      <w:numFmt w:val="bullet"/>
      <w:start w:val="1"/>
    </w:lvl>
    <w:lvl w:ilvl="1">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2019-12-29T15:29:47Z</dcterms:created>
  <dcterms:modified xsi:type="dcterms:W3CDTF">2019-12-29T15:29:47Z</dcterms:modified>
</cp:coreProperties>
</file>