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40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17"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80" w:hanging="443"/>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99"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680" w:hanging="443"/>
        <w:spacing w:after="0"/>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352" w:lineRule="exact"/>
        <w:rPr>
          <w:sz w:val="24"/>
          <w:szCs w:val="24"/>
          <w:color w:val="auto"/>
        </w:rPr>
      </w:pPr>
    </w:p>
    <w:p>
      <w:pPr>
        <w:ind w:left="394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34" w:lineRule="exact"/>
        <w:rPr>
          <w:sz w:val="24"/>
          <w:szCs w:val="24"/>
          <w:color w:val="auto"/>
        </w:rPr>
      </w:pPr>
    </w:p>
    <w:tbl>
      <w:tblPr>
        <w:tblLayout w:type="fixed"/>
        <w:tblInd w:w="1020" w:type="dxa"/>
        <w:tblCellMar>
          <w:top w:w="0" w:type="dxa"/>
          <w:left w:w="0" w:type="dxa"/>
          <w:bottom w:w="0" w:type="dxa"/>
          <w:right w:w="0" w:type="dxa"/>
        </w:tblCellMar>
      </w:tblPr>
      <w:tr>
        <w:trPr>
          <w:trHeight w:val="225"/>
        </w:trPr>
        <w:tc>
          <w:tcPr>
            <w:tcW w:w="4980" w:type="dxa"/>
            <w:vAlign w:val="bottom"/>
          </w:tcPr>
          <w:p>
            <w:pPr>
              <w:jc w:val="center"/>
              <w:ind w:right="1499"/>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c>
          <w:tcPr>
            <w:tcW w:w="0" w:type="dxa"/>
            <w:vAlign w:val="bottom"/>
          </w:tcPr>
          <w:p>
            <w:pPr>
              <w:spacing w:after="0"/>
              <w:rPr>
                <w:sz w:val="1"/>
                <w:szCs w:val="1"/>
                <w:color w:val="auto"/>
              </w:rPr>
            </w:pPr>
          </w:p>
        </w:tc>
      </w:tr>
      <w:tr>
        <w:trPr>
          <w:trHeight w:val="144"/>
        </w:trPr>
        <w:tc>
          <w:tcPr>
            <w:tcW w:w="4980" w:type="dxa"/>
            <w:vAlign w:val="bottom"/>
          </w:tcPr>
          <w:p>
            <w:pPr>
              <w:jc w:val="center"/>
              <w:ind w:right="1519"/>
              <w:spacing w:after="0" w:line="145" w:lineRule="exact"/>
              <w:rPr>
                <w:sz w:val="20"/>
                <w:szCs w:val="20"/>
                <w:color w:val="auto"/>
              </w:rPr>
            </w:pPr>
            <w:r>
              <w:rPr>
                <w:rFonts w:ascii="Arial" w:cs="Arial" w:eastAsia="Arial" w:hAnsi="Arial"/>
                <w:sz w:val="14"/>
                <w:szCs w:val="14"/>
                <w:b w:val="1"/>
                <w:bCs w:val="1"/>
                <w:color w:val="auto"/>
              </w:rPr>
              <w:t>(STATE OR OTHER JURISDICTION OF</w:t>
            </w:r>
          </w:p>
        </w:tc>
        <w:tc>
          <w:tcPr>
            <w:tcW w:w="3160" w:type="dxa"/>
            <w:vAlign w:val="bottom"/>
          </w:tcPr>
          <w:p>
            <w:pPr>
              <w:jc w:val="center"/>
              <w:ind w:left="1541"/>
              <w:spacing w:after="0" w:line="145"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86"/>
        </w:trPr>
        <w:tc>
          <w:tcPr>
            <w:tcW w:w="4980" w:type="dxa"/>
            <w:vAlign w:val="bottom"/>
          </w:tcPr>
          <w:p>
            <w:pPr>
              <w:jc w:val="center"/>
              <w:ind w:right="1499"/>
              <w:spacing w:after="0"/>
              <w:rPr>
                <w:sz w:val="20"/>
                <w:szCs w:val="20"/>
                <w:color w:val="auto"/>
              </w:rPr>
            </w:pPr>
            <w:r>
              <w:rPr>
                <w:rFonts w:ascii="Arial" w:cs="Arial" w:eastAsia="Arial" w:hAnsi="Arial"/>
                <w:sz w:val="14"/>
                <w:szCs w:val="14"/>
                <w:b w:val="1"/>
                <w:bCs w:val="1"/>
                <w:color w:val="auto"/>
              </w:rPr>
              <w:t>INCORPORATION OR ORGANIZATION)</w:t>
            </w:r>
          </w:p>
        </w:tc>
        <w:tc>
          <w:tcPr>
            <w:tcW w:w="3160" w:type="dxa"/>
            <w:vAlign w:val="bottom"/>
          </w:tcPr>
          <w:p>
            <w:pPr>
              <w:jc w:val="center"/>
              <w:ind w:left="154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497"/>
        </w:trPr>
        <w:tc>
          <w:tcPr>
            <w:tcW w:w="4980" w:type="dxa"/>
            <w:vAlign w:val="bottom"/>
          </w:tcPr>
          <w:p>
            <w:pPr>
              <w:jc w:val="center"/>
              <w:ind w:right="1499"/>
              <w:spacing w:after="0"/>
              <w:rPr>
                <w:sz w:val="20"/>
                <w:szCs w:val="20"/>
                <w:color w:val="auto"/>
              </w:rPr>
            </w:pPr>
            <w:r>
              <w:rPr>
                <w:rFonts w:ascii="Arial" w:cs="Arial" w:eastAsia="Arial" w:hAnsi="Arial"/>
                <w:sz w:val="18"/>
                <w:szCs w:val="18"/>
                <w:b w:val="1"/>
                <w:bCs w:val="1"/>
                <w:color w:val="auto"/>
                <w:w w:val="89"/>
              </w:rPr>
              <w:t>1100 Campus Road</w:t>
            </w:r>
          </w:p>
        </w:tc>
        <w:tc>
          <w:tcPr>
            <w:tcW w:w="31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08540</w:t>
            </w:r>
          </w:p>
        </w:tc>
        <w:tc>
          <w:tcPr>
            <w:tcW w:w="0" w:type="dxa"/>
            <w:vAlign w:val="bottom"/>
          </w:tcPr>
          <w:p>
            <w:pPr>
              <w:spacing w:after="0"/>
              <w:rPr>
                <w:sz w:val="1"/>
                <w:szCs w:val="1"/>
                <w:color w:val="auto"/>
              </w:rPr>
            </w:pPr>
          </w:p>
        </w:tc>
      </w:tr>
      <w:tr>
        <w:trPr>
          <w:trHeight w:val="225"/>
        </w:trPr>
        <w:tc>
          <w:tcPr>
            <w:tcW w:w="4980" w:type="dxa"/>
            <w:vAlign w:val="bottom"/>
          </w:tcPr>
          <w:p>
            <w:pPr>
              <w:jc w:val="center"/>
              <w:ind w:right="1519"/>
              <w:spacing w:after="0"/>
              <w:rPr>
                <w:sz w:val="20"/>
                <w:szCs w:val="20"/>
                <w:color w:val="auto"/>
              </w:rPr>
            </w:pPr>
            <w:r>
              <w:rPr>
                <w:rFonts w:ascii="Arial" w:cs="Arial" w:eastAsia="Arial" w:hAnsi="Arial"/>
                <w:sz w:val="18"/>
                <w:szCs w:val="18"/>
                <w:b w:val="1"/>
                <w:bCs w:val="1"/>
                <w:color w:val="auto"/>
                <w:w w:val="90"/>
              </w:rPr>
              <w:t>Princeton ,  New Jersey</w:t>
            </w:r>
          </w:p>
        </w:tc>
        <w:tc>
          <w:tcPr>
            <w:tcW w:w="3160" w:type="dxa"/>
            <w:vAlign w:val="bottom"/>
            <w:vMerge w:val="restart"/>
          </w:tcPr>
          <w:p>
            <w:pPr>
              <w:jc w:val="center"/>
              <w:ind w:left="154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78"/>
        </w:trPr>
        <w:tc>
          <w:tcPr>
            <w:tcW w:w="4980" w:type="dxa"/>
            <w:vAlign w:val="bottom"/>
            <w:vMerge w:val="restart"/>
          </w:tcPr>
          <w:p>
            <w:pPr>
              <w:jc w:val="center"/>
              <w:ind w:right="1519"/>
              <w:spacing w:after="0"/>
              <w:rPr>
                <w:sz w:val="20"/>
                <w:szCs w:val="20"/>
                <w:color w:val="auto"/>
              </w:rPr>
            </w:pPr>
            <w:r>
              <w:rPr>
                <w:rFonts w:ascii="Arial" w:cs="Arial" w:eastAsia="Arial" w:hAnsi="Arial"/>
                <w:sz w:val="14"/>
                <w:szCs w:val="14"/>
                <w:b w:val="1"/>
                <w:bCs w:val="1"/>
                <w:color w:val="auto"/>
              </w:rPr>
              <w:t>(ADDRESS OF PRINCIPAL EXECUTIVE OFFICES)</w:t>
            </w:r>
          </w:p>
        </w:tc>
        <w:tc>
          <w:tcPr>
            <w:tcW w:w="3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4980" w:type="dxa"/>
            <w:vAlign w:val="bottom"/>
            <w:vMerge w:val="continue"/>
          </w:tcPr>
          <w:p>
            <w:pPr>
              <w:spacing w:after="0"/>
              <w:rPr>
                <w:sz w:val="9"/>
                <w:szCs w:val="9"/>
                <w:color w:val="auto"/>
              </w:rPr>
            </w:pPr>
          </w:p>
        </w:tc>
        <w:tc>
          <w:tcPr>
            <w:tcW w:w="3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8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1039" w:right="339" w:bottom="1440" w:gutter="0" w:footer="0" w:header="0"/>
        </w:sectPr>
      </w:pPr>
    </w:p>
    <w:p>
      <w:pPr>
        <w:spacing w:after="0" w:line="154"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tabs>
          <w:tab w:leader="none" w:pos="2420" w:val="left"/>
        </w:tabs>
        <w:rPr>
          <w:sz w:val="20"/>
          <w:szCs w:val="20"/>
          <w:color w:val="auto"/>
        </w:rPr>
      </w:pPr>
      <w:r>
        <w:rPr>
          <w:rFonts w:ascii="Arial" w:cs="Arial" w:eastAsia="Arial" w:hAnsi="Arial"/>
          <w:sz w:val="16"/>
          <w:szCs w:val="16"/>
          <w:b w:val="1"/>
          <w:bCs w:val="1"/>
          <w:color w:val="auto"/>
        </w:rPr>
        <w:t>TRADING SYMBOL</w:t>
      </w:r>
      <w:r>
        <w:rPr>
          <w:sz w:val="20"/>
          <w:szCs w:val="20"/>
          <w:color w:val="auto"/>
        </w:rPr>
        <w:tab/>
      </w:r>
      <w:r>
        <w:rPr>
          <w:rFonts w:ascii="Arial" w:cs="Arial" w:eastAsia="Arial" w:hAnsi="Arial"/>
          <w:sz w:val="16"/>
          <w:szCs w:val="16"/>
          <w:b w:val="1"/>
          <w:bCs w:val="1"/>
          <w:color w:val="auto"/>
        </w:rPr>
        <w:t>NAME OF EACH EXCHANGE ON WHICH REGISTERED</w:t>
      </w:r>
    </w:p>
    <w:p>
      <w:pPr>
        <w:spacing w:after="0" w:line="36" w:lineRule="exact"/>
        <w:rPr>
          <w:sz w:val="24"/>
          <w:szCs w:val="24"/>
          <w:color w:val="auto"/>
        </w:rPr>
      </w:pPr>
    </w:p>
    <w:p>
      <w:pPr>
        <w:sectPr>
          <w:pgSz w:w="11900" w:h="16838" w:orient="portrait"/>
          <w:cols w:equalWidth="0" w:num="2">
            <w:col w:w="3220" w:space="720"/>
            <w:col w:w="7300"/>
          </w:cols>
          <w:pgMar w:left="320" w:top="1039" w:right="339" w:bottom="1440" w:gutter="0" w:footer="0" w:header="0"/>
          <w:type w:val="continuous"/>
        </w:sectPr>
      </w:pPr>
    </w:p>
    <w:p>
      <w:pPr>
        <w:ind w:left="440"/>
        <w:spacing w:after="0"/>
        <w:rPr>
          <w:sz w:val="20"/>
          <w:szCs w:val="20"/>
          <w:color w:val="auto"/>
        </w:rPr>
      </w:pPr>
      <w:r>
        <w:rPr>
          <w:rFonts w:ascii="Arial" w:cs="Arial" w:eastAsia="Arial" w:hAnsi="Arial"/>
          <w:sz w:val="14"/>
          <w:szCs w:val="14"/>
          <w:color w:val="auto"/>
        </w:rPr>
        <w:t>Common Stock, Par Value $.01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IART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211" w:lineRule="exact"/>
        <w:rPr>
          <w:sz w:val="24"/>
          <w:szCs w:val="24"/>
          <w:color w:val="auto"/>
        </w:rPr>
      </w:pPr>
    </w:p>
    <w:p>
      <w:pPr>
        <w:sectPr>
          <w:pgSz w:w="11900" w:h="16838" w:orient="portrait"/>
          <w:cols w:equalWidth="0" w:num="3">
            <w:col w:w="3800" w:space="720"/>
            <w:col w:w="2320" w:space="720"/>
            <w:col w:w="3680"/>
          </w:cols>
          <w:pgMar w:left="320" w:top="1039" w:right="339" w:bottom="1440" w:gutter="0" w:footer="0" w:header="0"/>
          <w:type w:val="continuous"/>
        </w:sectPr>
      </w:pPr>
    </w:p>
    <w:p>
      <w:pPr>
        <w:spacing w:after="0" w:line="127"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20"/>
        <w:spacing w:after="0" w:line="184" w:lineRule="exact"/>
        <w:tabs>
          <w:tab w:leader="none" w:pos="7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40"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8" w:lineRule="exact"/>
        <w:rPr>
          <w:sz w:val="24"/>
          <w:szCs w:val="24"/>
          <w:color w:val="auto"/>
        </w:rPr>
      </w:pPr>
    </w:p>
    <w:p>
      <w:pPr>
        <w:jc w:val="both"/>
        <w:ind w:right="26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904875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54"/>
        </w:trPr>
        <w:tc>
          <w:tcPr>
            <w:tcW w:w="22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62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4"/>
        </w:trPr>
        <w:tc>
          <w:tcPr>
            <w:tcW w:w="2280" w:type="dxa"/>
            <w:vAlign w:val="bottom"/>
          </w:tcPr>
          <w:p>
            <w:pPr>
              <w:spacing w:after="0"/>
              <w:rPr>
                <w:sz w:val="20"/>
                <w:szCs w:val="20"/>
                <w:color w:val="auto"/>
              </w:rPr>
            </w:pPr>
            <w:r>
              <w:rPr>
                <w:rFonts w:ascii="Arial" w:cs="Arial" w:eastAsia="Arial" w:hAnsi="Arial"/>
                <w:sz w:val="16"/>
                <w:szCs w:val="16"/>
                <w:color w:val="auto"/>
              </w:rPr>
              <w:t>Non-accelerated filer</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62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5"/>
        </w:trPr>
        <w:tc>
          <w:tcPr>
            <w:tcW w:w="22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302" w:lineRule="exact"/>
        <w:rPr>
          <w:sz w:val="20"/>
          <w:szCs w:val="20"/>
          <w:color w:val="auto"/>
        </w:rPr>
      </w:pPr>
    </w:p>
    <w:p>
      <w:pPr>
        <w:ind w:right="1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0"/>
          <w:szCs w:val="20"/>
          <w:color w:val="auto"/>
        </w:rPr>
      </w:pPr>
    </w:p>
    <w:p>
      <w:pPr>
        <w:ind w:right="2660"/>
        <w:spacing w:after="0" w:line="26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number of shares of the registrant’s Common Stock, $0.01 par value, outstanding as of October 29, 2021 was 84,699,539.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762635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004" w:right="7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360" w:type="dxa"/>
            <w:vAlign w:val="bottom"/>
            <w:gridSpan w:val="8"/>
          </w:tcPr>
          <w:p>
            <w:pPr>
              <w:jc w:val="center"/>
              <w:ind w:right="1340"/>
              <w:spacing w:after="0"/>
              <w:rPr>
                <w:sz w:val="20"/>
                <w:szCs w:val="20"/>
                <w:color w:val="auto"/>
              </w:rPr>
            </w:pPr>
            <w:r>
              <w:rPr>
                <w:rFonts w:ascii="Arial" w:cs="Arial" w:eastAsia="Arial" w:hAnsi="Arial"/>
                <w:sz w:val="18"/>
                <w:szCs w:val="18"/>
                <w:b w:val="1"/>
                <w:bCs w:val="1"/>
                <w:color w:val="auto"/>
              </w:rPr>
              <w:t>INTEGRA LIFESCIENCES HOLDINGS CORPORATION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40" w:type="dxa"/>
            <w:vAlign w:val="bottom"/>
            <w:gridSpan w:val="6"/>
          </w:tcPr>
          <w:p>
            <w:pPr>
              <w:jc w:val="center"/>
              <w:ind w:right="3160"/>
              <w:spacing w:after="0"/>
              <w:rPr>
                <w:sz w:val="20"/>
                <w:szCs w:val="20"/>
                <w:color w:val="auto"/>
              </w:rPr>
            </w:pPr>
            <w:r>
              <w:rPr>
                <w:rFonts w:ascii="Arial" w:cs="Arial" w:eastAsia="Arial" w:hAnsi="Arial"/>
                <w:sz w:val="18"/>
                <w:szCs w:val="18"/>
                <w:b w:val="1"/>
                <w:bCs w:val="1"/>
                <w:color w:val="auto"/>
              </w:rPr>
              <w:t>INDEX</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5"/>
              </w:rPr>
              <w:t>Number</w:t>
            </w:r>
          </w:p>
        </w:tc>
        <w:tc>
          <w:tcPr>
            <w:tcW w:w="0" w:type="dxa"/>
            <w:vAlign w:val="bottom"/>
          </w:tcPr>
          <w:p>
            <w:pPr>
              <w:spacing w:after="0"/>
              <w:rPr>
                <w:sz w:val="1"/>
                <w:szCs w:val="1"/>
                <w:color w:val="auto"/>
              </w:rPr>
            </w:pPr>
          </w:p>
        </w:tc>
      </w:tr>
      <w:tr>
        <w:trPr>
          <w:trHeight w:val="161"/>
        </w:trPr>
        <w:tc>
          <w:tcPr>
            <w:tcW w:w="2600" w:type="dxa"/>
            <w:vAlign w:val="bottom"/>
            <w:tcBorders>
              <w:bottom w:val="single" w:sz="8" w:color="0000FF"/>
            </w:tcBorders>
            <w:gridSpan w:val="12"/>
          </w:tcPr>
          <w:p>
            <w:pPr>
              <w:spacing w:after="0" w:line="161" w:lineRule="exact"/>
              <w:rPr>
                <w:rFonts w:ascii="Arial" w:cs="Arial" w:eastAsia="Arial" w:hAnsi="Arial"/>
                <w:sz w:val="16"/>
                <w:szCs w:val="16"/>
                <w:color w:val="0000FF"/>
                <w:w w:val="99"/>
              </w:rPr>
            </w:pPr>
            <w:hyperlink w:anchor="page3">
              <w:r>
                <w:rPr>
                  <w:rFonts w:ascii="Arial" w:cs="Arial" w:eastAsia="Arial" w:hAnsi="Arial"/>
                  <w:sz w:val="16"/>
                  <w:szCs w:val="16"/>
                  <w:color w:val="0000FF"/>
                  <w:w w:val="99"/>
                </w:rPr>
                <w:t>PART I. FINANCIAL INFORMATION</w:t>
              </w:r>
            </w:hyperlink>
          </w:p>
        </w:tc>
        <w:tc>
          <w:tcPr>
            <w:tcW w:w="7360" w:type="dxa"/>
            <w:vAlign w:val="bottom"/>
            <w:gridSpan w:val="8"/>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860" w:type="dxa"/>
            <w:vAlign w:val="bottom"/>
            <w:tcBorders>
              <w:bottom w:val="single" w:sz="8" w:color="0000FF"/>
            </w:tcBorders>
            <w:gridSpan w:val="9"/>
          </w:tcPr>
          <w:p>
            <w:pPr>
              <w:spacing w:after="0"/>
              <w:rPr>
                <w:rFonts w:ascii="Arial" w:cs="Arial" w:eastAsia="Arial" w:hAnsi="Arial"/>
                <w:sz w:val="16"/>
                <w:szCs w:val="16"/>
                <w:color w:val="0000FF"/>
                <w:w w:val="90"/>
              </w:rPr>
            </w:pPr>
            <w:hyperlink w:anchor="page4">
              <w:r>
                <w:rPr>
                  <w:rFonts w:ascii="Arial" w:cs="Arial" w:eastAsia="Arial" w:hAnsi="Arial"/>
                  <w:sz w:val="16"/>
                  <w:szCs w:val="16"/>
                  <w:color w:val="0000FF"/>
                  <w:w w:val="90"/>
                </w:rPr>
                <w:t>Item 1. Financial Statements</w:t>
              </w:r>
            </w:hyperlink>
          </w:p>
        </w:tc>
        <w:tc>
          <w:tcPr>
            <w:tcW w:w="8100" w:type="dxa"/>
            <w:vAlign w:val="bottom"/>
            <w:gridSpan w:val="11"/>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960" w:type="dxa"/>
            <w:vAlign w:val="bottom"/>
            <w:gridSpan w:val="20"/>
          </w:tcPr>
          <w:p>
            <w:pPr>
              <w:spacing w:after="0"/>
              <w:rPr>
                <w:rFonts w:ascii="Arial" w:cs="Arial" w:eastAsia="Arial" w:hAnsi="Arial"/>
                <w:sz w:val="16"/>
                <w:szCs w:val="16"/>
                <w:color w:val="0000FF"/>
                <w:w w:val="91"/>
              </w:rPr>
            </w:pPr>
            <w:hyperlink w:anchor="page4">
              <w:r>
                <w:rPr>
                  <w:rFonts w:ascii="Arial" w:cs="Arial" w:eastAsia="Arial" w:hAnsi="Arial"/>
                  <w:sz w:val="16"/>
                  <w:szCs w:val="16"/>
                  <w:color w:val="0000FF"/>
                  <w:w w:val="91"/>
                </w:rPr>
                <w:t>Condensed Consolidated Statements of Operations and Comprehensive Income/Loss for the three and nine months ended September 30, 2021 and 2020</w:t>
              </w:r>
            </w:hyperlink>
          </w:p>
        </w:tc>
        <w:tc>
          <w:tcPr>
            <w:tcW w:w="1240" w:type="dxa"/>
            <w:vAlign w:val="bottom"/>
            <w:gridSpan w:val="3"/>
            <w:vMerge w:val="restart"/>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986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w:anchor="page4">
              <w:r>
                <w:rPr>
                  <w:rFonts w:ascii="Arial" w:cs="Arial" w:eastAsia="Arial" w:hAnsi="Arial"/>
                  <w:sz w:val="16"/>
                  <w:szCs w:val="16"/>
                  <w:color w:val="0000FF"/>
                </w:rPr>
                <w:t>(Unaudited)</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960" w:type="dxa"/>
            <w:vAlign w:val="bottom"/>
            <w:gridSpan w:val="20"/>
          </w:tcPr>
          <w:p>
            <w:pPr>
              <w:spacing w:after="0"/>
              <w:rPr>
                <w:sz w:val="20"/>
                <w:szCs w:val="20"/>
                <w:color w:val="auto"/>
              </w:rPr>
            </w:pPr>
            <w:r>
              <w:rPr>
                <w:rFonts w:ascii="Arial" w:cs="Arial" w:eastAsia="Arial" w:hAnsi="Arial"/>
                <w:sz w:val="16"/>
                <w:szCs w:val="16"/>
                <w:color w:val="0000FF"/>
              </w:rPr>
              <w:t>Condensed Consolidated Balance Sheets as of September 30, 2021 and December 31, 2020 (Unaudited)</w:t>
            </w:r>
          </w:p>
        </w:tc>
        <w:tc>
          <w:tcPr>
            <w:tcW w:w="1240" w:type="dxa"/>
            <w:vAlign w:val="bottom"/>
            <w:gridSpan w:val="3"/>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960" w:type="dxa"/>
            <w:vAlign w:val="bottom"/>
            <w:gridSpan w:val="20"/>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Condensed Consolidated Statements of Cash Flows for the nine months ended September 30, 2021 and 2020 (Unaudited)</w:t>
              </w:r>
            </w:hyperlink>
          </w:p>
        </w:tc>
        <w:tc>
          <w:tcPr>
            <w:tcW w:w="1240" w:type="dxa"/>
            <w:vAlign w:val="bottom"/>
            <w:gridSpan w:val="3"/>
          </w:tcPr>
          <w:p>
            <w:pPr>
              <w:jc w:val="right"/>
              <w:spacing w:after="0"/>
              <w:rPr>
                <w:rFonts w:ascii="Arial" w:cs="Arial" w:eastAsia="Arial" w:hAnsi="Arial"/>
                <w:sz w:val="16"/>
                <w:szCs w:val="16"/>
                <w:color w:val="0000FF"/>
              </w:rPr>
            </w:pPr>
            <w:hyperlink w:anchor="page5">
              <w:r>
                <w:rPr>
                  <w:rFonts w:ascii="Arial" w:cs="Arial" w:eastAsia="Arial" w:hAnsi="Arial"/>
                  <w:sz w:val="16"/>
                  <w:szCs w:val="16"/>
                  <w:color w:val="0000FF"/>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880" w:type="dxa"/>
            <w:vAlign w:val="bottom"/>
            <w:tcBorders>
              <w:bottom w:val="single" w:sz="8" w:color="0000FF"/>
            </w:tcBorders>
            <w:gridSpan w:val="19"/>
          </w:tcPr>
          <w:p>
            <w:pPr>
              <w:spacing w:after="0"/>
              <w:rPr>
                <w:rFonts w:ascii="Arial" w:cs="Arial" w:eastAsia="Arial" w:hAnsi="Arial"/>
                <w:sz w:val="16"/>
                <w:szCs w:val="16"/>
                <w:color w:val="0000FF"/>
                <w:w w:val="90"/>
              </w:rPr>
            </w:pPr>
            <w:hyperlink w:anchor="page6">
              <w:r>
                <w:rPr>
                  <w:rFonts w:ascii="Arial" w:cs="Arial" w:eastAsia="Arial" w:hAnsi="Arial"/>
                  <w:sz w:val="16"/>
                  <w:szCs w:val="16"/>
                  <w:color w:val="0000FF"/>
                  <w:w w:val="90"/>
                </w:rPr>
                <w:t>Condensed Consolidated Statements of Changes in Shareholders' Equity for the three and nine months ended September 30, 2021 and 2020 (Unaudited)</w:t>
              </w:r>
            </w:hyperlink>
          </w:p>
        </w:tc>
        <w:tc>
          <w:tcPr>
            <w:tcW w:w="8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20" w:type="dxa"/>
            <w:vAlign w:val="bottom"/>
            <w:tcBorders>
              <w:bottom w:val="single" w:sz="8" w:color="0000FF"/>
            </w:tcBorders>
            <w:gridSpan w:val="13"/>
          </w:tcPr>
          <w:p>
            <w:pPr>
              <w:spacing w:after="0"/>
              <w:rPr>
                <w:rFonts w:ascii="Arial" w:cs="Arial" w:eastAsia="Arial" w:hAnsi="Arial"/>
                <w:sz w:val="16"/>
                <w:szCs w:val="16"/>
                <w:color w:val="0000FF"/>
                <w:w w:val="90"/>
              </w:rPr>
            </w:pPr>
            <w:hyperlink w:anchor="page8">
              <w:r>
                <w:rPr>
                  <w:rFonts w:ascii="Arial" w:cs="Arial" w:eastAsia="Arial" w:hAnsi="Arial"/>
                  <w:sz w:val="16"/>
                  <w:szCs w:val="16"/>
                  <w:color w:val="0000FF"/>
                  <w:w w:val="90"/>
                </w:rPr>
                <w:t>Notes to Unaudited Condensed Consolidated Financial Statements</w:t>
              </w:r>
            </w:hyperlink>
          </w:p>
        </w:tc>
        <w:tc>
          <w:tcPr>
            <w:tcW w:w="5640" w:type="dxa"/>
            <w:vAlign w:val="bottom"/>
            <w:gridSpan w:val="7"/>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8">
              <w:r>
                <w:rPr>
                  <w:rFonts w:ascii="Arial" w:cs="Arial" w:eastAsia="Arial" w:hAnsi="Arial"/>
                  <w:sz w:val="15"/>
                  <w:szCs w:val="15"/>
                  <w:color w:val="0000FF"/>
                  <w:w w:val="71"/>
                </w:rPr>
                <w:t>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20" w:type="dxa"/>
            <w:vAlign w:val="bottom"/>
            <w:tcBorders>
              <w:bottom w:val="single" w:sz="8" w:color="0000FF"/>
            </w:tcBorders>
            <w:gridSpan w:val="15"/>
          </w:tcPr>
          <w:p>
            <w:pPr>
              <w:spacing w:after="0"/>
              <w:rPr>
                <w:rFonts w:ascii="Arial" w:cs="Arial" w:eastAsia="Arial" w:hAnsi="Arial"/>
                <w:sz w:val="16"/>
                <w:szCs w:val="16"/>
                <w:color w:val="0000FF"/>
                <w:w w:val="92"/>
              </w:rPr>
            </w:pPr>
            <w:hyperlink w:anchor="page34">
              <w:r>
                <w:rPr>
                  <w:rFonts w:ascii="Arial" w:cs="Arial" w:eastAsia="Arial" w:hAnsi="Arial"/>
                  <w:sz w:val="16"/>
                  <w:szCs w:val="16"/>
                  <w:color w:val="0000FF"/>
                  <w:w w:val="92"/>
                </w:rPr>
                <w:t>Item 2. Management’s Discussion and Analysis of Financial Condition and Results of Operations</w:t>
              </w:r>
            </w:hyperlink>
          </w:p>
        </w:tc>
        <w:tc>
          <w:tcPr>
            <w:tcW w:w="3640" w:type="dxa"/>
            <w:vAlign w:val="bottom"/>
            <w:gridSpan w:val="5"/>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34">
              <w:r>
                <w:rPr>
                  <w:rFonts w:ascii="Arial" w:cs="Arial" w:eastAsia="Arial" w:hAnsi="Arial"/>
                  <w:sz w:val="16"/>
                  <w:szCs w:val="16"/>
                  <w:color w:val="0000FF"/>
                  <w:w w:val="78"/>
                </w:rPr>
                <w:t>35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960" w:type="dxa"/>
            <w:vAlign w:val="bottom"/>
            <w:gridSpan w:val="20"/>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Item 3. Quantitative and Qualitative Disclosures About Market Risk</w:t>
              </w:r>
            </w:hyperlink>
          </w:p>
        </w:tc>
        <w:tc>
          <w:tcPr>
            <w:tcW w:w="1240" w:type="dxa"/>
            <w:vAlign w:val="bottom"/>
            <w:gridSpan w:val="3"/>
          </w:tcPr>
          <w:p>
            <w:pPr>
              <w:jc w:val="right"/>
              <w:spacing w:after="0"/>
              <w:rPr>
                <w:rFonts w:ascii="Arial" w:cs="Arial" w:eastAsia="Arial" w:hAnsi="Arial"/>
                <w:sz w:val="16"/>
                <w:szCs w:val="16"/>
                <w:color w:val="0000FF"/>
              </w:rPr>
            </w:pPr>
            <w:hyperlink w:anchor="page48">
              <w:r>
                <w:rPr>
                  <w:rFonts w:ascii="Arial" w:cs="Arial" w:eastAsia="Arial" w:hAnsi="Arial"/>
                  <w:sz w:val="16"/>
                  <w:szCs w:val="16"/>
                  <w:color w:val="0000FF"/>
                </w:rPr>
                <w:t>49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00" w:type="dxa"/>
            <w:vAlign w:val="bottom"/>
            <w:tcBorders>
              <w:top w:val="single" w:sz="8" w:color="0000FF"/>
              <w:bottom w:val="single" w:sz="8" w:color="0000FF"/>
            </w:tcBorders>
            <w:gridSpan w:val="10"/>
          </w:tcPr>
          <w:p>
            <w:pPr>
              <w:spacing w:after="0"/>
              <w:rPr>
                <w:rFonts w:ascii="Arial" w:cs="Arial" w:eastAsia="Arial" w:hAnsi="Arial"/>
                <w:sz w:val="16"/>
                <w:szCs w:val="16"/>
                <w:color w:val="0000FF"/>
                <w:w w:val="90"/>
              </w:rPr>
            </w:pPr>
            <w:hyperlink w:anchor="page49">
              <w:r>
                <w:rPr>
                  <w:rFonts w:ascii="Arial" w:cs="Arial" w:eastAsia="Arial" w:hAnsi="Arial"/>
                  <w:sz w:val="16"/>
                  <w:szCs w:val="16"/>
                  <w:color w:val="0000FF"/>
                  <w:w w:val="90"/>
                </w:rPr>
                <w:t>Item 4. Controls and Procedures</w:t>
              </w:r>
            </w:hyperlink>
          </w:p>
        </w:tc>
        <w:tc>
          <w:tcPr>
            <w:tcW w:w="2320" w:type="dxa"/>
            <w:vAlign w:val="bottom"/>
            <w:tcBorders>
              <w:top w:val="single" w:sz="8" w:color="0000FF"/>
            </w:tcBorders>
            <w:gridSpan w:val="4"/>
          </w:tcPr>
          <w:p>
            <w:pPr>
              <w:spacing w:after="0"/>
              <w:rPr>
                <w:sz w:val="21"/>
                <w:szCs w:val="21"/>
                <w:color w:val="auto"/>
              </w:rPr>
            </w:pPr>
          </w:p>
        </w:tc>
        <w:tc>
          <w:tcPr>
            <w:tcW w:w="5540" w:type="dxa"/>
            <w:vAlign w:val="bottom"/>
            <w:gridSpan w:val="6"/>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49">
              <w:r>
                <w:rPr>
                  <w:rFonts w:ascii="Arial" w:cs="Arial" w:eastAsia="Arial" w:hAnsi="Arial"/>
                  <w:sz w:val="16"/>
                  <w:szCs w:val="16"/>
                  <w:color w:val="0000FF"/>
                  <w:w w:val="78"/>
                </w:rPr>
                <w:t>49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960" w:type="dxa"/>
            <w:vAlign w:val="bottom"/>
            <w:gridSpan w:val="20"/>
          </w:tcPr>
          <w:p>
            <w:pPr>
              <w:spacing w:after="0"/>
              <w:rPr>
                <w:rFonts w:ascii="Arial" w:cs="Arial" w:eastAsia="Arial" w:hAnsi="Arial"/>
                <w:sz w:val="16"/>
                <w:szCs w:val="16"/>
                <w:color w:val="0000FF"/>
              </w:rPr>
            </w:pPr>
            <w:hyperlink w:anchor="page50">
              <w:r>
                <w:rPr>
                  <w:rFonts w:ascii="Arial" w:cs="Arial" w:eastAsia="Arial" w:hAnsi="Arial"/>
                  <w:sz w:val="16"/>
                  <w:szCs w:val="16"/>
                  <w:color w:val="0000FF"/>
                </w:rPr>
                <w:t>PART II. OTHER INFORMATION</w:t>
              </w:r>
            </w:hyperlink>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320" w:type="dxa"/>
            <w:vAlign w:val="bottom"/>
            <w:tcBorders>
              <w:top w:val="single" w:sz="8" w:color="0000FF"/>
            </w:tcBorders>
            <w:gridSpan w:val="11"/>
          </w:tcPr>
          <w:p>
            <w:pPr>
              <w:spacing w:after="0"/>
              <w:rPr>
                <w:rFonts w:ascii="Arial" w:cs="Arial" w:eastAsia="Arial" w:hAnsi="Arial"/>
                <w:sz w:val="16"/>
                <w:szCs w:val="16"/>
                <w:color w:val="0000FF"/>
              </w:rPr>
            </w:pPr>
            <w:hyperlink w:anchor="page50">
              <w:r>
                <w:rPr>
                  <w:rFonts w:ascii="Arial" w:cs="Arial" w:eastAsia="Arial" w:hAnsi="Arial"/>
                  <w:sz w:val="16"/>
                  <w:szCs w:val="16"/>
                  <w:color w:val="0000FF"/>
                </w:rPr>
                <w:t>Item 1. Legal Proceedings</w:t>
              </w:r>
            </w:hyperlink>
          </w:p>
        </w:tc>
        <w:tc>
          <w:tcPr>
            <w:tcW w:w="7640" w:type="dxa"/>
            <w:vAlign w:val="bottom"/>
            <w:gridSpan w:val="9"/>
          </w:tcPr>
          <w:p>
            <w:pPr>
              <w:spacing w:after="0"/>
              <w:rPr>
                <w:sz w:val="21"/>
                <w:szCs w:val="21"/>
                <w:color w:val="auto"/>
              </w:rPr>
            </w:pPr>
          </w:p>
        </w:tc>
        <w:tc>
          <w:tcPr>
            <w:tcW w:w="1240" w:type="dxa"/>
            <w:vAlign w:val="bottom"/>
            <w:gridSpan w:val="3"/>
          </w:tcPr>
          <w:p>
            <w:pPr>
              <w:jc w:val="right"/>
              <w:spacing w:after="0"/>
              <w:rPr>
                <w:rFonts w:ascii="Arial" w:cs="Arial" w:eastAsia="Arial" w:hAnsi="Arial"/>
                <w:sz w:val="16"/>
                <w:szCs w:val="16"/>
                <w:color w:val="0000FF"/>
              </w:rPr>
            </w:pPr>
            <w:hyperlink w:anchor="page50">
              <w:r>
                <w:rPr>
                  <w:rFonts w:ascii="Arial" w:cs="Arial" w:eastAsia="Arial" w:hAnsi="Arial"/>
                  <w:sz w:val="16"/>
                  <w:szCs w:val="16"/>
                  <w:color w:val="0000FF"/>
                </w:rPr>
                <w:t>50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40" w:type="dxa"/>
            <w:vAlign w:val="bottom"/>
            <w:tcBorders>
              <w:top w:val="single" w:sz="8" w:color="0000FF"/>
              <w:bottom w:val="single" w:sz="8" w:color="0000FF"/>
            </w:tcBorders>
            <w:gridSpan w:val="6"/>
          </w:tcPr>
          <w:p>
            <w:pPr>
              <w:spacing w:after="0"/>
              <w:rPr>
                <w:rFonts w:ascii="Arial" w:cs="Arial" w:eastAsia="Arial" w:hAnsi="Arial"/>
                <w:sz w:val="16"/>
                <w:szCs w:val="16"/>
                <w:color w:val="0000FF"/>
                <w:w w:val="92"/>
              </w:rPr>
            </w:pPr>
            <w:hyperlink w:anchor="page50">
              <w:r>
                <w:rPr>
                  <w:rFonts w:ascii="Arial" w:cs="Arial" w:eastAsia="Arial" w:hAnsi="Arial"/>
                  <w:sz w:val="16"/>
                  <w:szCs w:val="16"/>
                  <w:color w:val="0000FF"/>
                  <w:w w:val="92"/>
                </w:rPr>
                <w:t>Item 1A. Risk Factors</w:t>
              </w:r>
            </w:hyperlink>
          </w:p>
        </w:tc>
        <w:tc>
          <w:tcPr>
            <w:tcW w:w="260" w:type="dxa"/>
            <w:vAlign w:val="bottom"/>
            <w:tcBorders>
              <w:top w:val="single" w:sz="8" w:color="0000FF"/>
            </w:tcBorders>
            <w:gridSpan w:val="2"/>
          </w:tcPr>
          <w:p>
            <w:pPr>
              <w:spacing w:after="0"/>
              <w:rPr>
                <w:sz w:val="21"/>
                <w:szCs w:val="21"/>
                <w:color w:val="auto"/>
              </w:rPr>
            </w:pPr>
          </w:p>
        </w:tc>
        <w:tc>
          <w:tcPr>
            <w:tcW w:w="8260" w:type="dxa"/>
            <w:vAlign w:val="bottom"/>
            <w:gridSpan w:val="12"/>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50">
              <w:r>
                <w:rPr>
                  <w:rFonts w:ascii="Arial" w:cs="Arial" w:eastAsia="Arial" w:hAnsi="Arial"/>
                  <w:sz w:val="16"/>
                  <w:szCs w:val="16"/>
                  <w:color w:val="0000FF"/>
                  <w:w w:val="78"/>
                </w:rPr>
                <w:t>50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0000FF"/>
            </w:tcBorders>
            <w:gridSpan w:val="14"/>
          </w:tcPr>
          <w:p>
            <w:pPr>
              <w:spacing w:after="0"/>
              <w:rPr>
                <w:rFonts w:ascii="Arial" w:cs="Arial" w:eastAsia="Arial" w:hAnsi="Arial"/>
                <w:sz w:val="16"/>
                <w:szCs w:val="16"/>
                <w:color w:val="0000FF"/>
                <w:w w:val="90"/>
              </w:rPr>
            </w:pPr>
            <w:hyperlink w:anchor="page50">
              <w:r>
                <w:rPr>
                  <w:rFonts w:ascii="Arial" w:cs="Arial" w:eastAsia="Arial" w:hAnsi="Arial"/>
                  <w:sz w:val="16"/>
                  <w:szCs w:val="16"/>
                  <w:color w:val="0000FF"/>
                  <w:w w:val="90"/>
                </w:rPr>
                <w:t>Item 2. Unregistered Sales of Equity Securities and Use of Proceeds</w:t>
              </w:r>
            </w:hyperlink>
          </w:p>
        </w:tc>
        <w:tc>
          <w:tcPr>
            <w:tcW w:w="5540" w:type="dxa"/>
            <w:vAlign w:val="bottom"/>
            <w:gridSpan w:val="6"/>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50">
              <w:r>
                <w:rPr>
                  <w:rFonts w:ascii="Arial" w:cs="Arial" w:eastAsia="Arial" w:hAnsi="Arial"/>
                  <w:sz w:val="16"/>
                  <w:szCs w:val="16"/>
                  <w:color w:val="0000FF"/>
                  <w:w w:val="78"/>
                </w:rPr>
                <w:t>50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00" w:type="dxa"/>
            <w:vAlign w:val="bottom"/>
            <w:tcBorders>
              <w:bottom w:val="single" w:sz="8" w:color="0000FF"/>
            </w:tcBorders>
            <w:gridSpan w:val="10"/>
          </w:tcPr>
          <w:p>
            <w:pPr>
              <w:spacing w:after="0"/>
              <w:rPr>
                <w:rFonts w:ascii="Arial" w:cs="Arial" w:eastAsia="Arial" w:hAnsi="Arial"/>
                <w:sz w:val="16"/>
                <w:szCs w:val="16"/>
                <w:color w:val="0000FF"/>
                <w:w w:val="92"/>
              </w:rPr>
            </w:pPr>
            <w:hyperlink w:anchor="page50">
              <w:r>
                <w:rPr>
                  <w:rFonts w:ascii="Arial" w:cs="Arial" w:eastAsia="Arial" w:hAnsi="Arial"/>
                  <w:sz w:val="16"/>
                  <w:szCs w:val="16"/>
                  <w:color w:val="0000FF"/>
                  <w:w w:val="92"/>
                </w:rPr>
                <w:t>Item 4. Mine Safety Disclosures</w:t>
              </w:r>
            </w:hyperlink>
          </w:p>
        </w:tc>
        <w:tc>
          <w:tcPr>
            <w:tcW w:w="7860" w:type="dxa"/>
            <w:vAlign w:val="bottom"/>
            <w:gridSpan w:val="10"/>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50">
              <w:r>
                <w:rPr>
                  <w:rFonts w:ascii="Arial" w:cs="Arial" w:eastAsia="Arial" w:hAnsi="Arial"/>
                  <w:sz w:val="16"/>
                  <w:szCs w:val="16"/>
                  <w:color w:val="0000FF"/>
                  <w:w w:val="78"/>
                </w:rPr>
                <w:t>50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960" w:type="dxa"/>
            <w:vAlign w:val="bottom"/>
            <w:gridSpan w:val="20"/>
          </w:tcPr>
          <w:p>
            <w:pPr>
              <w:spacing w:after="0"/>
              <w:rPr>
                <w:rFonts w:ascii="Arial" w:cs="Arial" w:eastAsia="Arial" w:hAnsi="Arial"/>
                <w:sz w:val="16"/>
                <w:szCs w:val="16"/>
                <w:color w:val="0000FF"/>
              </w:rPr>
            </w:pPr>
            <w:hyperlink w:anchor="page50">
              <w:r>
                <w:rPr>
                  <w:rFonts w:ascii="Arial" w:cs="Arial" w:eastAsia="Arial" w:hAnsi="Arial"/>
                  <w:sz w:val="16"/>
                  <w:szCs w:val="16"/>
                  <w:color w:val="0000FF"/>
                </w:rPr>
                <w:t>Item 5. Other Information</w:t>
              </w:r>
            </w:hyperlink>
          </w:p>
        </w:tc>
        <w:tc>
          <w:tcPr>
            <w:tcW w:w="1240" w:type="dxa"/>
            <w:vAlign w:val="bottom"/>
            <w:gridSpan w:val="3"/>
          </w:tcPr>
          <w:p>
            <w:pPr>
              <w:jc w:val="right"/>
              <w:spacing w:after="0"/>
              <w:rPr>
                <w:rFonts w:ascii="Arial" w:cs="Arial" w:eastAsia="Arial" w:hAnsi="Arial"/>
                <w:sz w:val="16"/>
                <w:szCs w:val="16"/>
                <w:color w:val="0000FF"/>
              </w:rPr>
            </w:pPr>
            <w:hyperlink w:anchor="page50">
              <w:r>
                <w:rPr>
                  <w:rFonts w:ascii="Arial" w:cs="Arial" w:eastAsia="Arial" w:hAnsi="Arial"/>
                  <w:sz w:val="16"/>
                  <w:szCs w:val="16"/>
                  <w:color w:val="0000FF"/>
                </w:rPr>
                <w:t>50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1680" w:type="dxa"/>
            <w:vAlign w:val="bottom"/>
            <w:tcBorders>
              <w:top w:val="single" w:sz="8" w:color="0000FF"/>
            </w:tcBorders>
            <w:gridSpan w:val="7"/>
          </w:tcPr>
          <w:p>
            <w:pPr>
              <w:spacing w:after="0"/>
              <w:rPr>
                <w:rFonts w:ascii="Arial" w:cs="Arial" w:eastAsia="Arial" w:hAnsi="Arial"/>
                <w:sz w:val="16"/>
                <w:szCs w:val="16"/>
                <w:color w:val="0000FF"/>
              </w:rPr>
            </w:pPr>
            <w:hyperlink w:anchor="page50">
              <w:r>
                <w:rPr>
                  <w:rFonts w:ascii="Arial" w:cs="Arial" w:eastAsia="Arial" w:hAnsi="Arial"/>
                  <w:sz w:val="16"/>
                  <w:szCs w:val="16"/>
                  <w:color w:val="0000FF"/>
                </w:rPr>
                <w:t>Item 6. Exhibits</w:t>
              </w:r>
            </w:hyperlink>
          </w:p>
        </w:tc>
        <w:tc>
          <w:tcPr>
            <w:tcW w:w="8280" w:type="dxa"/>
            <w:vAlign w:val="bottom"/>
            <w:gridSpan w:val="13"/>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50">
              <w:r>
                <w:rPr>
                  <w:rFonts w:ascii="Arial" w:cs="Arial" w:eastAsia="Arial" w:hAnsi="Arial"/>
                  <w:sz w:val="16"/>
                  <w:szCs w:val="16"/>
                  <w:color w:val="0000FF"/>
                  <w:w w:val="78"/>
                </w:rPr>
                <w:t>50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00" w:type="dxa"/>
            <w:vAlign w:val="bottom"/>
            <w:tcBorders>
              <w:top w:val="single" w:sz="8" w:color="0000FF"/>
              <w:bottom w:val="single" w:sz="8" w:color="0000FF"/>
            </w:tcBorders>
            <w:gridSpan w:val="3"/>
          </w:tcPr>
          <w:p>
            <w:pPr>
              <w:spacing w:after="0"/>
              <w:rPr>
                <w:rFonts w:ascii="Arial" w:cs="Arial" w:eastAsia="Arial" w:hAnsi="Arial"/>
                <w:sz w:val="16"/>
                <w:szCs w:val="16"/>
                <w:color w:val="0000FF"/>
                <w:w w:val="94"/>
              </w:rPr>
            </w:pPr>
            <w:hyperlink w:anchor="page50">
              <w:r>
                <w:rPr>
                  <w:rFonts w:ascii="Arial" w:cs="Arial" w:eastAsia="Arial" w:hAnsi="Arial"/>
                  <w:sz w:val="16"/>
                  <w:szCs w:val="16"/>
                  <w:color w:val="0000FF"/>
                  <w:w w:val="94"/>
                </w:rPr>
                <w:t>SIGNATURES</w:t>
              </w:r>
            </w:hyperlink>
          </w:p>
        </w:tc>
        <w:tc>
          <w:tcPr>
            <w:tcW w:w="40" w:type="dxa"/>
            <w:vAlign w:val="bottom"/>
            <w:tcBorders>
              <w:top w:val="single" w:sz="8" w:color="0000FF"/>
            </w:tcBorders>
          </w:tcPr>
          <w:p>
            <w:pPr>
              <w:spacing w:after="0"/>
              <w:rPr>
                <w:sz w:val="21"/>
                <w:szCs w:val="21"/>
                <w:color w:val="auto"/>
              </w:rPr>
            </w:pPr>
          </w:p>
        </w:tc>
        <w:tc>
          <w:tcPr>
            <w:tcW w:w="8920" w:type="dxa"/>
            <w:vAlign w:val="bottom"/>
            <w:gridSpan w:val="16"/>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50">
              <w:r>
                <w:rPr>
                  <w:rFonts w:ascii="Arial" w:cs="Arial" w:eastAsia="Arial" w:hAnsi="Arial"/>
                  <w:sz w:val="16"/>
                  <w:szCs w:val="16"/>
                  <w:color w:val="0000FF"/>
                  <w:w w:val="78"/>
                </w:rPr>
                <w:t>51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320" w:type="dxa"/>
            <w:vAlign w:val="bottom"/>
          </w:tcPr>
          <w:p>
            <w:pPr>
              <w:spacing w:after="0"/>
              <w:rPr>
                <w:sz w:val="24"/>
                <w:szCs w:val="24"/>
                <w:color w:val="auto"/>
              </w:rPr>
            </w:pPr>
          </w:p>
        </w:tc>
        <w:tc>
          <w:tcPr>
            <w:tcW w:w="820" w:type="dxa"/>
            <w:vAlign w:val="bottom"/>
            <w:tcBorders>
              <w:bottom w:val="single" w:sz="8" w:color="0000FF"/>
            </w:tcBorders>
            <w:gridSpan w:val="4"/>
          </w:tcPr>
          <w:p>
            <w:pPr>
              <w:ind w:left="20"/>
              <w:spacing w:after="0"/>
              <w:rPr>
                <w:rFonts w:ascii="Arial" w:cs="Arial" w:eastAsia="Arial" w:hAnsi="Arial"/>
                <w:sz w:val="16"/>
                <w:szCs w:val="16"/>
                <w:color w:val="0000FF"/>
                <w:w w:val="93"/>
              </w:rPr>
            </w:pPr>
            <w:hyperlink w:anchor="page53">
              <w:r>
                <w:rPr>
                  <w:rFonts w:ascii="Arial" w:cs="Arial" w:eastAsia="Arial" w:hAnsi="Arial"/>
                  <w:sz w:val="16"/>
                  <w:szCs w:val="16"/>
                  <w:color w:val="0000FF"/>
                  <w:w w:val="93"/>
                </w:rPr>
                <w:t>Exhibit 31.1</w:t>
              </w:r>
            </w:hyperlink>
          </w:p>
        </w:tc>
        <w:tc>
          <w:tcPr>
            <w:tcW w:w="8820" w:type="dxa"/>
            <w:vAlign w:val="bottom"/>
            <w:gridSpan w:val="15"/>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60"/>
        <w:spacing w:after="0"/>
        <w:rPr>
          <w:rFonts w:ascii="Arial" w:cs="Arial" w:eastAsia="Arial" w:hAnsi="Arial"/>
          <w:sz w:val="16"/>
          <w:szCs w:val="16"/>
          <w:u w:val="single" w:color="auto"/>
          <w:color w:val="0000FF"/>
        </w:rPr>
      </w:pPr>
      <w:hyperlink w:anchor="page54">
        <w:r>
          <w:rPr>
            <w:rFonts w:ascii="Arial" w:cs="Arial" w:eastAsia="Arial" w:hAnsi="Arial"/>
            <w:sz w:val="16"/>
            <w:szCs w:val="16"/>
            <w:u w:val="single" w:color="auto"/>
            <w:color w:val="0000FF"/>
          </w:rPr>
          <w:t>Exhibit 31.2</w:t>
        </w:r>
      </w:hyperlink>
    </w:p>
    <w:p>
      <w:pPr>
        <w:spacing w:after="0" w:line="32" w:lineRule="exact"/>
        <w:rPr>
          <w:sz w:val="20"/>
          <w:szCs w:val="20"/>
          <w:color w:val="auto"/>
        </w:rPr>
      </w:pPr>
    </w:p>
    <w:p>
      <w:pPr>
        <w:ind w:left="360"/>
        <w:spacing w:after="0"/>
        <w:rPr>
          <w:rFonts w:ascii="Arial" w:cs="Arial" w:eastAsia="Arial" w:hAnsi="Arial"/>
          <w:sz w:val="16"/>
          <w:szCs w:val="16"/>
          <w:u w:val="single" w:color="auto"/>
          <w:color w:val="0000FF"/>
        </w:rPr>
      </w:pPr>
      <w:hyperlink w:anchor="page55">
        <w:r>
          <w:rPr>
            <w:rFonts w:ascii="Arial" w:cs="Arial" w:eastAsia="Arial" w:hAnsi="Arial"/>
            <w:sz w:val="16"/>
            <w:szCs w:val="16"/>
            <w:u w:val="single" w:color="auto"/>
            <w:color w:val="0000FF"/>
          </w:rPr>
          <w:t>Exhibit 32.1</w:t>
        </w:r>
      </w:hyperlink>
    </w:p>
    <w:p>
      <w:pPr>
        <w:spacing w:after="0" w:line="32" w:lineRule="exact"/>
        <w:rPr>
          <w:sz w:val="20"/>
          <w:szCs w:val="20"/>
          <w:color w:val="auto"/>
        </w:rPr>
      </w:pPr>
    </w:p>
    <w:p>
      <w:pPr>
        <w:ind w:left="360"/>
        <w:spacing w:after="0"/>
        <w:rPr>
          <w:rFonts w:ascii="Arial" w:cs="Arial" w:eastAsia="Arial" w:hAnsi="Arial"/>
          <w:sz w:val="16"/>
          <w:szCs w:val="16"/>
          <w:u w:val="single" w:color="auto"/>
          <w:color w:val="0000FF"/>
        </w:rPr>
      </w:pPr>
      <w:hyperlink w:anchor="page56">
        <w:r>
          <w:rPr>
            <w:rFonts w:ascii="Arial" w:cs="Arial" w:eastAsia="Arial" w:hAnsi="Arial"/>
            <w:sz w:val="16"/>
            <w:szCs w:val="16"/>
            <w:u w:val="single" w:color="auto"/>
            <w:color w:val="0000FF"/>
          </w:rPr>
          <w:t>Exhibit 32.2</w:t>
        </w:r>
      </w:hyperlink>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EX-101 INSTANCE DOCUMENT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EX-101 SCHEMA DOCUMENT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EX-101 CALCULATION LINKBASE DOCUMENT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EX-101 DEFINITION LINKBASE DOCUMENT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EX-101 LABELS LINKBASE DOCUMENT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EX-101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5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211"/>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 net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386,861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370,232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1,136,924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983,221</w:t>
            </w:r>
          </w:p>
        </w:tc>
      </w:tr>
      <w:tr>
        <w:trPr>
          <w:trHeight w:val="216"/>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144,468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134,811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441,558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373,765</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55,202</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156,010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150,076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475,195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432,136</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23,393</w:t>
            </w:r>
          </w:p>
        </w:tc>
      </w:tr>
      <w:tr>
        <w:trPr>
          <w:trHeight w:val="207"/>
        </w:trPr>
        <w:tc>
          <w:tcPr>
            <w:tcW w:w="5240" w:type="dxa"/>
            <w:vAlign w:val="bottom"/>
            <w:tcBorders>
              <w:bottom w:val="single" w:sz="8" w:color="CCEEFF"/>
            </w:tcBorders>
          </w:tcPr>
          <w:p>
            <w:pPr>
              <w:ind w:left="520"/>
              <w:spacing w:after="0"/>
              <w:rPr>
                <w:sz w:val="20"/>
                <w:szCs w:val="20"/>
                <w:color w:val="auto"/>
              </w:rPr>
            </w:pPr>
            <w:r>
              <w:rPr>
                <w:rFonts w:ascii="Arial" w:cs="Arial" w:eastAsia="Arial" w:hAnsi="Arial"/>
                <w:sz w:val="16"/>
                <w:szCs w:val="16"/>
                <w:b w:val="1"/>
                <w:bCs w:val="1"/>
                <w:color w:val="auto"/>
              </w:rPr>
              <w:t>Total costs and expenses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330,422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312,690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997,917</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884,496</w:t>
            </w: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98,725</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5,298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7,124</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(54,230)</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Gain (loss) from the sale of business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41,967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14,888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2,985</w:t>
            </w:r>
          </w:p>
        </w:tc>
      </w:tr>
      <w:tr>
        <w:trPr>
          <w:trHeight w:val="207"/>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50,788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41,511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162,890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54,604</w:t>
            </w: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39,199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13,456</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43,229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32,337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123,691</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41,148</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Net income per share</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w:t>
            </w:r>
          </w:p>
        </w:tc>
      </w:tr>
      <w:tr>
        <w:trPr>
          <w:trHeight w:val="213"/>
        </w:trPr>
        <w:tc>
          <w:tcPr>
            <w:tcW w:w="5240" w:type="dxa"/>
            <w:vAlign w:val="bottom"/>
          </w:tcPr>
          <w:p>
            <w:pPr>
              <w:ind w:left="22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0.48</w:t>
            </w:r>
          </w:p>
        </w:tc>
      </w:tr>
      <w:tr>
        <w:trPr>
          <w:trHeight w:val="273"/>
        </w:trPr>
        <w:tc>
          <w:tcPr>
            <w:tcW w:w="5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Weighted average common shares outstanding (See Note 13):</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84,745</w:t>
            </w:r>
          </w:p>
        </w:tc>
      </w:tr>
      <w:tr>
        <w:trPr>
          <w:trHeight w:val="213"/>
        </w:trPr>
        <w:tc>
          <w:tcPr>
            <w:tcW w:w="52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85,447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84,752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85,391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85,303</w:t>
            </w:r>
          </w:p>
        </w:tc>
      </w:tr>
      <w:tr>
        <w:trPr>
          <w:trHeight w:val="23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(See Note 14)</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150,975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25,637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02"/>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470,231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470,166</w:t>
            </w:r>
          </w:p>
        </w:tc>
        <w:tc>
          <w:tcPr>
            <w:tcW w:w="0" w:type="dxa"/>
            <w:vAlign w:val="bottom"/>
          </w:tcPr>
          <w:p>
            <w:pPr>
              <w:spacing w:after="0"/>
              <w:rPr>
                <w:sz w:val="1"/>
                <w:szCs w:val="1"/>
                <w:color w:val="auto"/>
              </w:rPr>
            </w:pPr>
          </w:p>
        </w:tc>
      </w:tr>
      <w:tr>
        <w:trPr>
          <w:trHeight w:val="213"/>
        </w:trPr>
        <w:tc>
          <w:tcPr>
            <w:tcW w:w="7840" w:type="dxa"/>
            <w:vAlign w:val="bottom"/>
          </w:tcPr>
          <w:p>
            <w:pPr>
              <w:ind w:left="300"/>
              <w:spacing w:after="0"/>
              <w:rPr>
                <w:sz w:val="20"/>
                <w:szCs w:val="20"/>
                <w:color w:val="auto"/>
              </w:rPr>
            </w:pPr>
            <w:r>
              <w:rPr>
                <w:rFonts w:ascii="Arial" w:cs="Arial" w:eastAsia="Arial" w:hAnsi="Arial"/>
                <w:sz w:val="16"/>
                <w:szCs w:val="16"/>
                <w:color w:val="auto"/>
              </w:rPr>
              <w:t>Trade accounts receivable, net of allowances of $6,251 and $6,439</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222,232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225,532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310,117</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84,155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69,282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Assets held for sale</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162,105</w:t>
            </w:r>
          </w:p>
        </w:tc>
        <w:tc>
          <w:tcPr>
            <w:tcW w:w="0" w:type="dxa"/>
            <w:vAlign w:val="bottom"/>
          </w:tcPr>
          <w:p>
            <w:pPr>
              <w:spacing w:after="0"/>
              <w:rPr>
                <w:sz w:val="1"/>
                <w:szCs w:val="1"/>
                <w:color w:val="auto"/>
              </w:rPr>
            </w:pPr>
          </w:p>
        </w:tc>
      </w:tr>
      <w:tr>
        <w:trPr>
          <w:trHeight w:val="207"/>
        </w:trPr>
        <w:tc>
          <w:tcPr>
            <w:tcW w:w="784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1,103,785</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1,237,202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293,921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287,529</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Right of use asset - operating leases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87,600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83,635</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1,155,795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989,436</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1,012,081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932,367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73,690</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29,486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11,277</w:t>
            </w:r>
          </w:p>
        </w:tc>
        <w:tc>
          <w:tcPr>
            <w:tcW w:w="0" w:type="dxa"/>
            <w:vAlign w:val="bottom"/>
          </w:tcPr>
          <w:p>
            <w:pPr>
              <w:spacing w:after="0"/>
              <w:rPr>
                <w:sz w:val="1"/>
                <w:szCs w:val="1"/>
                <w:color w:val="auto"/>
              </w:rPr>
            </w:pPr>
          </w:p>
        </w:tc>
      </w:tr>
      <w:tr>
        <w:trPr>
          <w:trHeight w:val="237"/>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3,774,465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3,615,136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8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240"/>
              <w:spacing w:after="0"/>
              <w:rPr>
                <w:sz w:val="20"/>
                <w:szCs w:val="20"/>
                <w:color w:val="auto"/>
              </w:rPr>
            </w:pPr>
            <w:r>
              <w:rPr>
                <w:rFonts w:ascii="Arial" w:cs="Arial" w:eastAsia="Arial" w:hAnsi="Arial"/>
                <w:sz w:val="16"/>
                <w:szCs w:val="16"/>
                <w:color w:val="auto"/>
              </w:rPr>
              <w:t>Current portion of borrowings under senior credit facility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45,000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33,750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portion of borrowings under securitization facility</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112,500</w:t>
            </w:r>
          </w:p>
        </w:tc>
        <w:tc>
          <w:tcPr>
            <w:tcW w:w="0" w:type="dxa"/>
            <w:vAlign w:val="bottom"/>
          </w:tcPr>
          <w:p>
            <w:pPr>
              <w:spacing w:after="0"/>
              <w:rPr>
                <w:sz w:val="1"/>
                <w:szCs w:val="1"/>
                <w:color w:val="auto"/>
              </w:rPr>
            </w:pPr>
          </w:p>
        </w:tc>
      </w:tr>
      <w:tr>
        <w:trPr>
          <w:trHeight w:val="213"/>
        </w:trPr>
        <w:tc>
          <w:tcPr>
            <w:tcW w:w="7840" w:type="dxa"/>
            <w:vAlign w:val="bottom"/>
          </w:tcPr>
          <w:p>
            <w:pPr>
              <w:ind w:left="240"/>
              <w:spacing w:after="0"/>
              <w:rPr>
                <w:sz w:val="20"/>
                <w:szCs w:val="20"/>
                <w:color w:val="auto"/>
              </w:rPr>
            </w:pPr>
            <w:r>
              <w:rPr>
                <w:rFonts w:ascii="Arial" w:cs="Arial" w:eastAsia="Arial" w:hAnsi="Arial"/>
                <w:sz w:val="16"/>
                <w:szCs w:val="16"/>
                <w:color w:val="auto"/>
              </w:rPr>
              <w:t>Current portion of lease liability - operating leases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13,526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12,818</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 trade</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54,608</w:t>
            </w:r>
          </w:p>
        </w:tc>
        <w:tc>
          <w:tcPr>
            <w:tcW w:w="0" w:type="dxa"/>
            <w:vAlign w:val="bottom"/>
          </w:tcPr>
          <w:p>
            <w:pPr>
              <w:spacing w:after="0"/>
              <w:rPr>
                <w:sz w:val="1"/>
                <w:szCs w:val="1"/>
                <w:color w:val="auto"/>
              </w:rPr>
            </w:pPr>
          </w:p>
        </w:tc>
      </w:tr>
      <w:tr>
        <w:trPr>
          <w:trHeight w:val="213"/>
        </w:trPr>
        <w:tc>
          <w:tcPr>
            <w:tcW w:w="7840" w:type="dxa"/>
            <w:vAlign w:val="bottom"/>
          </w:tcPr>
          <w:p>
            <w:pPr>
              <w:ind w:left="240"/>
              <w:spacing w:after="0"/>
              <w:rPr>
                <w:sz w:val="20"/>
                <w:szCs w:val="20"/>
                <w:color w:val="auto"/>
              </w:rPr>
            </w:pPr>
            <w:r>
              <w:rPr>
                <w:rFonts w:ascii="Arial" w:cs="Arial" w:eastAsia="Arial" w:hAnsi="Arial"/>
                <w:sz w:val="16"/>
                <w:szCs w:val="16"/>
                <w:color w:val="auto"/>
              </w:rPr>
              <w:t>Income taxes payable</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24,780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Contract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5,275</w:t>
            </w:r>
          </w:p>
        </w:tc>
        <w:tc>
          <w:tcPr>
            <w:tcW w:w="0" w:type="dxa"/>
            <w:vAlign w:val="bottom"/>
          </w:tcPr>
          <w:p>
            <w:pPr>
              <w:spacing w:after="0"/>
              <w:rPr>
                <w:sz w:val="1"/>
                <w:szCs w:val="1"/>
                <w:color w:val="auto"/>
              </w:rPr>
            </w:pPr>
          </w:p>
        </w:tc>
      </w:tr>
      <w:tr>
        <w:trPr>
          <w:trHeight w:val="213"/>
        </w:trPr>
        <w:tc>
          <w:tcPr>
            <w:tcW w:w="7840" w:type="dxa"/>
            <w:vAlign w:val="bottom"/>
          </w:tcPr>
          <w:p>
            <w:pPr>
              <w:ind w:left="240"/>
              <w:spacing w:after="0"/>
              <w:rPr>
                <w:sz w:val="20"/>
                <w:szCs w:val="20"/>
                <w:color w:val="auto"/>
              </w:rPr>
            </w:pPr>
            <w:r>
              <w:rPr>
                <w:rFonts w:ascii="Arial" w:cs="Arial" w:eastAsia="Arial" w:hAnsi="Arial"/>
                <w:sz w:val="16"/>
                <w:szCs w:val="16"/>
                <w:color w:val="auto"/>
              </w:rPr>
              <w:t>Accrued compensation</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79,229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76,117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94,194</w:t>
            </w:r>
          </w:p>
        </w:tc>
        <w:tc>
          <w:tcPr>
            <w:tcW w:w="0" w:type="dxa"/>
            <w:vAlign w:val="bottom"/>
          </w:tcPr>
          <w:p>
            <w:pPr>
              <w:spacing w:after="0"/>
              <w:rPr>
                <w:sz w:val="1"/>
                <w:szCs w:val="1"/>
                <w:color w:val="auto"/>
              </w:rPr>
            </w:pPr>
          </w:p>
        </w:tc>
      </w:tr>
      <w:tr>
        <w:trPr>
          <w:trHeight w:val="213"/>
        </w:trPr>
        <w:tc>
          <w:tcPr>
            <w:tcW w:w="7840" w:type="dxa"/>
            <w:vAlign w:val="bottom"/>
          </w:tcPr>
          <w:p>
            <w:pPr>
              <w:ind w:left="240"/>
              <w:spacing w:after="0"/>
              <w:rPr>
                <w:sz w:val="20"/>
                <w:szCs w:val="20"/>
                <w:color w:val="auto"/>
              </w:rPr>
            </w:pPr>
            <w:r>
              <w:rPr>
                <w:rFonts w:ascii="Arial" w:cs="Arial" w:eastAsia="Arial" w:hAnsi="Arial"/>
                <w:sz w:val="16"/>
                <w:szCs w:val="16"/>
                <w:color w:val="auto"/>
              </w:rPr>
              <w:t>Liabilities held for sale</w:t>
            </w:r>
          </w:p>
        </w:tc>
        <w:tc>
          <w:tcPr>
            <w:tcW w:w="1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11,751</w:t>
            </w:r>
          </w:p>
        </w:tc>
        <w:tc>
          <w:tcPr>
            <w:tcW w:w="0" w:type="dxa"/>
            <w:vAlign w:val="bottom"/>
          </w:tcPr>
          <w:p>
            <w:pPr>
              <w:spacing w:after="0"/>
              <w:rPr>
                <w:sz w:val="1"/>
                <w:szCs w:val="1"/>
                <w:color w:val="auto"/>
              </w:rPr>
            </w:pPr>
          </w:p>
        </w:tc>
      </w:tr>
      <w:tr>
        <w:trPr>
          <w:trHeight w:val="213"/>
        </w:trPr>
        <w:tc>
          <w:tcPr>
            <w:tcW w:w="78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332,858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401,013</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Long-term borrowings under senior credit facility</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823,736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933,387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borrowings under securitization facility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Long-term convertible securities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563,697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474,834</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 - operating leases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88,118</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70,325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16,190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145,622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186,727</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2,142,778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2,100,269</w:t>
            </w:r>
          </w:p>
        </w:tc>
        <w:tc>
          <w:tcPr>
            <w:tcW w:w="0" w:type="dxa"/>
            <w:vAlign w:val="bottom"/>
          </w:tcPr>
          <w:p>
            <w:pPr>
              <w:spacing w:after="0"/>
              <w:rPr>
                <w:sz w:val="1"/>
                <w:szCs w:val="1"/>
                <w:color w:val="auto"/>
              </w:rPr>
            </w:pPr>
          </w:p>
        </w:tc>
      </w:tr>
      <w:tr>
        <w:trPr>
          <w:trHeight w:val="19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1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784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1"/>
              </w:rPr>
              <w:t>Common stock; $0.01 par value; 240,000 authorized shares; 89,597 and 89,251 issued at September 30, 2021 and</w:t>
            </w: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December 31, 2020, respectively</w:t>
            </w:r>
          </w:p>
        </w:tc>
        <w:tc>
          <w:tcPr>
            <w:tcW w:w="1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1,258,830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1,290,909</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0"/>
              </w:rPr>
              <w:t>Treasury stock, at cost; 4,899 shares and 4,914 shares at September 30, 2021 and December 31, 2020, respectively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(235,141)</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(46,774)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(74,059)</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653,184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532,265</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460"/>
              <w:spacing w:after="0"/>
              <w:rPr>
                <w:sz w:val="20"/>
                <w:szCs w:val="20"/>
                <w:color w:val="auto"/>
              </w:rPr>
            </w:pPr>
            <w:r>
              <w:rPr>
                <w:rFonts w:ascii="Arial" w:cs="Arial" w:eastAsia="Arial" w:hAnsi="Arial"/>
                <w:sz w:val="16"/>
                <w:szCs w:val="16"/>
                <w:b w:val="1"/>
                <w:bCs w:val="1"/>
                <w:color w:val="auto"/>
              </w:rPr>
              <w:t>Total stockholders’ equity</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1,631,687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1,514,867</w:t>
            </w:r>
          </w:p>
        </w:tc>
        <w:tc>
          <w:tcPr>
            <w:tcW w:w="0" w:type="dxa"/>
            <w:vAlign w:val="bottom"/>
          </w:tcPr>
          <w:p>
            <w:pPr>
              <w:spacing w:after="0"/>
              <w:rPr>
                <w:sz w:val="1"/>
                <w:szCs w:val="1"/>
                <w:color w:val="auto"/>
              </w:rPr>
            </w:pPr>
          </w:p>
        </w:tc>
      </w:tr>
      <w:tr>
        <w:trPr>
          <w:trHeight w:val="23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3,774,465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3,615,136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400" w:type="dxa"/>
            <w:vAlign w:val="bottom"/>
            <w:tcBorders>
              <w:bottom w:val="single" w:sz="8" w:color="auto"/>
            </w:tcBorders>
            <w:gridSpan w:val="5"/>
          </w:tcPr>
          <w:p>
            <w:pPr>
              <w:jc w:val="right"/>
              <w:ind w:right="539"/>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78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r>
      <w:tr>
        <w:trPr>
          <w:trHeight w:val="197"/>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123,691</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41,148</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89,090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89,853</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impairment charges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Deferred income tax (benefit) provision</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(13,498)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4,784</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14,333</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Amortization of debt issuance costs and expenses associated with debt refinancing</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5,308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10,499</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lease expense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Accretion of bond issuance discount</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11,075</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disposal of property and equipment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Gain from the sale of business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(41,967)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fair value of contingent consideration and others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Changes in assets and liabilities: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receivable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57,863</w:t>
            </w:r>
          </w:p>
        </w:tc>
      </w:tr>
      <w:tr>
        <w:trPr>
          <w:trHeight w:val="213"/>
        </w:trPr>
        <w:tc>
          <w:tcPr>
            <w:tcW w:w="7840" w:type="dxa"/>
            <w:vAlign w:val="bottom"/>
          </w:tcPr>
          <w:p>
            <w:pPr>
              <w:ind w:left="480"/>
              <w:spacing w:after="0"/>
              <w:rPr>
                <w:sz w:val="20"/>
                <w:szCs w:val="20"/>
                <w:color w:val="auto"/>
              </w:rPr>
            </w:pPr>
            <w:r>
              <w:rPr>
                <w:rFonts w:ascii="Arial" w:cs="Arial" w:eastAsia="Arial" w:hAnsi="Arial"/>
                <w:sz w:val="16"/>
                <w:szCs w:val="16"/>
                <w:color w:val="auto"/>
              </w:rPr>
              <w:t>Inventories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(45,531)</w:t>
            </w:r>
          </w:p>
        </w:tc>
      </w:tr>
      <w:tr>
        <w:trPr>
          <w:trHeight w:val="219"/>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w:t>
            </w:r>
          </w:p>
        </w:tc>
      </w:tr>
      <w:tr>
        <w:trPr>
          <w:trHeight w:val="213"/>
        </w:trPr>
        <w:tc>
          <w:tcPr>
            <w:tcW w:w="7840" w:type="dxa"/>
            <w:vAlign w:val="bottom"/>
          </w:tcPr>
          <w:p>
            <w:pPr>
              <w:ind w:left="480"/>
              <w:spacing w:after="0"/>
              <w:rPr>
                <w:sz w:val="20"/>
                <w:szCs w:val="20"/>
                <w:color w:val="auto"/>
              </w:rPr>
            </w:pPr>
            <w:r>
              <w:rPr>
                <w:rFonts w:ascii="Arial" w:cs="Arial" w:eastAsia="Arial" w:hAnsi="Arial"/>
                <w:sz w:val="16"/>
                <w:szCs w:val="16"/>
                <w:color w:val="auto"/>
              </w:rPr>
              <w:t>Other non-current assets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10,868</w:t>
            </w:r>
          </w:p>
        </w:tc>
      </w:tr>
      <w:tr>
        <w:trPr>
          <w:trHeight w:val="219"/>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(67,178)</w:t>
            </w:r>
          </w:p>
        </w:tc>
      </w:tr>
      <w:tr>
        <w:trPr>
          <w:trHeight w:val="213"/>
        </w:trPr>
        <w:tc>
          <w:tcPr>
            <w:tcW w:w="7840" w:type="dxa"/>
            <w:vAlign w:val="bottom"/>
          </w:tcPr>
          <w:p>
            <w:pPr>
              <w:ind w:left="480"/>
              <w:spacing w:after="0"/>
              <w:rPr>
                <w:sz w:val="20"/>
                <w:szCs w:val="20"/>
                <w:color w:val="auto"/>
              </w:rPr>
            </w:pPr>
            <w:r>
              <w:rPr>
                <w:rFonts w:ascii="Arial" w:cs="Arial" w:eastAsia="Arial" w:hAnsi="Arial"/>
                <w:sz w:val="16"/>
                <w:szCs w:val="16"/>
                <w:color w:val="auto"/>
              </w:rPr>
              <w:t>Contract liabilities</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(548)</w:t>
            </w:r>
          </w:p>
        </w:tc>
      </w:tr>
      <w:tr>
        <w:trPr>
          <w:trHeight w:val="219"/>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non-current liabilities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(5,417)</w:t>
            </w: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243,150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123,570</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(20,595)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(30,463)</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Extremity Orthopedics business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3,311</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business acquisitions, net of cash acquired</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(303,910)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Acquired in-process research and development</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proceeds on swaps designated as net investment hedges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0"/>
              </w:rPr>
              <w:t>(133,958)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(32,152)</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Proceeds from borrowings of long-term indebtedness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13,450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151,300</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on debt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(114,250)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(441,000)</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Purchase of option hedge on convertible notes</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(104,248)</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convertible notes issuance</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575,000</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Proceeds from sale of stock purchase warrants</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44,563</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debt issuance costs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(24,347)</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Purchases of treasury stock</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exercised stock options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3,821</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taxes paid in net equity settlement</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(4,686)</w:t>
            </w: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provided by financing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(98,747)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100,403</w:t>
            </w:r>
          </w:p>
        </w:tc>
      </w:tr>
      <w:tr>
        <w:trPr>
          <w:trHeight w:val="207"/>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5,547</w:t>
            </w: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197,368</w:t>
            </w:r>
          </w:p>
        </w:tc>
      </w:tr>
      <w:tr>
        <w:trPr>
          <w:trHeight w:val="20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470,166</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198,911</w:t>
            </w:r>
          </w:p>
        </w:tc>
      </w:tr>
      <w:tr>
        <w:trPr>
          <w:trHeight w:val="23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470,231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396,279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CHANGES IN SHAREHOLDERS' EQUITY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w:t>
      </w:r>
    </w:p>
    <w:p>
      <w:pPr>
        <w:spacing w:after="0" w:line="202"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23495</wp:posOffset>
            </wp:positionV>
            <wp:extent cx="51689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6890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January 1, 2021</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income, net of tax</w:t>
      </w:r>
    </w:p>
    <w:p>
      <w:pPr>
        <w:spacing w:after="0" w:line="28" w:lineRule="exact"/>
        <w:rPr>
          <w:sz w:val="20"/>
          <w:szCs w:val="20"/>
          <w:color w:val="auto"/>
        </w:rPr>
      </w:pPr>
    </w:p>
    <w:p>
      <w:pPr>
        <w:ind w:left="20" w:right="100"/>
        <w:spacing w:after="0" w:line="236" w:lineRule="auto"/>
        <w:rPr>
          <w:sz w:val="20"/>
          <w:szCs w:val="20"/>
          <w:color w:val="auto"/>
        </w:rPr>
      </w:pPr>
      <w:r>
        <w:rPr>
          <w:rFonts w:ascii="Arial" w:cs="Arial" w:eastAsia="Arial" w:hAnsi="Arial"/>
          <w:sz w:val="14"/>
          <w:szCs w:val="14"/>
          <w:color w:val="auto"/>
        </w:rPr>
        <w:t>Issuance of common stock through employee stock purchase plan</w:t>
      </w:r>
    </w:p>
    <w:p>
      <w:pPr>
        <w:spacing w:after="0" w:line="7" w:lineRule="exact"/>
        <w:rPr>
          <w:sz w:val="20"/>
          <w:szCs w:val="20"/>
          <w:color w:val="auto"/>
        </w:rPr>
      </w:pPr>
    </w:p>
    <w:p>
      <w:pPr>
        <w:ind w:left="20"/>
        <w:spacing w:after="0" w:line="236" w:lineRule="auto"/>
        <w:rPr>
          <w:sz w:val="20"/>
          <w:szCs w:val="20"/>
          <w:color w:val="auto"/>
        </w:rPr>
      </w:pPr>
      <w:r>
        <w:rPr>
          <w:rFonts w:ascii="Arial" w:cs="Arial" w:eastAsia="Arial" w:hAnsi="Arial"/>
          <w:sz w:val="14"/>
          <w:szCs w:val="14"/>
          <w:color w:val="auto"/>
        </w:rPr>
        <w:t>Issuance of common stock for vesting of share based awards, net of shares withheld for taxes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84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Treasury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Additional</w:t>
            </w: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Accumulated Other</w:t>
            </w: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8"/>
                <w:szCs w:val="18"/>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68"/>
        </w:trPr>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3"/>
            <w:vMerge w:val="restart"/>
          </w:tcPr>
          <w:p>
            <w:pPr>
              <w:jc w:val="right"/>
              <w:ind w:right="120"/>
              <w:spacing w:after="0" w:line="115" w:lineRule="exact"/>
              <w:rPr>
                <w:sz w:val="20"/>
                <w:szCs w:val="20"/>
                <w:color w:val="auto"/>
              </w:rPr>
            </w:pPr>
            <w:r>
              <w:rPr>
                <w:rFonts w:ascii="Arial" w:cs="Arial" w:eastAsia="Arial" w:hAnsi="Arial"/>
                <w:sz w:val="13"/>
                <w:szCs w:val="13"/>
                <w:b w:val="1"/>
                <w:bCs w:val="1"/>
                <w:color w:val="auto"/>
              </w:rPr>
              <w:t>Paid-In Capital</w:t>
            </w:r>
          </w:p>
        </w:tc>
        <w:tc>
          <w:tcPr>
            <w:tcW w:w="120" w:type="dxa"/>
            <w:vAlign w:val="bottom"/>
          </w:tcPr>
          <w:p>
            <w:pPr>
              <w:spacing w:after="0"/>
              <w:rPr>
                <w:sz w:val="5"/>
                <w:szCs w:val="5"/>
                <w:color w:val="auto"/>
              </w:rPr>
            </w:pPr>
          </w:p>
        </w:tc>
        <w:tc>
          <w:tcPr>
            <w:tcW w:w="1260" w:type="dxa"/>
            <w:vAlign w:val="bottom"/>
            <w:gridSpan w:val="2"/>
          </w:tcPr>
          <w:p>
            <w:pPr>
              <w:jc w:val="center"/>
              <w:ind w:right="220"/>
              <w:spacing w:after="0" w:line="68" w:lineRule="exact"/>
              <w:rPr>
                <w:sz w:val="20"/>
                <w:szCs w:val="20"/>
                <w:color w:val="auto"/>
              </w:rPr>
            </w:pPr>
            <w:r>
              <w:rPr>
                <w:rFonts w:ascii="Arial" w:cs="Arial" w:eastAsia="Arial" w:hAnsi="Arial"/>
                <w:sz w:val="7"/>
                <w:szCs w:val="7"/>
                <w:b w:val="1"/>
                <w:bCs w:val="1"/>
                <w:color w:val="auto"/>
              </w:rPr>
              <w:t>Comprehensive</w:t>
            </w:r>
          </w:p>
        </w:tc>
        <w:tc>
          <w:tcPr>
            <w:tcW w:w="880" w:type="dxa"/>
            <w:vAlign w:val="bottom"/>
            <w:gridSpan w:val="2"/>
            <w:vMerge w:val="restart"/>
          </w:tcPr>
          <w:p>
            <w:pPr>
              <w:ind w:left="120"/>
              <w:spacing w:after="0" w:line="115" w:lineRule="exact"/>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9"/>
                <w:szCs w:val="9"/>
                <w:color w:val="auto"/>
              </w:rPr>
            </w:pP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8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89,251</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893</w:t>
            </w:r>
          </w:p>
        </w:tc>
        <w:tc>
          <w:tcPr>
            <w:tcW w:w="80" w:type="dxa"/>
            <w:vAlign w:val="bottom"/>
          </w:tcPr>
          <w:p>
            <w:pPr>
              <w:spacing w:after="0"/>
              <w:rPr>
                <w:sz w:val="15"/>
                <w:szCs w:val="15"/>
                <w:color w:val="auto"/>
              </w:rPr>
            </w:pPr>
          </w:p>
        </w:tc>
        <w:tc>
          <w:tcPr>
            <w:tcW w:w="76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auto"/>
                <w:w w:val="94"/>
              </w:rPr>
              <w:t>(4,914)</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(235,141)</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1,290,909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(74,059)</w:t>
            </w:r>
          </w:p>
        </w:tc>
        <w:tc>
          <w:tcPr>
            <w:tcW w:w="100" w:type="dxa"/>
            <w:vAlign w:val="bottom"/>
          </w:tcPr>
          <w:p>
            <w:pPr>
              <w:spacing w:after="0"/>
              <w:rPr>
                <w:sz w:val="15"/>
                <w:szCs w:val="15"/>
                <w:color w:val="auto"/>
              </w:rPr>
            </w:pPr>
          </w:p>
        </w:tc>
        <w:tc>
          <w:tcPr>
            <w:tcW w:w="8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99"/>
              </w:rPr>
              <w:t>$   532,265</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1,514,867</w:t>
            </w:r>
          </w:p>
        </w:tc>
        <w:tc>
          <w:tcPr>
            <w:tcW w:w="0" w:type="dxa"/>
            <w:vAlign w:val="bottom"/>
          </w:tcPr>
          <w:p>
            <w:pPr>
              <w:spacing w:after="0"/>
              <w:rPr>
                <w:sz w:val="1"/>
                <w:szCs w:val="1"/>
                <w:color w:val="auto"/>
              </w:rPr>
            </w:pPr>
          </w:p>
        </w:tc>
      </w:tr>
      <w:tr>
        <w:trPr>
          <w:trHeight w:val="184"/>
        </w:trPr>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45,394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45,394</w:t>
            </w:r>
          </w:p>
        </w:tc>
        <w:tc>
          <w:tcPr>
            <w:tcW w:w="0" w:type="dxa"/>
            <w:vAlign w:val="bottom"/>
          </w:tcPr>
          <w:p>
            <w:pPr>
              <w:spacing w:after="0"/>
              <w:rPr>
                <w:sz w:val="1"/>
                <w:szCs w:val="1"/>
                <w:color w:val="auto"/>
              </w:rPr>
            </w:pPr>
          </w:p>
        </w:tc>
      </w:tr>
      <w:tr>
        <w:trPr>
          <w:trHeight w:val="189"/>
        </w:trPr>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30,432</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30,432</w:t>
            </w:r>
          </w:p>
        </w:tc>
        <w:tc>
          <w:tcPr>
            <w:tcW w:w="0" w:type="dxa"/>
            <w:vAlign w:val="bottom"/>
          </w:tcPr>
          <w:p>
            <w:pPr>
              <w:spacing w:after="0"/>
              <w:rPr>
                <w:sz w:val="1"/>
                <w:szCs w:val="1"/>
                <w:color w:val="auto"/>
              </w:rPr>
            </w:pPr>
          </w:p>
        </w:tc>
      </w:tr>
      <w:tr>
        <w:trPr>
          <w:trHeight w:val="257"/>
        </w:trPr>
        <w:tc>
          <w:tcPr>
            <w:tcW w:w="76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1,127</w:t>
            </w:r>
          </w:p>
        </w:tc>
        <w:tc>
          <w:tcPr>
            <w:tcW w:w="0" w:type="dxa"/>
            <w:vAlign w:val="bottom"/>
          </w:tcPr>
          <w:p>
            <w:pPr>
              <w:spacing w:after="0"/>
              <w:rPr>
                <w:sz w:val="1"/>
                <w:szCs w:val="1"/>
                <w:color w:val="auto"/>
              </w:rPr>
            </w:pPr>
          </w:p>
        </w:tc>
      </w:tr>
      <w:tr>
        <w:trPr>
          <w:trHeight w:val="324"/>
        </w:trPr>
        <w:tc>
          <w:tcPr>
            <w:tcW w:w="760" w:type="dxa"/>
            <w:vAlign w:val="bottom"/>
          </w:tcPr>
          <w:p>
            <w:pPr>
              <w:jc w:val="right"/>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-728980</wp:posOffset>
            </wp:positionV>
            <wp:extent cx="713232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-480695</wp:posOffset>
            </wp:positionV>
            <wp:extent cx="7132320"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-154305</wp:posOffset>
            </wp:positionV>
            <wp:extent cx="713232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3080" w:space="20"/>
            <w:col w:w="81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31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ind w:left="4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ind w:left="5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6,098</w:t>
            </w:r>
          </w:p>
        </w:tc>
        <w:tc>
          <w:tcPr>
            <w:tcW w:w="48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6,098</w:t>
            </w:r>
          </w:p>
        </w:tc>
        <w:tc>
          <w:tcPr>
            <w:tcW w:w="0" w:type="dxa"/>
            <w:vAlign w:val="bottom"/>
          </w:tcPr>
          <w:p>
            <w:pPr>
              <w:spacing w:after="0"/>
              <w:rPr>
                <w:sz w:val="1"/>
                <w:szCs w:val="1"/>
                <w:color w:val="auto"/>
              </w:rPr>
            </w:pPr>
          </w:p>
        </w:tc>
      </w:tr>
      <w:tr>
        <w:trPr>
          <w:trHeight w:val="195"/>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Adoption of Update No. 2020-06</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(63,274)</w:t>
            </w:r>
          </w:p>
        </w:tc>
        <w:tc>
          <w:tcPr>
            <w:tcW w:w="4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(2,772)</w:t>
            </w:r>
          </w:p>
        </w:tc>
        <w:tc>
          <w:tcPr>
            <w:tcW w:w="3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(66,046)</w:t>
            </w:r>
          </w:p>
        </w:tc>
        <w:tc>
          <w:tcPr>
            <w:tcW w:w="0" w:type="dxa"/>
            <w:vAlign w:val="bottom"/>
          </w:tcPr>
          <w:p>
            <w:pPr>
              <w:spacing w:after="0"/>
              <w:rPr>
                <w:sz w:val="1"/>
                <w:szCs w:val="1"/>
                <w:color w:val="auto"/>
              </w:rPr>
            </w:pPr>
          </w:p>
        </w:tc>
      </w:tr>
      <w:tr>
        <w:trPr>
          <w:trHeight w:val="179"/>
        </w:trPr>
        <w:tc>
          <w:tcPr>
            <w:tcW w:w="3100" w:type="dxa"/>
            <w:vAlign w:val="bottom"/>
          </w:tcPr>
          <w:p>
            <w:pPr>
              <w:ind w:left="20"/>
              <w:spacing w:after="0"/>
              <w:rPr>
                <w:sz w:val="20"/>
                <w:szCs w:val="20"/>
                <w:color w:val="auto"/>
              </w:rPr>
            </w:pPr>
            <w:r>
              <w:rPr>
                <w:rFonts w:ascii="Arial" w:cs="Arial" w:eastAsia="Arial" w:hAnsi="Arial"/>
                <w:sz w:val="14"/>
                <w:szCs w:val="14"/>
                <w:color w:val="auto"/>
              </w:rPr>
              <w:t>Balance, March 31, 2021</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89,406</w:t>
            </w: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894</w:t>
            </w:r>
          </w:p>
        </w:tc>
        <w:tc>
          <w:tcPr>
            <w:tcW w:w="7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(4,899)</w:t>
            </w: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(234,461)</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1,231,638</w:t>
            </w: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(43,627)</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574,887</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1,529,331</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35,068</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35,068</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Other comprehensive loss, net of tax</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ind w:left="4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ind w:left="5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(6,336)</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(6,336)</w:t>
            </w: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2"/>
              </w:rPr>
              <w:t>Issuance of common stock for vesting of share based</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68</w:t>
            </w:r>
          </w:p>
        </w:tc>
        <w:tc>
          <w:tcPr>
            <w:tcW w:w="4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1</w:t>
            </w:r>
          </w:p>
        </w:tc>
        <w:tc>
          <w:tcPr>
            <w:tcW w:w="720" w:type="dxa"/>
            <w:vAlign w:val="bottom"/>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1,175</w:t>
            </w:r>
          </w:p>
        </w:tc>
        <w:tc>
          <w:tcPr>
            <w:tcW w:w="4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1,176</w:t>
            </w:r>
          </w:p>
        </w:tc>
        <w:tc>
          <w:tcPr>
            <w:tcW w:w="0" w:type="dxa"/>
            <w:vAlign w:val="bottom"/>
          </w:tcPr>
          <w:p>
            <w:pPr>
              <w:spacing w:after="0"/>
              <w:rPr>
                <w:sz w:val="1"/>
                <w:szCs w:val="1"/>
                <w:color w:val="auto"/>
              </w:rPr>
            </w:pPr>
          </w:p>
        </w:tc>
      </w:tr>
      <w:tr>
        <w:trPr>
          <w:trHeight w:val="109"/>
        </w:trPr>
        <w:tc>
          <w:tcPr>
            <w:tcW w:w="3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awards, net of shares withheld for taxes</w:t>
            </w:r>
          </w:p>
        </w:tc>
        <w:tc>
          <w:tcPr>
            <w:tcW w:w="780" w:type="dxa"/>
            <w:vAlign w:val="bottom"/>
            <w:vMerge w:val="continue"/>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100" w:type="dxa"/>
            <w:vAlign w:val="bottom"/>
            <w:vMerge w:val="continue"/>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Share-based compensation</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15,742</w:t>
            </w: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15,742</w:t>
            </w:r>
          </w:p>
        </w:tc>
        <w:tc>
          <w:tcPr>
            <w:tcW w:w="0" w:type="dxa"/>
            <w:vAlign w:val="bottom"/>
          </w:tcPr>
          <w:p>
            <w:pPr>
              <w:spacing w:after="0"/>
              <w:rPr>
                <w:sz w:val="1"/>
                <w:szCs w:val="1"/>
                <w:color w:val="auto"/>
              </w:rPr>
            </w:pPr>
          </w:p>
        </w:tc>
      </w:tr>
      <w:tr>
        <w:trPr>
          <w:trHeight w:val="208"/>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2021</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89,474</w:t>
            </w:r>
          </w:p>
        </w:tc>
        <w:tc>
          <w:tcPr>
            <w:tcW w:w="4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895</w:t>
            </w:r>
          </w:p>
        </w:tc>
        <w:tc>
          <w:tcPr>
            <w:tcW w:w="7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(4,899)</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(234,461)</w:t>
            </w:r>
          </w:p>
        </w:tc>
        <w:tc>
          <w:tcPr>
            <w:tcW w:w="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1,248,555</w:t>
            </w:r>
          </w:p>
        </w:tc>
        <w:tc>
          <w:tcPr>
            <w:tcW w:w="48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(49,963)</w:t>
            </w:r>
          </w:p>
        </w:tc>
        <w:tc>
          <w:tcPr>
            <w:tcW w:w="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609,955</w:t>
            </w:r>
          </w:p>
        </w:tc>
        <w:tc>
          <w:tcPr>
            <w:tcW w:w="3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1,574,981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income</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00" w:type="dxa"/>
            <w:vAlign w:val="bottom"/>
            <w:vMerge w:val="continue"/>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ind w:left="4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tcPr>
          <w:p>
            <w:pPr>
              <w:ind w:left="5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43,229</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43,229</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3,189</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3,189</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Treasury shares retirement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ind w:left="4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ind w:left="520"/>
              <w:spacing w:after="0"/>
              <w:rPr>
                <w:sz w:val="20"/>
                <w:szCs w:val="20"/>
                <w:color w:val="auto"/>
              </w:rPr>
            </w:pPr>
            <w:r>
              <w:rPr>
                <w:rFonts w:ascii="Arial" w:cs="Arial" w:eastAsia="Arial" w:hAnsi="Arial"/>
                <w:sz w:val="14"/>
                <w:szCs w:val="14"/>
                <w:color w:val="auto"/>
              </w:rPr>
              <w:t>12</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w:t>
            </w:r>
          </w:p>
        </w:tc>
        <w:tc>
          <w:tcPr>
            <w:tcW w:w="48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2"/>
              </w:rPr>
              <w:t>Issuance of common stock for vesting of share based</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123</w:t>
            </w:r>
          </w:p>
        </w:tc>
        <w:tc>
          <w:tcPr>
            <w:tcW w:w="4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1</w:t>
            </w:r>
          </w:p>
        </w:tc>
        <w:tc>
          <w:tcPr>
            <w:tcW w:w="720" w:type="dxa"/>
            <w:vAlign w:val="bottom"/>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2,541</w:t>
            </w:r>
          </w:p>
        </w:tc>
        <w:tc>
          <w:tcPr>
            <w:tcW w:w="4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2,542</w:t>
            </w:r>
          </w:p>
        </w:tc>
        <w:tc>
          <w:tcPr>
            <w:tcW w:w="0" w:type="dxa"/>
            <w:vAlign w:val="bottom"/>
          </w:tcPr>
          <w:p>
            <w:pPr>
              <w:spacing w:after="0"/>
              <w:rPr>
                <w:sz w:val="1"/>
                <w:szCs w:val="1"/>
                <w:color w:val="auto"/>
              </w:rPr>
            </w:pPr>
          </w:p>
        </w:tc>
      </w:tr>
      <w:tr>
        <w:trPr>
          <w:trHeight w:val="110"/>
        </w:trPr>
        <w:tc>
          <w:tcPr>
            <w:tcW w:w="3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awards, net of shares withheld for taxes</w:t>
            </w:r>
          </w:p>
        </w:tc>
        <w:tc>
          <w:tcPr>
            <w:tcW w:w="780" w:type="dxa"/>
            <w:vAlign w:val="bottom"/>
            <w:vMerge w:val="continue"/>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3100" w:type="dxa"/>
            <w:vAlign w:val="bottom"/>
            <w:vMerge w:val="continue"/>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Share-based compensation</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7,746</w:t>
            </w: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7,746</w:t>
            </w:r>
          </w:p>
        </w:tc>
        <w:tc>
          <w:tcPr>
            <w:tcW w:w="0" w:type="dxa"/>
            <w:vAlign w:val="bottom"/>
          </w:tcPr>
          <w:p>
            <w:pPr>
              <w:spacing w:after="0"/>
              <w:rPr>
                <w:sz w:val="1"/>
                <w:szCs w:val="1"/>
                <w:color w:val="auto"/>
              </w:rPr>
            </w:pPr>
          </w:p>
        </w:tc>
      </w:tr>
      <w:tr>
        <w:trPr>
          <w:trHeight w:val="208"/>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30, 2021</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89,597</w:t>
            </w:r>
          </w:p>
        </w:tc>
        <w:tc>
          <w:tcPr>
            <w:tcW w:w="4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896</w:t>
            </w:r>
          </w:p>
        </w:tc>
        <w:tc>
          <w:tcPr>
            <w:tcW w:w="7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(4,899)</w:t>
            </w: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(234,449)</w:t>
            </w: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1,258,830</w:t>
            </w:r>
          </w:p>
        </w:tc>
        <w:tc>
          <w:tcPr>
            <w:tcW w:w="4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(46,774)</w:t>
            </w: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653,184</w:t>
            </w: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1,631,687</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CHANGES IN SHAREHOLDERS' EQUITY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w:t>
      </w:r>
    </w:p>
    <w:p>
      <w:pPr>
        <w:spacing w:after="0" w:line="202"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Nine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23495</wp:posOffset>
            </wp:positionV>
            <wp:extent cx="51689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6890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January 1, 2020</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loss, net of tax</w:t>
      </w:r>
    </w:p>
    <w:p>
      <w:pPr>
        <w:spacing w:after="0" w:line="28" w:lineRule="exact"/>
        <w:rPr>
          <w:sz w:val="20"/>
          <w:szCs w:val="20"/>
          <w:color w:val="auto"/>
        </w:rPr>
      </w:pPr>
    </w:p>
    <w:p>
      <w:pPr>
        <w:ind w:left="20" w:right="100"/>
        <w:spacing w:after="0" w:line="236" w:lineRule="auto"/>
        <w:rPr>
          <w:sz w:val="20"/>
          <w:szCs w:val="20"/>
          <w:color w:val="auto"/>
        </w:rPr>
      </w:pPr>
      <w:r>
        <w:rPr>
          <w:rFonts w:ascii="Arial" w:cs="Arial" w:eastAsia="Arial" w:hAnsi="Arial"/>
          <w:sz w:val="14"/>
          <w:szCs w:val="14"/>
          <w:color w:val="auto"/>
        </w:rPr>
        <w:t>Issuance of common stock through employee stock purchase plan</w:t>
      </w:r>
    </w:p>
    <w:p>
      <w:pPr>
        <w:spacing w:after="0" w:line="7" w:lineRule="exact"/>
        <w:rPr>
          <w:sz w:val="20"/>
          <w:szCs w:val="20"/>
          <w:color w:val="auto"/>
        </w:rPr>
      </w:pPr>
    </w:p>
    <w:p>
      <w:pPr>
        <w:ind w:left="20"/>
        <w:spacing w:after="0" w:line="236" w:lineRule="auto"/>
        <w:rPr>
          <w:sz w:val="20"/>
          <w:szCs w:val="20"/>
          <w:color w:val="auto"/>
        </w:rPr>
      </w:pPr>
      <w:r>
        <w:rPr>
          <w:rFonts w:ascii="Arial" w:cs="Arial" w:eastAsia="Arial" w:hAnsi="Arial"/>
          <w:sz w:val="14"/>
          <w:szCs w:val="14"/>
          <w:color w:val="auto"/>
        </w:rPr>
        <w:t>Issuance of common stock for vesting of share based awards, net of shares withheld for taxes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84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Treasury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Additional</w:t>
            </w:r>
          </w:p>
        </w:tc>
        <w:tc>
          <w:tcPr>
            <w:tcW w:w="13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Accumulated Other</w:t>
            </w: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8"/>
                <w:szCs w:val="18"/>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68"/>
        </w:trPr>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3"/>
            <w:vMerge w:val="restart"/>
          </w:tcPr>
          <w:p>
            <w:pPr>
              <w:jc w:val="right"/>
              <w:ind w:right="120"/>
              <w:spacing w:after="0" w:line="115" w:lineRule="exact"/>
              <w:rPr>
                <w:sz w:val="20"/>
                <w:szCs w:val="20"/>
                <w:color w:val="auto"/>
              </w:rPr>
            </w:pPr>
            <w:r>
              <w:rPr>
                <w:rFonts w:ascii="Arial" w:cs="Arial" w:eastAsia="Arial" w:hAnsi="Arial"/>
                <w:sz w:val="13"/>
                <w:szCs w:val="13"/>
                <w:b w:val="1"/>
                <w:bCs w:val="1"/>
                <w:color w:val="auto"/>
              </w:rPr>
              <w:t>Paid-In Capital</w:t>
            </w:r>
          </w:p>
        </w:tc>
        <w:tc>
          <w:tcPr>
            <w:tcW w:w="120" w:type="dxa"/>
            <w:vAlign w:val="bottom"/>
          </w:tcPr>
          <w:p>
            <w:pPr>
              <w:spacing w:after="0"/>
              <w:rPr>
                <w:sz w:val="5"/>
                <w:szCs w:val="5"/>
                <w:color w:val="auto"/>
              </w:rPr>
            </w:pPr>
          </w:p>
        </w:tc>
        <w:tc>
          <w:tcPr>
            <w:tcW w:w="1260" w:type="dxa"/>
            <w:vAlign w:val="bottom"/>
            <w:gridSpan w:val="2"/>
          </w:tcPr>
          <w:p>
            <w:pPr>
              <w:jc w:val="center"/>
              <w:ind w:right="220"/>
              <w:spacing w:after="0" w:line="68" w:lineRule="exact"/>
              <w:rPr>
                <w:sz w:val="20"/>
                <w:szCs w:val="20"/>
                <w:color w:val="auto"/>
              </w:rPr>
            </w:pPr>
            <w:r>
              <w:rPr>
                <w:rFonts w:ascii="Arial" w:cs="Arial" w:eastAsia="Arial" w:hAnsi="Arial"/>
                <w:sz w:val="7"/>
                <w:szCs w:val="7"/>
                <w:b w:val="1"/>
                <w:bCs w:val="1"/>
                <w:color w:val="auto"/>
              </w:rPr>
              <w:t>Comprehensive</w:t>
            </w:r>
          </w:p>
        </w:tc>
        <w:tc>
          <w:tcPr>
            <w:tcW w:w="880" w:type="dxa"/>
            <w:vAlign w:val="bottom"/>
            <w:gridSpan w:val="2"/>
            <w:vMerge w:val="restart"/>
          </w:tcPr>
          <w:p>
            <w:pPr>
              <w:ind w:left="120"/>
              <w:spacing w:after="0" w:line="115" w:lineRule="exact"/>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9"/>
                <w:szCs w:val="9"/>
                <w:color w:val="auto"/>
              </w:rPr>
            </w:pP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8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88,735</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887</w:t>
            </w:r>
          </w:p>
        </w:tc>
        <w:tc>
          <w:tcPr>
            <w:tcW w:w="80" w:type="dxa"/>
            <w:vAlign w:val="bottom"/>
          </w:tcPr>
          <w:p>
            <w:pPr>
              <w:spacing w:after="0"/>
              <w:rPr>
                <w:sz w:val="15"/>
                <w:szCs w:val="15"/>
                <w:color w:val="auto"/>
              </w:rPr>
            </w:pPr>
          </w:p>
        </w:tc>
        <w:tc>
          <w:tcPr>
            <w:tcW w:w="76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auto"/>
                <w:w w:val="94"/>
              </w:rPr>
              <w:t>(2,865)</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(119,943)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1,213,620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(76,402)</w:t>
            </w:r>
          </w:p>
        </w:tc>
        <w:tc>
          <w:tcPr>
            <w:tcW w:w="100" w:type="dxa"/>
            <w:vAlign w:val="bottom"/>
          </w:tcPr>
          <w:p>
            <w:pPr>
              <w:spacing w:after="0"/>
              <w:rPr>
                <w:sz w:val="15"/>
                <w:szCs w:val="15"/>
                <w:color w:val="auto"/>
              </w:rPr>
            </w:pPr>
          </w:p>
        </w:tc>
        <w:tc>
          <w:tcPr>
            <w:tcW w:w="8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99"/>
              </w:rPr>
              <w:t>$   398,574</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1,416,736</w:t>
            </w:r>
          </w:p>
        </w:tc>
        <w:tc>
          <w:tcPr>
            <w:tcW w:w="0" w:type="dxa"/>
            <w:vAlign w:val="bottom"/>
          </w:tcPr>
          <w:p>
            <w:pPr>
              <w:spacing w:after="0"/>
              <w:rPr>
                <w:sz w:val="1"/>
                <w:szCs w:val="1"/>
                <w:color w:val="auto"/>
              </w:rPr>
            </w:pPr>
          </w:p>
        </w:tc>
      </w:tr>
      <w:tr>
        <w:trPr>
          <w:trHeight w:val="184"/>
        </w:trPr>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9,180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9,180</w:t>
            </w:r>
          </w:p>
        </w:tc>
        <w:tc>
          <w:tcPr>
            <w:tcW w:w="0" w:type="dxa"/>
            <w:vAlign w:val="bottom"/>
          </w:tcPr>
          <w:p>
            <w:pPr>
              <w:spacing w:after="0"/>
              <w:rPr>
                <w:sz w:val="1"/>
                <w:szCs w:val="1"/>
                <w:color w:val="auto"/>
              </w:rPr>
            </w:pPr>
          </w:p>
        </w:tc>
      </w:tr>
      <w:tr>
        <w:trPr>
          <w:trHeight w:val="189"/>
        </w:trPr>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(28,187)</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(28,187)</w:t>
            </w:r>
          </w:p>
        </w:tc>
        <w:tc>
          <w:tcPr>
            <w:tcW w:w="0" w:type="dxa"/>
            <w:vAlign w:val="bottom"/>
          </w:tcPr>
          <w:p>
            <w:pPr>
              <w:spacing w:after="0"/>
              <w:rPr>
                <w:sz w:val="1"/>
                <w:szCs w:val="1"/>
                <w:color w:val="auto"/>
              </w:rPr>
            </w:pPr>
          </w:p>
        </w:tc>
      </w:tr>
      <w:tr>
        <w:trPr>
          <w:trHeight w:val="257"/>
        </w:trPr>
        <w:tc>
          <w:tcPr>
            <w:tcW w:w="76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324"/>
        </w:trPr>
        <w:tc>
          <w:tcPr>
            <w:tcW w:w="760" w:type="dxa"/>
            <w:vAlign w:val="bottom"/>
          </w:tcPr>
          <w:p>
            <w:pPr>
              <w:jc w:val="right"/>
              <w:spacing w:after="0"/>
              <w:rPr>
                <w:sz w:val="20"/>
                <w:szCs w:val="20"/>
                <w:color w:val="auto"/>
              </w:rPr>
            </w:pPr>
            <w:r>
              <w:rPr>
                <w:rFonts w:ascii="Arial" w:cs="Arial" w:eastAsia="Arial" w:hAnsi="Arial"/>
                <w:sz w:val="14"/>
                <w:szCs w:val="14"/>
                <w:color w:val="auto"/>
              </w:rPr>
              <w:t>357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-728980</wp:posOffset>
            </wp:positionV>
            <wp:extent cx="713232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-480695</wp:posOffset>
            </wp:positionV>
            <wp:extent cx="7132320"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-154305</wp:posOffset>
            </wp:positionV>
            <wp:extent cx="713232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3080" w:space="20"/>
            <w:col w:w="81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31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3,781</w:t>
            </w:r>
          </w:p>
        </w:tc>
        <w:tc>
          <w:tcPr>
            <w:tcW w:w="4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3,781</w:t>
            </w:r>
          </w:p>
        </w:tc>
        <w:tc>
          <w:tcPr>
            <w:tcW w:w="0" w:type="dxa"/>
            <w:vAlign w:val="bottom"/>
          </w:tcPr>
          <w:p>
            <w:pPr>
              <w:spacing w:after="0"/>
              <w:rPr>
                <w:sz w:val="1"/>
                <w:szCs w:val="1"/>
                <w:color w:val="auto"/>
              </w:rPr>
            </w:pPr>
          </w:p>
        </w:tc>
      </w:tr>
      <w:tr>
        <w:trPr>
          <w:trHeight w:val="141"/>
        </w:trPr>
        <w:tc>
          <w:tcPr>
            <w:tcW w:w="31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Share repurchase and equity component of the</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2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(7,632)</w:t>
            </w:r>
          </w:p>
        </w:tc>
        <w:tc>
          <w:tcPr>
            <w:tcW w:w="2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42,538</w:t>
            </w:r>
          </w:p>
        </w:tc>
        <w:tc>
          <w:tcPr>
            <w:tcW w:w="4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34,906</w:t>
            </w:r>
          </w:p>
        </w:tc>
        <w:tc>
          <w:tcPr>
            <w:tcW w:w="0" w:type="dxa"/>
            <w:vAlign w:val="bottom"/>
          </w:tcPr>
          <w:p>
            <w:pPr>
              <w:spacing w:after="0"/>
              <w:rPr>
                <w:sz w:val="1"/>
                <w:szCs w:val="1"/>
                <w:color w:val="auto"/>
              </w:rPr>
            </w:pPr>
          </w:p>
        </w:tc>
      </w:tr>
      <w:tr>
        <w:trPr>
          <w:trHeight w:val="109"/>
        </w:trPr>
        <w:tc>
          <w:tcPr>
            <w:tcW w:w="3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convertible note issuance, net</w:t>
            </w:r>
          </w:p>
        </w:tc>
        <w:tc>
          <w:tcPr>
            <w:tcW w:w="780" w:type="dxa"/>
            <w:vAlign w:val="bottom"/>
            <w:vMerge w:val="continue"/>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100" w:type="dxa"/>
            <w:vAlign w:val="bottom"/>
            <w:vMerge w:val="continue"/>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Accelerated shares repurchased</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(1,304)</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(75,407)</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(16,961)</w:t>
            </w:r>
          </w:p>
        </w:tc>
        <w:tc>
          <w:tcPr>
            <w:tcW w:w="4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(92,368)</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Adoption of Update No. 2016-13</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(200)</w:t>
            </w:r>
          </w:p>
        </w:tc>
        <w:tc>
          <w:tcPr>
            <w:tcW w:w="3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79"/>
        </w:trPr>
        <w:tc>
          <w:tcPr>
            <w:tcW w:w="3100" w:type="dxa"/>
            <w:vAlign w:val="bottom"/>
          </w:tcPr>
          <w:p>
            <w:pPr>
              <w:ind w:left="20"/>
              <w:spacing w:after="0"/>
              <w:rPr>
                <w:sz w:val="20"/>
                <w:szCs w:val="20"/>
                <w:color w:val="auto"/>
              </w:rPr>
            </w:pPr>
            <w:r>
              <w:rPr>
                <w:rFonts w:ascii="Arial" w:cs="Arial" w:eastAsia="Arial" w:hAnsi="Arial"/>
                <w:sz w:val="14"/>
                <w:szCs w:val="14"/>
                <w:color w:val="auto"/>
              </w:rPr>
              <w:t>Balance, March 31, 2020</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89,105</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889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(4,294)</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(202,506)</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1,240,455</w:t>
            </w:r>
          </w:p>
        </w:tc>
        <w:tc>
          <w:tcPr>
            <w:tcW w:w="4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(104,589)</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407,554</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1,341,803</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(369)</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Other comprehensive income, net of tax</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1,464</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1,464</w:t>
            </w: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2"/>
              </w:rPr>
              <w:t>Issuance of common stock for vesting of share based</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4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3</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2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1,282</w:t>
            </w:r>
          </w:p>
        </w:tc>
        <w:tc>
          <w:tcPr>
            <w:tcW w:w="4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109"/>
        </w:trPr>
        <w:tc>
          <w:tcPr>
            <w:tcW w:w="3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awards, net of shares withheld for taxes</w:t>
            </w:r>
          </w:p>
        </w:tc>
        <w:tc>
          <w:tcPr>
            <w:tcW w:w="780" w:type="dxa"/>
            <w:vAlign w:val="bottom"/>
            <w:vMerge w:val="continue"/>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3100" w:type="dxa"/>
            <w:vAlign w:val="bottom"/>
            <w:vMerge w:val="continue"/>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4,948</w:t>
            </w:r>
          </w:p>
        </w:tc>
        <w:tc>
          <w:tcPr>
            <w:tcW w:w="4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4,948</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Accelerated shares repurchased</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(32,685)</w:t>
            </w:r>
          </w:p>
        </w:tc>
        <w:tc>
          <w:tcPr>
            <w:tcW w:w="2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32,685</w:t>
            </w:r>
          </w:p>
        </w:tc>
        <w:tc>
          <w:tcPr>
            <w:tcW w:w="4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100" w:type="dxa"/>
            <w:vAlign w:val="bottom"/>
          </w:tcPr>
          <w:p>
            <w:pPr>
              <w:ind w:left="20"/>
              <w:spacing w:after="0"/>
              <w:rPr>
                <w:sz w:val="20"/>
                <w:szCs w:val="20"/>
                <w:color w:val="auto"/>
              </w:rPr>
            </w:pPr>
            <w:r>
              <w:rPr>
                <w:rFonts w:ascii="Arial" w:cs="Arial" w:eastAsia="Arial" w:hAnsi="Arial"/>
                <w:sz w:val="14"/>
                <w:szCs w:val="14"/>
                <w:color w:val="auto"/>
              </w:rPr>
              <w:t>Balance, June 30, 2020</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89,189</w:t>
            </w: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892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(4,915)</w:t>
            </w: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(235,226)</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1,279,370</w:t>
            </w: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(103,125)</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407,185</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1,349,096</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32,337</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32,337</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Other comprehensive loss, net of tax</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11,212</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11,212</w:t>
            </w: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2"/>
              </w:rPr>
              <w:t>Issuance of common stock for vesting of share based</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4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awards, net of shares withheld for taxes</w:t>
            </w:r>
          </w:p>
        </w:tc>
        <w:tc>
          <w:tcPr>
            <w:tcW w:w="780" w:type="dxa"/>
            <w:vAlign w:val="bottom"/>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Share-based compensation</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5,410</w:t>
            </w: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5,410</w:t>
            </w:r>
          </w:p>
        </w:tc>
        <w:tc>
          <w:tcPr>
            <w:tcW w:w="0" w:type="dxa"/>
            <w:vAlign w:val="bottom"/>
          </w:tcPr>
          <w:p>
            <w:pPr>
              <w:spacing w:after="0"/>
              <w:rPr>
                <w:sz w:val="1"/>
                <w:szCs w:val="1"/>
                <w:color w:val="auto"/>
              </w:rPr>
            </w:pPr>
          </w:p>
        </w:tc>
      </w:tr>
      <w:tr>
        <w:trPr>
          <w:trHeight w:val="211"/>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30, 2020</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89,191</w:t>
            </w:r>
          </w:p>
        </w:tc>
        <w:tc>
          <w:tcPr>
            <w:tcW w:w="4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892</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(4,915)</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(235,224)</w:t>
            </w:r>
          </w:p>
        </w:tc>
        <w:tc>
          <w:tcPr>
            <w:tcW w:w="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1,284,711</w:t>
            </w:r>
          </w:p>
        </w:tc>
        <w:tc>
          <w:tcPr>
            <w:tcW w:w="4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(91,913)</w:t>
            </w:r>
          </w:p>
        </w:tc>
        <w:tc>
          <w:tcPr>
            <w:tcW w:w="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439,522</w:t>
            </w:r>
          </w:p>
        </w:tc>
        <w:tc>
          <w:tcPr>
            <w:tcW w:w="3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1,397,988</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opinion of management, the September 30, 2021 unaudited condensed consolidated financial statements contain all adjustments (consisting only of normal recurring adjustments) necessary for a fair statement of the financial position, statement of changes in shareholders' equity,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2020 included in the Company’s Annual Report on Form 10-K. The December 31, 2020 consolidated balance sheet was derived from audited financial statements, but does not include all disclosures required by accounting principles generally accepted in the United States. Operating results for the three and nine month period ended September 30, 2021 are not necessarily indicative of the results to be expected for the entire year.</w:t>
      </w:r>
    </w:p>
    <w:p>
      <w:pPr>
        <w:spacing w:after="0" w:line="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preparation of consolidated financial statements is in conformity with generally accepted accounting principles in the United States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is subject to risks and uncertainties as a result of the COVID-19 pandemic. During the beginning of 2020, the Company's customers diverted resources to treat COVID-19 patients and deferred or canceled elective or non-emergent surgical procedures, all of which impacted hospitals' abilities to meet their obligations, including to the Company. Towards the end of 2020 and through the end of the third quarter of 2021, procedural volumes relevant to the Company’s products steadily increased and, in some geographic areas, began to approach normalized levels. However, on-going uncertainty persists about the continuing sustainability of those procedural volumes as virus outbreaks and staffing constrains at hospitals and surgical centers impact healthcare networks. Furthermore, capital markets and economies worldwide have also seen other indirect COVID-19 pandemic related disruptions including supply chain impacts, material inflation, and labor constraints in certain markets and geographies. Such economic disruption has had an adverse effect on the Company's business as customers curtailed and reduced capital and overall spending that have resulted in higher freight costs, longer supply chains and select labor constraints in certain geographic regions. Policymakers around the globe have responded with fiscal policy actions to support the healthcare industry and the economy as a whole. The magnitude and overall effectiveness of these actions remains uncertain. The severity of the impact of the COVID-19 pandemic on the Company's business will depend on a number of factors, including, but not limited to, duration of the pandemic, including resurgences, new variants or strains, impact of government regulations, the speed and effectiveness of vaccine distribution, vaccine adoption rates and the duration of direct and indirect economic effects of the pandemic and containment measures. The Company's future results of operations and liquidity could be adversely impacted by delays in payments of outstanding receivable amounts beyond normal payment terms, supply chain disruptions and uncertain demand, the extent of inflationary pressure on material and labor costs and the impact of any initiatives or programs that the Company may undertake to address financial and operations challenges faced by its customers. Through the end of the third quarter of 2021, the Company's revenues were still impacted due to COVID-19 resurgences and lower surgical procedural volumes, though not to the levels seen during 2020. As a result, the Company has continued to manage its operating costs in this environment. Even after the COVID-19 pandemic and government responses thereto have subsided, residual economic and other effects may have an impact on the demand for post-pandemic surgery levels that are difficult to predict.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June 2016, the FASB issued ASU No. 2016-13, Financial Instruments - </w:t>
      </w:r>
      <w:r>
        <w:rPr>
          <w:rFonts w:ascii="Arial" w:cs="Arial" w:eastAsia="Arial" w:hAnsi="Arial"/>
          <w:sz w:val="17"/>
          <w:szCs w:val="17"/>
          <w:i w:val="1"/>
          <w:iCs w:val="1"/>
          <w:color w:val="auto"/>
        </w:rPr>
        <w:t>Credit Losses (Topic 326)</w:t>
      </w:r>
      <w:r>
        <w:rPr>
          <w:rFonts w:ascii="Arial" w:cs="Arial" w:eastAsia="Arial" w:hAnsi="Arial"/>
          <w:sz w:val="17"/>
          <w:szCs w:val="17"/>
          <w:color w:val="auto"/>
        </w:rPr>
        <w:t>: Measurement of Credit Losses on Financial Instruments. The ASU is intended to improve financial reporting by requiring timelier recording of credit losses on loans and other financial instruments held by financial institutions and other organizations. The ASU requires the measurement of all expected credit losses for financial assets including trade receivables held at the reporting date based on historical experience, current conditions, and reasonable and supportable forecasts. Financial institutions and other organizations will now use forward-looking information to better inform their credit loss estimates. The ASU became effective for fiscal years, and interim periods within those fiscal years, beginning after December 15, 2019. The Company adopted this guidance on January 1, 2020 using a modified retrospective transition method which requires a cumulative-effect adjustment to the opening balance of retained earnings to be recognized on the date of adoption with no change to financial results reported in prior periods. The cumulative-effect adjustment recorded on January 1, 2020 is not material. The adoption of this ASU did not have a significant impact on the Company's consolidated financial statements and related disclosures. The Company's exposure to credit losses may increase if its customers are adversely affected by changes in healthcare laws, coverage, and reimbursement, economic pressures or uncertainty associated with local or global economic recessions, disruption associated with the COVID-19 pandemic, and other customer-specific factors. Although the Company has historically not experienced significant credit losses, it is possible that there could be an adverse impact due to customer and governmental responses to the COVID-19 pandemic.</w:t>
      </w:r>
    </w:p>
    <w:p>
      <w:pPr>
        <w:spacing w:after="0" w:line="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August 2018, the FASB issued ASU 2018-14, </w:t>
      </w:r>
      <w:r>
        <w:rPr>
          <w:rFonts w:ascii="Arial" w:cs="Arial" w:eastAsia="Arial" w:hAnsi="Arial"/>
          <w:sz w:val="17"/>
          <w:szCs w:val="17"/>
          <w:i w:val="1"/>
          <w:iCs w:val="1"/>
          <w:color w:val="auto"/>
        </w:rPr>
        <w:t>Compensation-Retirement Benefits-Defined Benefit Plans-General (Subtopic 715-20):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Framework-Changes to the Disclosure Requirements for Defined Benefit Plans</w:t>
      </w:r>
      <w:r>
        <w:rPr>
          <w:rFonts w:ascii="Arial" w:cs="Arial" w:eastAsia="Arial" w:hAnsi="Arial"/>
          <w:sz w:val="17"/>
          <w:szCs w:val="17"/>
          <w:color w:val="auto"/>
        </w:rPr>
        <w:t>. This guidance modifies the disclosure requirements for employers that</w:t>
      </w:r>
      <w:r>
        <w:rPr>
          <w:rFonts w:ascii="Arial" w:cs="Arial" w:eastAsia="Arial" w:hAnsi="Arial"/>
          <w:sz w:val="17"/>
          <w:szCs w:val="17"/>
          <w:i w:val="1"/>
          <w:iCs w:val="1"/>
          <w:color w:val="auto"/>
        </w:rPr>
        <w:t xml:space="preserve"> </w:t>
      </w:r>
      <w:r>
        <w:rPr>
          <w:rFonts w:ascii="Arial" w:cs="Arial" w:eastAsia="Arial" w:hAnsi="Arial"/>
          <w:sz w:val="17"/>
          <w:szCs w:val="17"/>
          <w:color w:val="auto"/>
        </w:rPr>
        <w:t>sponsor defined benefit pension or other postretirement plans. The ASU is effective for fiscal years beginning after December 15, 2020, including interim periods within those fiscal years. Early adoption was permitted. The Company adopted this guidance during the year ended December 31, 2020. The adoption of this guidance did not have a significant impact on the Company's consolidated financial statements and related disclosures.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 Goodwill and Other - Internal-Use Software</w:t>
      </w:r>
      <w:r>
        <w:rPr>
          <w:rFonts w:ascii="Arial" w:cs="Arial" w:eastAsia="Arial" w:hAnsi="Arial"/>
          <w:sz w:val="18"/>
          <w:szCs w:val="18"/>
          <w:color w:val="auto"/>
        </w:rPr>
        <w:t xml:space="preserve"> (Subtopic 350-40), relating to a customer's accounting for implementation, set-up, and other upfront costs incurred in a cloud computing arrangement that is hosted by a vendor (e.g., a service contract). Under this guidance, a customer will apply the same criteria for capitalizing implementation costs as it would for an arrangement that has a software license. The new guidance also prescribes the balance sheet, income statement, and cash flow classification of the capitalized implementation costs and related amortization expense, and requires additional quantitative and qualitative disclosures. The ASU is effective for fiscal years, and interim periods within those fiscal years, beginning after December 15, 2019. The Company adopted this guidance on January 1, 2020 using a prospective transition method. The adoption of this guidance did not have a significant impact on the Company's consolidated financial statements and related disclosures.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Simplifying the Accounting for Income Taxes,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This guidance also simplifies aspects of the accounting for franchise taxes and enacted changes in tax laws or rates and clarifies the accounting for transactions that result in a step-up in the tax basis of goodwill. The standard is effective for annual periods beginning after December 15, 2020 and interim periods within, with early adoption permitted. The Company adopted ASU No. 2019-12 as of January 1, 2021. Adoption of the standard requires certain changes to be made prospectively, with some changes to be made retrospectively. The adoption of this guidance did not have a significant impact on the Company's consolidated financial statements and related disclosures.</w:t>
      </w:r>
    </w:p>
    <w:p>
      <w:pPr>
        <w:spacing w:after="0" w:line="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which provides optional guidance for a limited period of time to ease the potential burden in accounting for (or recognizing the effects of) reference rate reform on financial reporting. This amendment applies to all entities, subject to meeting certain criteria, that have contracts, hedging relationships, and other transactions that reference London Inter-Bank Offered Rate ("LIBOR") or another reference rate expected to be discontinued because of reference rate reform. This ASU is effective immediately and may be applied prospectively to contract modifications made and hedging relationships entered into or evaluated on or before December 31, 2022. In January 2021, the FASB also issued ASU 2021-01, </w:t>
      </w:r>
      <w:r>
        <w:rPr>
          <w:rFonts w:ascii="Arial" w:cs="Arial" w:eastAsia="Arial" w:hAnsi="Arial"/>
          <w:sz w:val="16"/>
          <w:szCs w:val="16"/>
          <w:i w:val="1"/>
          <w:iCs w:val="1"/>
          <w:color w:val="auto"/>
        </w:rPr>
        <w:t>Reference Rate Reform- Scope</w:t>
      </w:r>
      <w:r>
        <w:rPr>
          <w:rFonts w:ascii="Arial" w:cs="Arial" w:eastAsia="Arial" w:hAnsi="Arial"/>
          <w:sz w:val="16"/>
          <w:szCs w:val="16"/>
          <w:color w:val="auto"/>
        </w:rPr>
        <w:t xml:space="preserve"> which clarified certain optional expedients and exceptions to entities that are affected because of the reference rate reform. The amendments in this ASU affect the guidance in ASU 2020-04 and are effective in the same timeframe as ASU 2020-04. The Company is currently assessing the impact that this ASU will have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Debt with Conversion and Other Options (Subtopic 470-20)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Entity's Own Equity (Subtopic 815-40):Accounting for Convertible Instruments and Contracts in an Entity's Own Equity</w:t>
      </w:r>
      <w:r>
        <w:rPr>
          <w:rFonts w:ascii="Arial" w:cs="Arial" w:eastAsia="Arial" w:hAnsi="Arial"/>
          <w:sz w:val="17"/>
          <w:szCs w:val="17"/>
          <w:color w:val="auto"/>
        </w:rPr>
        <w:t>. The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simplifies accounting for convertible instruments by removing major separation models required under current GAAP. Consequently, 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The guidance also simplifies the diluted net income per share calculation in certain areas. The ASU will be effective for annual and interim periods beginning after December 15, 2021, and early adoption is permitted for fiscal years beginning after December 15, 2020, and interim periods within those fiscal years using either the modified retrospective or full retrospective method.</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detailed in Note 6 – </w:t>
      </w:r>
      <w:r>
        <w:rPr>
          <w:rFonts w:ascii="Arial" w:cs="Arial" w:eastAsia="Arial" w:hAnsi="Arial"/>
          <w:sz w:val="18"/>
          <w:szCs w:val="18"/>
          <w:i w:val="1"/>
          <w:iCs w:val="1"/>
          <w:color w:val="auto"/>
        </w:rPr>
        <w:t>Debt</w:t>
      </w:r>
      <w:r>
        <w:rPr>
          <w:rFonts w:ascii="Arial" w:cs="Arial" w:eastAsia="Arial" w:hAnsi="Arial"/>
          <w:sz w:val="18"/>
          <w:szCs w:val="18"/>
          <w:color w:val="auto"/>
        </w:rPr>
        <w:t>, on February 4, 2020, the Company issued $575.0 million aggregate principal amount of its 0.5% Convertible Senior Notes due 2025 (the "2025 Notes"). The 2025 Notes are subject to the guidance included in ASU 2020-06. The Company adopted this guidance on January 1, 2021 using the modified retrospective approach which resulted in a cumulative-effect adjustment that increased (decreased) the following consolidated balance sheet accounts: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vMerge w:val="restart"/>
          </w:tcPr>
          <w:p>
            <w:pPr>
              <w:ind w:left="2640"/>
              <w:spacing w:after="0"/>
              <w:rPr>
                <w:sz w:val="20"/>
                <w:szCs w:val="20"/>
                <w:color w:val="auto"/>
              </w:rPr>
            </w:pPr>
            <w:r>
              <w:rPr>
                <w:rFonts w:ascii="Arial" w:cs="Arial" w:eastAsia="Arial" w:hAnsi="Arial"/>
                <w:sz w:val="14"/>
                <w:szCs w:val="14"/>
                <w:b w:val="1"/>
                <w:bCs w:val="1"/>
                <w:color w:val="auto"/>
              </w:rPr>
              <w:t>ADJUSTMENT</w:t>
            </w:r>
          </w:p>
        </w:tc>
        <w:tc>
          <w:tcPr>
            <w:tcW w:w="100" w:type="dxa"/>
            <w:vAlign w:val="bottom"/>
            <w:vMerge w:val="restart"/>
          </w:tcPr>
          <w:p>
            <w:pPr>
              <w:spacing w:after="0"/>
              <w:rPr>
                <w:sz w:val="14"/>
                <w:szCs w:val="14"/>
                <w:color w:val="auto"/>
              </w:rPr>
            </w:pPr>
          </w:p>
        </w:tc>
        <w:tc>
          <w:tcPr>
            <w:tcW w:w="3720" w:type="dxa"/>
            <w:vAlign w:val="bottom"/>
            <w:gridSpan w:val="2"/>
          </w:tcPr>
          <w:p>
            <w:pPr>
              <w:ind w:left="600"/>
              <w:spacing w:after="0"/>
              <w:rPr>
                <w:sz w:val="20"/>
                <w:szCs w:val="20"/>
                <w:color w:val="auto"/>
              </w:rPr>
            </w:pPr>
            <w:r>
              <w:rPr>
                <w:rFonts w:ascii="Arial" w:cs="Arial" w:eastAsia="Arial" w:hAnsi="Arial"/>
                <w:sz w:val="14"/>
                <w:szCs w:val="14"/>
                <w:b w:val="1"/>
                <w:bCs w:val="1"/>
                <w:color w:val="auto"/>
              </w:rPr>
              <w:t>CONSOLIDATED BALANCE SHEET</w:t>
            </w:r>
          </w:p>
        </w:tc>
        <w:tc>
          <w:tcPr>
            <w:tcW w:w="160" w:type="dxa"/>
            <w:vAlign w:val="bottom"/>
          </w:tcPr>
          <w:p>
            <w:pPr>
              <w:spacing w:after="0"/>
              <w:rPr>
                <w:sz w:val="14"/>
                <w:szCs w:val="14"/>
                <w:color w:val="auto"/>
              </w:rPr>
            </w:pPr>
          </w:p>
        </w:tc>
        <w:tc>
          <w:tcPr>
            <w:tcW w:w="1020" w:type="dxa"/>
            <w:vAlign w:val="bottom"/>
          </w:tcPr>
          <w:p>
            <w:pPr>
              <w:jc w:val="right"/>
              <w:ind w:right="20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8"/>
        </w:trPr>
        <w:tc>
          <w:tcPr>
            <w:tcW w:w="6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4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CLASSIFICATION</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11"/>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tax impact of cumulative-effect adjustment</w:t>
            </w: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3"/>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Debt discount reclassification</w:t>
            </w:r>
          </w:p>
        </w:tc>
        <w:tc>
          <w:tcPr>
            <w:tcW w:w="3720" w:type="dxa"/>
            <w:vAlign w:val="bottom"/>
            <w:gridSpan w:val="2"/>
          </w:tcPr>
          <w:p>
            <w:pPr>
              <w:ind w:left="20"/>
              <w:spacing w:after="0"/>
              <w:rPr>
                <w:sz w:val="20"/>
                <w:szCs w:val="20"/>
                <w:color w:val="auto"/>
              </w:rPr>
            </w:pPr>
            <w:r>
              <w:rPr>
                <w:rFonts w:ascii="Arial" w:cs="Arial" w:eastAsia="Arial" w:hAnsi="Arial"/>
                <w:sz w:val="16"/>
                <w:szCs w:val="16"/>
                <w:color w:val="auto"/>
              </w:rPr>
              <w:t>Long-term convertible securities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89.1</w:t>
            </w:r>
          </w:p>
        </w:tc>
        <w:tc>
          <w:tcPr>
            <w:tcW w:w="0" w:type="dxa"/>
            <w:vAlign w:val="bottom"/>
          </w:tcPr>
          <w:p>
            <w:pPr>
              <w:spacing w:after="0"/>
              <w:rPr>
                <w:sz w:val="1"/>
                <w:szCs w:val="1"/>
                <w:color w:val="auto"/>
              </w:rPr>
            </w:pPr>
          </w:p>
        </w:tc>
      </w:tr>
      <w:tr>
        <w:trPr>
          <w:trHeight w:val="219"/>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issuance costs reclassification</w:t>
            </w: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convertible securities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Debt discount amortization and equity costs reclassification, net of tax</w:t>
            </w:r>
          </w:p>
        </w:tc>
        <w:tc>
          <w:tcPr>
            <w:tcW w:w="3720" w:type="dxa"/>
            <w:vAlign w:val="bottom"/>
            <w:gridSpan w:val="2"/>
          </w:tcPr>
          <w:p>
            <w:pPr>
              <w:ind w:left="2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impact of cumulative-effect adjustment</w:t>
            </w: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Upon adoption of ASU 2020-06, the Company’s 2025 Notes were reflected entirely as a liability since the embedded conversion feature will no longer be separately presented within stockholders’ equity. On December 9, 2020, the Company made an irrevocable election under the indenture to require the principal portion of its 2025 Notes to be settled in cash and any excess in shares. Following the irrevocable notice, only the amounts settled in excess of the principal will be considered in diluted earnings per share under the “if-converted” method. Additionally, from January 1, 2021, the Company is no longer incurring non-cash interest expense for the amortization of debt discount, therefore the interest expense for the 2025 Notes, which is included in the interest expense on the consolidated statements of operations and comprehensive loss, is lower as compared to the fiscal year of 2020.</w:t>
      </w:r>
    </w:p>
    <w:p>
      <w:pPr>
        <w:spacing w:after="0" w:line="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October 2020, the FASB issued ASU 2020-10, </w:t>
      </w:r>
      <w:r>
        <w:rPr>
          <w:rFonts w:ascii="Arial" w:cs="Arial" w:eastAsia="Arial" w:hAnsi="Arial"/>
          <w:sz w:val="17"/>
          <w:szCs w:val="17"/>
          <w:i w:val="1"/>
          <w:iCs w:val="1"/>
          <w:color w:val="auto"/>
        </w:rPr>
        <w:t>Codification Improvements</w:t>
      </w:r>
      <w:r>
        <w:rPr>
          <w:rFonts w:ascii="Arial" w:cs="Arial" w:eastAsia="Arial" w:hAnsi="Arial"/>
          <w:sz w:val="17"/>
          <w:szCs w:val="17"/>
          <w:color w:val="auto"/>
        </w:rPr>
        <w:t>, which updates various codification topics by clarifying or improving disclosure requirements to align with the regulations of the U.S. Securities and Exchange Commission (the "SEC") . The ASU has been effective for the Company for annual and interim periods beginning after January 1, 2021. The Company adopted this standard on the January 1, 2021. The adoption of this guidance did not have a significant impact on the Company's consolidated financial statements and related disclosures.</w:t>
      </w:r>
    </w:p>
    <w:p>
      <w:pPr>
        <w:spacing w:after="0" w:line="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May 2021, the FASB issued ASU No. 2021-04, </w:t>
      </w:r>
      <w:r>
        <w:rPr>
          <w:rFonts w:ascii="Arial" w:cs="Arial" w:eastAsia="Arial" w:hAnsi="Arial"/>
          <w:sz w:val="16"/>
          <w:szCs w:val="16"/>
          <w:i w:val="1"/>
          <w:iCs w:val="1"/>
          <w:color w:val="auto"/>
        </w:rPr>
        <w:t>Earnings Per Share (Topic 260), Debt—Modifications and Extinguishments (Subtopic 470-50),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Compensation—Stock Compensation (Topic 718), and Derivatives and Hedging—Contracts in Entity’s Own Equity (Subtopic 815-40): Issuer’s Accounting for Certain Modifications or Exchanges of Freestanding Equity-Classified Written Call Options </w:t>
      </w:r>
      <w:r>
        <w:rPr>
          <w:rFonts w:ascii="Arial" w:cs="Arial" w:eastAsia="Arial" w:hAnsi="Arial"/>
          <w:sz w:val="16"/>
          <w:szCs w:val="16"/>
          <w:color w:val="auto"/>
        </w:rPr>
        <w:t>which provides guidance to clarify and reduce diversity in</w:t>
      </w:r>
      <w:r>
        <w:rPr>
          <w:rFonts w:ascii="Arial" w:cs="Arial" w:eastAsia="Arial" w:hAnsi="Arial"/>
          <w:sz w:val="16"/>
          <w:szCs w:val="16"/>
          <w:i w:val="1"/>
          <w:iCs w:val="1"/>
          <w:color w:val="auto"/>
        </w:rPr>
        <w:t xml:space="preserve"> </w:t>
      </w:r>
      <w:r>
        <w:rPr>
          <w:rFonts w:ascii="Arial" w:cs="Arial" w:eastAsia="Arial" w:hAnsi="Arial"/>
          <w:sz w:val="16"/>
          <w:szCs w:val="16"/>
          <w:color w:val="auto"/>
        </w:rPr>
        <w:t>an issuer’s accounting for modifications or exchanges of freestanding equity-classified written call options (for example, warrants) that remain equity classified after modification or exchange. The amendments in this ASU No. 2021-04 are effective for all entities for fiscal years beginning after December 15, 2021, and interim periods within those fiscal years, with early adoption permitted, including interim periods within those fiscal years. The amendment currently has no impact to the Company as the effect will largely depend on the terms of written call options or financings issued or modified in the future.</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any significant effect on the Company's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Extremity Orthopedics Business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4, 2021, the Company completed its previously announced sale of its Extremity Orthopedics business to Smith &amp; Nephew USD Limited ("Smith &amp; Nephew"). The transaction included the sale of the Company's upper and lower Extremity Orthopedics product portfolio, including ankle and shoulder arthroplasty and hand and wrist product lines. The Company received an aggregate purchase price of $240.0 million from Smith and Nephew and concurrently paid $41.5 million to the Consortium of Focused Orthopedists, LLC ("CFO") effectively terminating the licensing agreement between Integra and CFO relating to the development of shoulder arthroplasty products.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divested consisted of the following as of December 31, 2020 (dollar amounts in thousands):</w:t>
      </w:r>
    </w:p>
    <w:p>
      <w:pPr>
        <w:spacing w:after="0" w:line="226"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860" w:type="dxa"/>
            <w:vAlign w:val="bottom"/>
            <w:shd w:val="clear" w:color="auto" w:fill="CCEEFF"/>
          </w:tcPr>
          <w:p>
            <w:pPr>
              <w:jc w:val="right"/>
              <w:ind w:right="70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Right of use asset-operating leases and Other assets</w:t>
            </w:r>
          </w:p>
        </w:tc>
        <w:tc>
          <w:tcPr>
            <w:tcW w:w="8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3,186</w:t>
            </w: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8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6,589</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8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13,332</w:t>
            </w: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8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37,893</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Goodwill</w:t>
            </w:r>
          </w:p>
        </w:tc>
        <w:tc>
          <w:tcPr>
            <w:tcW w:w="8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47,546</w:t>
            </w: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8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52,845</w:t>
            </w:r>
          </w:p>
        </w:tc>
      </w:tr>
      <w:tr>
        <w:trPr>
          <w:trHeight w:val="212"/>
        </w:trPr>
        <w:tc>
          <w:tcPr>
            <w:tcW w:w="4440" w:type="dxa"/>
            <w:vAlign w:val="bottom"/>
          </w:tcPr>
          <w:p>
            <w:pPr>
              <w:ind w:left="240"/>
              <w:spacing w:after="0"/>
              <w:rPr>
                <w:sz w:val="20"/>
                <w:szCs w:val="20"/>
                <w:color w:val="auto"/>
              </w:rPr>
            </w:pPr>
            <w:r>
              <w:rPr>
                <w:rFonts w:ascii="Arial" w:cs="Arial" w:eastAsia="Arial" w:hAnsi="Arial"/>
                <w:sz w:val="16"/>
                <w:szCs w:val="16"/>
                <w:b w:val="1"/>
                <w:bCs w:val="1"/>
                <w:color w:val="auto"/>
              </w:rPr>
              <w:t>Total assets held for sale</w:t>
            </w:r>
          </w:p>
        </w:tc>
        <w:tc>
          <w:tcPr>
            <w:tcW w:w="860" w:type="dxa"/>
            <w:vAlign w:val="bottom"/>
            <w:tcBorders>
              <w:bottom w:val="single" w:sz="8" w:color="auto"/>
            </w:tcBorders>
          </w:tcPr>
          <w:p>
            <w:pPr>
              <w:jc w:val="right"/>
              <w:ind w:right="70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162,104</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4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8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336</w:t>
            </w: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lease liability - operating leases</w:t>
            </w:r>
          </w:p>
        </w:tc>
        <w:tc>
          <w:tcPr>
            <w:tcW w:w="8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Accrued compensation</w:t>
            </w:r>
          </w:p>
        </w:tc>
        <w:tc>
          <w:tcPr>
            <w:tcW w:w="8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1,767</w:t>
            </w: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8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3,440</w:t>
            </w:r>
          </w:p>
        </w:tc>
      </w:tr>
      <w:tr>
        <w:trPr>
          <w:trHeight w:val="21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Lease liability - operating leases</w:t>
            </w:r>
          </w:p>
        </w:tc>
        <w:tc>
          <w:tcPr>
            <w:tcW w:w="8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5,669</w:t>
            </w:r>
          </w:p>
        </w:tc>
      </w:tr>
      <w:tr>
        <w:trPr>
          <w:trHeight w:val="238"/>
        </w:trPr>
        <w:tc>
          <w:tcPr>
            <w:tcW w:w="4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Total liabilities held for sale</w:t>
            </w:r>
          </w:p>
        </w:tc>
        <w:tc>
          <w:tcPr>
            <w:tcW w:w="86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11,751</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divestiture does not represent a strategic shift that will have a major effect on the Company's operations and financial statements. Goodwill was allocated to the assets and liabilities divested using the relative fair value method of the Extremity Orthopedics business to the Company's Tissue Technologies reporting unit. In connection with the sale, the Company recognized a gain of $42.0 million that is presented in Gain from the sale of business in the consolidated statement of operations for the nine months ended September 30, 2021. The Company finalized the net working capital and paid an additional $1.3 million to Smith &amp; Nephew as of September 30, 2021.</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entered into a transition services agreement with Smith &amp; Nephew which requires the Company to provide certain services on behalf of Smith &amp; Nephew for the duration of the period subsequent to the sale of the business as defined in the agreement. The Company recognized a payable due to Smith &amp; Nephew of $7.2 million as of September 30, 2021, included in the consolidated balance sheet within accrued expenses and other current liabilities.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ACell, Inc. Acquisition</w:t>
      </w:r>
    </w:p>
    <w:p>
      <w:pPr>
        <w:spacing w:after="0" w:line="10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On January 20, 2021, the Company acquired ACell, Inc. (the "ACell Acquisition") for an acquisition purchase price of $306.9 million plus contingent considerations of up to $100 million, that may be payable upon achieving certain revenue-based performance milestones in 2022, 2023 and 2025. The final working capital adjustments of $1.3 million was finalized and paid as of June 30, 2021. Certain amounts relating to tax matters have not been finalized which may result in changes to goodwill upon completion. ACell was a privately-held company that offered a portfolio of regenerative products for complex wound management, including developing and commercializing products based on MatriStem Urinary Bladder Matrix, a technology platform derived from porcine urinary bladder extracellular matrix.</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 at Fair Value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ACell Acquisition has been accounted for using the acquisition method of accounting. This method requires that assets acquired and liabilities assumed in a business combination are recognized at their fair values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fair values of the assets acquired and liabilities assumed at the acquisition date: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40" w:type="dxa"/>
            <w:vAlign w:val="bottom"/>
          </w:tcPr>
          <w:p>
            <w:pPr>
              <w:spacing w:after="0"/>
              <w:rPr>
                <w:sz w:val="14"/>
                <w:szCs w:val="14"/>
                <w:color w:val="auto"/>
              </w:rPr>
            </w:pPr>
          </w:p>
        </w:tc>
        <w:tc>
          <w:tcPr>
            <w:tcW w:w="1900" w:type="dxa"/>
            <w:vAlign w:val="bottom"/>
          </w:tcPr>
          <w:p>
            <w:pPr>
              <w:jc w:val="right"/>
              <w:ind w:right="100"/>
              <w:spacing w:after="0"/>
              <w:rPr>
                <w:sz w:val="20"/>
                <w:szCs w:val="20"/>
                <w:color w:val="auto"/>
              </w:rPr>
            </w:pPr>
            <w:r>
              <w:rPr>
                <w:rFonts w:ascii="Arial" w:cs="Arial" w:eastAsia="Arial" w:hAnsi="Arial"/>
                <w:sz w:val="14"/>
                <w:szCs w:val="14"/>
                <w:b w:val="1"/>
                <w:bCs w:val="1"/>
                <w:color w:val="auto"/>
                <w:w w:val="94"/>
              </w:rPr>
              <w:t>Preliminary Valuation as of</w:t>
            </w:r>
          </w:p>
        </w:tc>
        <w:tc>
          <w:tcPr>
            <w:tcW w:w="100" w:type="dxa"/>
            <w:vAlign w:val="bottom"/>
          </w:tcPr>
          <w:p>
            <w:pPr>
              <w:spacing w:after="0"/>
              <w:rPr>
                <w:sz w:val="14"/>
                <w:szCs w:val="14"/>
                <w:color w:val="auto"/>
              </w:rPr>
            </w:pPr>
          </w:p>
        </w:tc>
        <w:tc>
          <w:tcPr>
            <w:tcW w:w="17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Weighted Average Life</w:t>
            </w:r>
          </w:p>
        </w:tc>
        <w:tc>
          <w:tcPr>
            <w:tcW w:w="0" w:type="dxa"/>
            <w:vAlign w:val="bottom"/>
          </w:tcPr>
          <w:p>
            <w:pPr>
              <w:spacing w:after="0"/>
              <w:rPr>
                <w:sz w:val="1"/>
                <w:szCs w:val="1"/>
                <w:color w:val="auto"/>
              </w:rPr>
            </w:pPr>
          </w:p>
        </w:tc>
      </w:tr>
      <w:tr>
        <w:trPr>
          <w:trHeight w:val="188"/>
        </w:trPr>
        <w:tc>
          <w:tcPr>
            <w:tcW w:w="73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40" w:type="dxa"/>
            <w:vAlign w:val="bottom"/>
          </w:tcPr>
          <w:p>
            <w:pPr>
              <w:ind w:left="24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2,726</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Trade accounts receivable, net</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40" w:type="dxa"/>
            <w:vAlign w:val="bottom"/>
          </w:tcPr>
          <w:p>
            <w:pPr>
              <w:ind w:left="240"/>
              <w:spacing w:after="0"/>
              <w:rPr>
                <w:sz w:val="20"/>
                <w:szCs w:val="20"/>
                <w:color w:val="auto"/>
              </w:rPr>
            </w:pPr>
            <w:r>
              <w:rPr>
                <w:rFonts w:ascii="Arial" w:cs="Arial" w:eastAsia="Arial" w:hAnsi="Arial"/>
                <w:sz w:val="16"/>
                <w:szCs w:val="16"/>
                <w:color w:val="auto"/>
              </w:rPr>
              <w:t>Inventories, net</w:t>
            </w:r>
          </w:p>
        </w:tc>
        <w:tc>
          <w:tcPr>
            <w:tcW w:w="1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18,299</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Prepaids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34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38,992</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1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245,000</w:t>
            </w:r>
          </w:p>
        </w:tc>
        <w:tc>
          <w:tcPr>
            <w:tcW w:w="100" w:type="dxa"/>
            <w:vAlign w:val="bottom"/>
          </w:tcPr>
          <w:p>
            <w:pPr>
              <w:spacing w:after="0"/>
              <w:rPr>
                <w:sz w:val="18"/>
                <w:szCs w:val="18"/>
                <w:color w:val="auto"/>
              </w:rPr>
            </w:pPr>
          </w:p>
        </w:tc>
        <w:tc>
          <w:tcPr>
            <w:tcW w:w="1760" w:type="dxa"/>
            <w:vAlign w:val="bottom"/>
          </w:tcPr>
          <w:p>
            <w:pPr>
              <w:ind w:left="980"/>
              <w:spacing w:after="0"/>
              <w:rPr>
                <w:sz w:val="20"/>
                <w:szCs w:val="20"/>
                <w:color w:val="auto"/>
              </w:rPr>
            </w:pPr>
            <w:r>
              <w:rPr>
                <w:rFonts w:ascii="Arial" w:cs="Arial" w:eastAsia="Arial" w:hAnsi="Arial"/>
                <w:sz w:val="16"/>
                <w:szCs w:val="16"/>
                <w:color w:val="auto"/>
                <w:w w:val="89"/>
              </w:rPr>
              <w:t>13-14 years</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94,298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color w:val="auto"/>
              </w:rPr>
              <w:t>Right of use asset - operating leases</w:t>
            </w:r>
          </w:p>
        </w:tc>
        <w:tc>
          <w:tcPr>
            <w:tcW w:w="1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9,259</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 acquired</w:t>
            </w: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411,234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Current portion of lease liability - operating leases</w:t>
            </w:r>
          </w:p>
        </w:tc>
        <w:tc>
          <w:tcPr>
            <w:tcW w:w="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8,357</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color w:val="auto"/>
              </w:rPr>
              <w:t>Other long-term liability</w:t>
            </w:r>
          </w:p>
        </w:tc>
        <w:tc>
          <w:tcPr>
            <w:tcW w:w="1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 - operating leases</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1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64,178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w:t>
            </w:r>
          </w:p>
        </w:tc>
        <w:tc>
          <w:tcPr>
            <w:tcW w:w="1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Total liabilities assumed</w:t>
            </w:r>
          </w:p>
        </w:tc>
        <w:tc>
          <w:tcPr>
            <w:tcW w:w="1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104,296</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Net assets acquired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306,938</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estimated fair value of the developed technology acquired was determined using the multi-period excess earnings method of the income approach, which estimates value based on the present value of future economic benefits. Some of the more significant assumptions inherent in the development of those asset valuations include the estimated net cash flows for each year for each product including net revenues, cost of sales, R&amp;D costs, selling and marketing costs, the appropriate discount rate to select in order to measure the risk inherent in each future cash flow stream, the assessment of each asset’s life cycle, and competitive trends impacting the asset and each cash flow stream.</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used a discount rate of 8.5%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allocated goodwill related to the ACell acquisition to the Tissue Technologies segment. Goodwill is the excess of the consideration transferred over the net assets recognized and represents the expected synergies of the combined company and assembled workforce. Goodwill recognized as a result of this acquisition is non-deductible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part of the acquisition, the Company is required to make payments to the former shareholders of ACell up to $100 million based on the achievement of certain revenue-based performance milestones in 2022, 2023, and 2025. The Company used iterations of the Monte Carlo simulation to calculate the fair value of the contingent consideration that considered the possible outcomes of scenarios related to each specific milestone. The Company estimated the fair value of the contingent consideration to be $23.9 million at the acquisition date. The estimated fair value as of September 30, 2021 was $23.0 million. This amount is included in other liabilities at September 30, 2021 in the consolidated balance sheets of the Company.</w:t>
      </w:r>
    </w:p>
    <w:p>
      <w:pPr>
        <w:spacing w:after="0" w:line="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determines the acquisition date fair value of contingent consideration obligations using a Monte Carlo simulation, as well as significant unobservable inputs, reflecting the Company’s assessment of the assumptions market participants would use to value these liabilities. The fair value measurement is based on significant inputs not observable in the market and thus represents a Level 3 measurement as defined using the fair value concepts in ASC 820. The resultant most likely payouts are discounted using an appropriate effective annual interest rate. At each reporting date, the contingent consideration obligations will be revalued to estimated fair value and changes in fair value will be reflected as income or expense in our consolidated statement of operations. Changes in the fair value of the contingent considerations may result from changes in discount periods and rates and changes in the timing and amount of revenue estimates.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Liabilities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(unaudited)</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 forma revenues for the three months ended September 30, 2021 and 2020 were $386.9 million and $396.8 million, respectively. Pro forma revenues for the nine months ended September 30, 2021 and 2020 were $1,141.5 million and $1,051.9 million, respectively. Pro forma net income and earnings per share are not presented for this acquisition as they are not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Accounting Policies on Revenue Recognition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performance obligations consist mainly of transferring control of goods and services identified in the contracts, purchase orders, or invoices. The Company has no significant multi-element contracts with customers.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Usage-based royalties and licenses are estimated based on the provisions of contracts with customers and recognized in the same period that the royalty-based products are sold by the Company and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estimates returns, price concessions, and discount allowances using the expected value method based on historical trends and other known factors. Rebate allowances are estimated using the most likely method based on each customer contract.</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return policy, as set forth in its product catalogs and sales invoices, requires review and authorization in advance prior to the return of product. Upon the authorization, a credit will be issued for the goods returned within a set amount of days from the shipment, which is generally ninety days.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 and Liability</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contract asset and liability balances for the nine months ended September 30,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90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Contract Asset</w:t>
            </w:r>
          </w:p>
        </w:tc>
        <w:tc>
          <w:tcPr>
            <w:tcW w:w="8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9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9060" w:type="dxa"/>
            <w:vAlign w:val="bottom"/>
            <w:gridSpan w:val="3"/>
          </w:tcPr>
          <w:p>
            <w:pPr>
              <w:ind w:left="200"/>
              <w:spacing w:after="0"/>
              <w:rPr>
                <w:sz w:val="20"/>
                <w:szCs w:val="20"/>
                <w:color w:val="auto"/>
              </w:rPr>
            </w:pPr>
            <w:r>
              <w:rPr>
                <w:rFonts w:ascii="Arial" w:cs="Arial" w:eastAsia="Arial" w:hAnsi="Arial"/>
                <w:sz w:val="16"/>
                <w:szCs w:val="16"/>
                <w:color w:val="auto"/>
              </w:rPr>
              <w:t>Contract asset, January 1, 2021</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7,430</w:t>
            </w:r>
          </w:p>
        </w:tc>
      </w:tr>
      <w:tr>
        <w:trPr>
          <w:trHeight w:val="219"/>
        </w:trPr>
        <w:tc>
          <w:tcPr>
            <w:tcW w:w="20" w:type="dxa"/>
            <w:vAlign w:val="bottom"/>
            <w:shd w:val="clear" w:color="auto" w:fill="CCEEFF"/>
          </w:tcPr>
          <w:p>
            <w:pPr>
              <w:spacing w:after="0"/>
              <w:rPr>
                <w:sz w:val="19"/>
                <w:szCs w:val="19"/>
                <w:color w:val="auto"/>
              </w:rPr>
            </w:pPr>
          </w:p>
        </w:tc>
        <w:tc>
          <w:tcPr>
            <w:tcW w:w="90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Transferred to trade receivable of contract asset included in beginning of the year contract asset</w:t>
            </w: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(7,430)</w:t>
            </w:r>
          </w:p>
        </w:tc>
      </w:tr>
      <w:tr>
        <w:trPr>
          <w:trHeight w:val="213"/>
        </w:trPr>
        <w:tc>
          <w:tcPr>
            <w:tcW w:w="20" w:type="dxa"/>
            <w:vAlign w:val="bottom"/>
            <w:tcBorders>
              <w:bottom w:val="single" w:sz="8" w:color="CCEEFF"/>
            </w:tcBorders>
          </w:tcPr>
          <w:p>
            <w:pPr>
              <w:spacing w:after="0"/>
              <w:rPr>
                <w:sz w:val="18"/>
                <w:szCs w:val="18"/>
                <w:color w:val="auto"/>
              </w:rPr>
            </w:pPr>
          </w:p>
        </w:tc>
        <w:tc>
          <w:tcPr>
            <w:tcW w:w="9060" w:type="dxa"/>
            <w:vAlign w:val="bottom"/>
            <w:tcBorders>
              <w:bottom w:val="single" w:sz="8" w:color="CCEEFF"/>
            </w:tcBorders>
            <w:gridSpan w:val="3"/>
          </w:tcPr>
          <w:p>
            <w:pPr>
              <w:ind w:left="620"/>
              <w:spacing w:after="0"/>
              <w:rPr>
                <w:sz w:val="20"/>
                <w:szCs w:val="20"/>
                <w:color w:val="auto"/>
              </w:rPr>
            </w:pPr>
            <w:r>
              <w:rPr>
                <w:rFonts w:ascii="Arial" w:cs="Arial" w:eastAsia="Arial" w:hAnsi="Arial"/>
                <w:sz w:val="16"/>
                <w:szCs w:val="16"/>
                <w:color w:val="auto"/>
              </w:rPr>
              <w:t>Contract asset, net of transferred to trade receivables on contracts during the period</w:t>
            </w:r>
          </w:p>
        </w:tc>
        <w:tc>
          <w:tcPr>
            <w:tcW w:w="8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8,378</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0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Contract asset, September 30, 2021</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906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color w:val="auto"/>
              </w:rPr>
              <w:t>Contract Liability</w:t>
            </w:r>
          </w:p>
        </w:tc>
        <w:tc>
          <w:tcPr>
            <w:tcW w:w="8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79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9060" w:type="dxa"/>
            <w:vAlign w:val="bottom"/>
            <w:gridSpan w:val="3"/>
          </w:tcPr>
          <w:p>
            <w:pPr>
              <w:ind w:left="200"/>
              <w:spacing w:after="0"/>
              <w:rPr>
                <w:sz w:val="20"/>
                <w:szCs w:val="20"/>
                <w:color w:val="auto"/>
              </w:rPr>
            </w:pPr>
            <w:r>
              <w:rPr>
                <w:rFonts w:ascii="Arial" w:cs="Arial" w:eastAsia="Arial" w:hAnsi="Arial"/>
                <w:sz w:val="16"/>
                <w:szCs w:val="16"/>
                <w:color w:val="auto"/>
              </w:rPr>
              <w:t>Contract liability, January 1, 2021</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11,961</w:t>
            </w:r>
          </w:p>
        </w:tc>
      </w:tr>
      <w:tr>
        <w:trPr>
          <w:trHeight w:val="219"/>
        </w:trPr>
        <w:tc>
          <w:tcPr>
            <w:tcW w:w="20" w:type="dxa"/>
            <w:vAlign w:val="bottom"/>
            <w:shd w:val="clear" w:color="auto" w:fill="CCEEFF"/>
          </w:tcPr>
          <w:p>
            <w:pPr>
              <w:spacing w:after="0"/>
              <w:rPr>
                <w:sz w:val="19"/>
                <w:szCs w:val="19"/>
                <w:color w:val="auto"/>
              </w:rPr>
            </w:pPr>
          </w:p>
        </w:tc>
        <w:tc>
          <w:tcPr>
            <w:tcW w:w="90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Recognition of revenue included in beginning of year contract liability</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(4,291)</w:t>
            </w:r>
          </w:p>
        </w:tc>
      </w:tr>
      <w:tr>
        <w:trPr>
          <w:trHeight w:val="213"/>
        </w:trPr>
        <w:tc>
          <w:tcPr>
            <w:tcW w:w="20" w:type="dxa"/>
            <w:vAlign w:val="bottom"/>
          </w:tcPr>
          <w:p>
            <w:pPr>
              <w:spacing w:after="0"/>
              <w:rPr>
                <w:sz w:val="18"/>
                <w:szCs w:val="18"/>
                <w:color w:val="auto"/>
              </w:rPr>
            </w:pPr>
          </w:p>
        </w:tc>
        <w:tc>
          <w:tcPr>
            <w:tcW w:w="9060" w:type="dxa"/>
            <w:vAlign w:val="bottom"/>
            <w:gridSpan w:val="3"/>
          </w:tcPr>
          <w:p>
            <w:pPr>
              <w:ind w:left="460"/>
              <w:spacing w:after="0"/>
              <w:rPr>
                <w:sz w:val="20"/>
                <w:szCs w:val="20"/>
                <w:color w:val="auto"/>
              </w:rPr>
            </w:pPr>
            <w:r>
              <w:rPr>
                <w:rFonts w:ascii="Arial" w:cs="Arial" w:eastAsia="Arial" w:hAnsi="Arial"/>
                <w:sz w:val="16"/>
                <w:szCs w:val="16"/>
                <w:color w:val="auto"/>
              </w:rPr>
              <w:t>Contract liability, net of revenue recognized on contracts during the period</w:t>
            </w:r>
          </w:p>
        </w:tc>
        <w:tc>
          <w:tcPr>
            <w:tcW w:w="8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3,694</w:t>
            </w:r>
          </w:p>
        </w:tc>
      </w:tr>
      <w:tr>
        <w:trPr>
          <w:trHeight w:val="216"/>
        </w:trPr>
        <w:tc>
          <w:tcPr>
            <w:tcW w:w="20" w:type="dxa"/>
            <w:vAlign w:val="bottom"/>
            <w:shd w:val="clear" w:color="auto" w:fill="CCEEFF"/>
          </w:tcPr>
          <w:p>
            <w:pPr>
              <w:spacing w:after="0"/>
              <w:rPr>
                <w:sz w:val="18"/>
                <w:szCs w:val="18"/>
                <w:color w:val="auto"/>
              </w:rPr>
            </w:pPr>
          </w:p>
        </w:tc>
        <w:tc>
          <w:tcPr>
            <w:tcW w:w="90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Foreign currency translation</w:t>
            </w:r>
          </w:p>
        </w:tc>
        <w:tc>
          <w:tcPr>
            <w:tcW w:w="8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20" w:type="dxa"/>
            <w:vAlign w:val="bottom"/>
          </w:tcPr>
          <w:p>
            <w:pPr>
              <w:spacing w:after="0"/>
              <w:rPr>
                <w:sz w:val="18"/>
                <w:szCs w:val="18"/>
                <w:color w:val="auto"/>
              </w:rPr>
            </w:pPr>
          </w:p>
        </w:tc>
        <w:tc>
          <w:tcPr>
            <w:tcW w:w="9060" w:type="dxa"/>
            <w:vAlign w:val="bottom"/>
            <w:gridSpan w:val="3"/>
          </w:tcPr>
          <w:p>
            <w:pPr>
              <w:ind w:left="200"/>
              <w:spacing w:after="0"/>
              <w:rPr>
                <w:sz w:val="20"/>
                <w:szCs w:val="20"/>
                <w:color w:val="auto"/>
              </w:rPr>
            </w:pPr>
            <w:r>
              <w:rPr>
                <w:rFonts w:ascii="Arial" w:cs="Arial" w:eastAsia="Arial" w:hAnsi="Arial"/>
                <w:sz w:val="16"/>
                <w:szCs w:val="16"/>
                <w:color w:val="auto"/>
              </w:rPr>
              <w:t>Contract liability, September 30, 2021</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11,338</w:t>
            </w: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2021, the short-term portion of the contract liability of $5.4 million and the long-term portion of $5.9 million were included in accrued expenses and other current liabilities and other liabilities, respectively, in the consolidated balance sheet.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the Company is expected to recognize approximately 48% of unsatisfied (or partially unsatisfied) performance obligations as revenue within twelve months, with the remaining balance to be recognized thereafter.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Fees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Collected from Customers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revenues disaggregated by the major sources of revenues for the three and nine months ended September 30, 2021 and 2020 (dollar amounts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580" w:type="dxa"/>
            <w:vAlign w:val="bottom"/>
          </w:tcPr>
          <w:p>
            <w:pPr>
              <w:jc w:val="right"/>
              <w:ind w:right="181"/>
              <w:spacing w:after="0"/>
              <w:rPr>
                <w:sz w:val="20"/>
                <w:szCs w:val="20"/>
                <w:color w:val="auto"/>
              </w:rPr>
            </w:pPr>
            <w:r>
              <w:rPr>
                <w:rFonts w:ascii="Arial" w:cs="Arial" w:eastAsia="Arial" w:hAnsi="Arial"/>
                <w:sz w:val="14"/>
                <w:szCs w:val="14"/>
                <w:b w:val="1"/>
                <w:bCs w:val="1"/>
                <w:color w:val="auto"/>
                <w:w w:val="99"/>
              </w:rPr>
              <w:t>Nine Months Ended</w:t>
            </w:r>
          </w:p>
        </w:tc>
      </w:tr>
      <w:tr>
        <w:trPr>
          <w:trHeight w:val="188"/>
        </w:trPr>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 2021</w:t>
            </w:r>
          </w:p>
        </w:tc>
        <w:tc>
          <w:tcPr>
            <w:tcW w:w="160" w:type="dxa"/>
            <w:vAlign w:val="bottom"/>
          </w:tcPr>
          <w:p>
            <w:pPr>
              <w:spacing w:after="0"/>
              <w:rPr>
                <w:sz w:val="16"/>
                <w:szCs w:val="16"/>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September 30, 2020</w:t>
            </w:r>
          </w:p>
        </w:tc>
        <w:tc>
          <w:tcPr>
            <w:tcW w:w="18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6"/>
                <w:szCs w:val="16"/>
                <w:color w:val="auto"/>
              </w:rPr>
            </w:pPr>
          </w:p>
        </w:tc>
        <w:tc>
          <w:tcPr>
            <w:tcW w:w="1580" w:type="dxa"/>
            <w:vAlign w:val="bottom"/>
          </w:tcPr>
          <w:p>
            <w:pPr>
              <w:jc w:val="right"/>
              <w:ind w:right="201"/>
              <w:spacing w:after="0"/>
              <w:rPr>
                <w:sz w:val="20"/>
                <w:szCs w:val="20"/>
                <w:color w:val="auto"/>
              </w:rPr>
            </w:pPr>
            <w:r>
              <w:rPr>
                <w:rFonts w:ascii="Arial" w:cs="Arial" w:eastAsia="Arial" w:hAnsi="Arial"/>
                <w:sz w:val="14"/>
                <w:szCs w:val="14"/>
                <w:b w:val="1"/>
                <w:bCs w:val="1"/>
                <w:color w:val="auto"/>
                <w:w w:val="97"/>
              </w:rPr>
              <w:t>September 30, 2020</w:t>
            </w:r>
          </w:p>
        </w:tc>
      </w:tr>
      <w:tr>
        <w:trPr>
          <w:trHeight w:val="197"/>
        </w:trPr>
        <w:tc>
          <w:tcPr>
            <w:tcW w:w="3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r>
      <w:tr>
        <w:trPr>
          <w:trHeight w:val="213"/>
        </w:trPr>
        <w:tc>
          <w:tcPr>
            <w:tcW w:w="3960" w:type="dxa"/>
            <w:vAlign w:val="bottom"/>
          </w:tcPr>
          <w:p>
            <w:pPr>
              <w:ind w:left="20"/>
              <w:spacing w:after="0"/>
              <w:rPr>
                <w:sz w:val="20"/>
                <w:szCs w:val="20"/>
                <w:color w:val="auto"/>
              </w:rPr>
            </w:pPr>
            <w:r>
              <w:rPr>
                <w:rFonts w:ascii="Arial" w:cs="Arial" w:eastAsia="Arial" w:hAnsi="Arial"/>
                <w:sz w:val="16"/>
                <w:szCs w:val="16"/>
                <w:color w:val="auto"/>
              </w:rPr>
              <w:t>Neurosurgery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199,210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189,674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591,064</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516,048</w:t>
            </w:r>
          </w:p>
        </w:tc>
      </w:tr>
      <w:tr>
        <w:trPr>
          <w:trHeight w:val="219"/>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Instruments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163,511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124,493</w:t>
            </w:r>
          </w:p>
        </w:tc>
      </w:tr>
      <w:tr>
        <w:trPr>
          <w:trHeight w:val="207"/>
        </w:trPr>
        <w:tc>
          <w:tcPr>
            <w:tcW w:w="3960" w:type="dxa"/>
            <w:vAlign w:val="bottom"/>
          </w:tcPr>
          <w:p>
            <w:pPr>
              <w:ind w:left="220"/>
              <w:spacing w:after="0"/>
              <w:rPr>
                <w:sz w:val="20"/>
                <w:szCs w:val="20"/>
                <w:color w:val="auto"/>
              </w:rPr>
            </w:pPr>
            <w:r>
              <w:rPr>
                <w:rFonts w:ascii="Arial" w:cs="Arial" w:eastAsia="Arial" w:hAnsi="Arial"/>
                <w:sz w:val="16"/>
                <w:szCs w:val="16"/>
                <w:color w:val="auto"/>
              </w:rPr>
              <w:t>Total Codman Specialty Surgical</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256,497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239,323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754,575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640,541</w:t>
            </w:r>
          </w:p>
        </w:tc>
      </w:tr>
      <w:tr>
        <w:trPr>
          <w:trHeight w:val="219"/>
        </w:trPr>
        <w:tc>
          <w:tcPr>
            <w:tcW w:w="3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6"/>
        </w:trPr>
        <w:tc>
          <w:tcPr>
            <w:tcW w:w="3960" w:type="dxa"/>
            <w:vAlign w:val="bottom"/>
          </w:tcPr>
          <w:p>
            <w:pPr>
              <w:ind w:left="20"/>
              <w:spacing w:after="0" w:line="216" w:lineRule="exact"/>
              <w:rPr>
                <w:sz w:val="20"/>
                <w:szCs w:val="20"/>
                <w:color w:val="auto"/>
              </w:rPr>
            </w:pPr>
            <w:r>
              <w:rPr>
                <w:rFonts w:ascii="Arial" w:cs="Arial" w:eastAsia="Arial" w:hAnsi="Arial"/>
                <w:sz w:val="16"/>
                <w:szCs w:val="16"/>
                <w:color w:val="auto"/>
              </w:rPr>
              <w:t>Wound Reconstruction and Care</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99,744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82,115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291,058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210,673</w:t>
            </w:r>
          </w:p>
        </w:tc>
      </w:tr>
      <w:tr>
        <w:trPr>
          <w:trHeight w:val="216"/>
        </w:trPr>
        <w:tc>
          <w:tcPr>
            <w:tcW w:w="3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Extremity Orthopedics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54,556</w:t>
            </w:r>
          </w:p>
        </w:tc>
      </w:tr>
      <w:tr>
        <w:trPr>
          <w:trHeight w:val="213"/>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Private Label</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91,291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77,451</w:t>
            </w:r>
          </w:p>
        </w:tc>
      </w:tr>
      <w:tr>
        <w:trPr>
          <w:trHeight w:val="209"/>
        </w:trPr>
        <w:tc>
          <w:tcPr>
            <w:tcW w:w="3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Tissue Technologies</w:t>
            </w: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130,364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130,909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382,349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342,680</w:t>
            </w:r>
          </w:p>
        </w:tc>
      </w:tr>
      <w:tr>
        <w:trPr>
          <w:trHeight w:val="213"/>
        </w:trPr>
        <w:tc>
          <w:tcPr>
            <w:tcW w:w="396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386,861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370,232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1,136,924</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983,221</w:t>
            </w:r>
          </w:p>
        </w:tc>
      </w:tr>
      <w:tr>
        <w:trPr>
          <w:trHeight w:val="20"/>
        </w:trPr>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380" w:firstLine="8"/>
        <w:spacing w:after="0" w:line="280" w:lineRule="auto"/>
        <w:tabs>
          <w:tab w:leader="none" w:pos="163"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 xml:space="preserve">On January 4, 2021, the Company completed its sale of its Extremity Orthopedics business. In conjunction with the sale of this business, the Company rebranded the Orthopedics and Tissue Technologies segment as Tissue Technologies in the first quarter of 2021. See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for details.</w:t>
      </w: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 xml:space="preserve">See Note 2. </w:t>
      </w:r>
      <w:r>
        <w:rPr>
          <w:rFonts w:ascii="Arial" w:cs="Arial" w:eastAsia="Arial" w:hAnsi="Arial"/>
          <w:sz w:val="16"/>
          <w:szCs w:val="16"/>
          <w:i w:val="1"/>
          <w:iCs w:val="1"/>
          <w:color w:val="auto"/>
        </w:rPr>
        <w:t>Acquisitions and Divestitures,</w:t>
      </w:r>
      <w:r>
        <w:rPr>
          <w:rFonts w:ascii="Arial" w:cs="Arial" w:eastAsia="Arial" w:hAnsi="Arial"/>
          <w:sz w:val="16"/>
          <w:szCs w:val="16"/>
          <w:color w:val="auto"/>
        </w:rPr>
        <w:t xml:space="preserve"> for details around the ACell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15, </w:t>
      </w:r>
      <w:r>
        <w:rPr>
          <w:rFonts w:ascii="Arial" w:cs="Arial" w:eastAsia="Arial" w:hAnsi="Arial"/>
          <w:sz w:val="18"/>
          <w:szCs w:val="18"/>
          <w:i w:val="1"/>
          <w:iCs w:val="1"/>
          <w:color w:val="auto"/>
        </w:rPr>
        <w:t>Segment and Geographical Information</w:t>
      </w:r>
      <w:r>
        <w:rPr>
          <w:rFonts w:ascii="Arial" w:cs="Arial" w:eastAsia="Arial" w:hAnsi="Arial"/>
          <w:sz w:val="18"/>
          <w:szCs w:val="18"/>
          <w:color w:val="auto"/>
        </w:rPr>
        <w:t>, for details of revenues based on the location of the customer.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6"/>
                <w:szCs w:val="16"/>
                <w:color w:val="auto"/>
              </w:rPr>
            </w:pPr>
          </w:p>
        </w:tc>
        <w:tc>
          <w:tcPr>
            <w:tcW w:w="1560" w:type="dxa"/>
            <w:vAlign w:val="bottom"/>
          </w:tcPr>
          <w:p>
            <w:pPr>
              <w:jc w:val="right"/>
              <w:ind w:right="221"/>
              <w:spacing w:after="0"/>
              <w:rPr>
                <w:sz w:val="20"/>
                <w:szCs w:val="20"/>
                <w:color w:val="auto"/>
              </w:rPr>
            </w:pPr>
            <w:r>
              <w:rPr>
                <w:rFonts w:ascii="Arial" w:cs="Arial" w:eastAsia="Arial" w:hAnsi="Arial"/>
                <w:sz w:val="14"/>
                <w:szCs w:val="14"/>
                <w:b w:val="1"/>
                <w:bCs w:val="1"/>
                <w:color w:val="auto"/>
                <w:w w:val="98"/>
              </w:rPr>
              <w:t>December 31, 2020</w:t>
            </w:r>
          </w:p>
        </w:tc>
      </w:tr>
      <w:tr>
        <w:trPr>
          <w:trHeight w:val="215"/>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180,766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180,301</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58,697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53,336</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76,480</w:t>
            </w:r>
          </w:p>
        </w:tc>
      </w:tr>
      <w:tr>
        <w:trPr>
          <w:trHeight w:val="206"/>
        </w:trPr>
        <w:tc>
          <w:tcPr>
            <w:tcW w:w="7600" w:type="dxa"/>
            <w:vAlign w:val="bottom"/>
          </w:tcPr>
          <w:p>
            <w:pPr>
              <w:ind w:left="20"/>
              <w:spacing w:after="0"/>
              <w:rPr>
                <w:sz w:val="20"/>
                <w:szCs w:val="20"/>
                <w:color w:val="auto"/>
              </w:rPr>
            </w:pPr>
            <w:r>
              <w:rPr>
                <w:rFonts w:ascii="Arial" w:cs="Arial" w:eastAsia="Arial" w:hAnsi="Arial"/>
                <w:sz w:val="16"/>
                <w:szCs w:val="16"/>
                <w:color w:val="auto"/>
              </w:rPr>
              <w:t>Total inventories, net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327,167</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310,117</w:t>
            </w:r>
          </w:p>
        </w:tc>
      </w:tr>
      <w:tr>
        <w:trPr>
          <w:trHeight w:val="24"/>
        </w:trPr>
        <w:tc>
          <w:tcPr>
            <w:tcW w:w="7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December 31, 2020, $52.8 million of inventories, net was presented separately as "Assets held for sale" in conjunction with the sale of the Extremity Orthopedics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nine-month period ended September 30, 2021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Codman Specialty</w:t>
            </w:r>
          </w:p>
        </w:tc>
        <w:tc>
          <w:tcPr>
            <w:tcW w:w="120" w:type="dxa"/>
            <w:vAlign w:val="bottom"/>
          </w:tcPr>
          <w:p>
            <w:pPr>
              <w:spacing w:after="0"/>
              <w:rPr>
                <w:sz w:val="14"/>
                <w:szCs w:val="14"/>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Tissue Technologies</w:t>
            </w:r>
          </w:p>
        </w:tc>
        <w:tc>
          <w:tcPr>
            <w:tcW w:w="320" w:type="dxa"/>
            <w:vAlign w:val="bottom"/>
          </w:tcPr>
          <w:p>
            <w:pPr>
              <w:spacing w:after="0"/>
              <w:rPr>
                <w:sz w:val="14"/>
                <w:szCs w:val="14"/>
                <w:color w:val="auto"/>
              </w:rPr>
            </w:pPr>
          </w:p>
        </w:tc>
        <w:tc>
          <w:tcPr>
            <w:tcW w:w="112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Surgical</w:t>
            </w: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671,975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260,392</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932,367</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ACell Acquisition</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94,298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94,298</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(14,584)</w:t>
            </w:r>
          </w:p>
        </w:tc>
        <w:tc>
          <w:tcPr>
            <w:tcW w:w="0" w:type="dxa"/>
            <w:vAlign w:val="bottom"/>
          </w:tcPr>
          <w:p>
            <w:pPr>
              <w:spacing w:after="0"/>
              <w:rPr>
                <w:sz w:val="1"/>
                <w:szCs w:val="1"/>
                <w:color w:val="auto"/>
              </w:rPr>
            </w:pPr>
          </w:p>
        </w:tc>
      </w:tr>
      <w:tr>
        <w:trPr>
          <w:trHeight w:val="206"/>
        </w:trPr>
        <w:tc>
          <w:tcPr>
            <w:tcW w:w="6700" w:type="dxa"/>
            <w:vAlign w:val="bottom"/>
          </w:tcPr>
          <w:p>
            <w:pPr>
              <w:ind w:left="20"/>
              <w:spacing w:after="0"/>
              <w:rPr>
                <w:sz w:val="20"/>
                <w:szCs w:val="20"/>
                <w:color w:val="auto"/>
              </w:rPr>
            </w:pPr>
            <w:r>
              <w:rPr>
                <w:rFonts w:ascii="Arial" w:cs="Arial" w:eastAsia="Arial" w:hAnsi="Arial"/>
                <w:sz w:val="16"/>
                <w:szCs w:val="16"/>
                <w:color w:val="auto"/>
              </w:rPr>
              <w:t>Goodwill at September 30,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662,429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349,652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1,012,081</w:t>
            </w:r>
          </w:p>
        </w:tc>
        <w:tc>
          <w:tcPr>
            <w:tcW w:w="0" w:type="dxa"/>
            <w:vAlign w:val="bottom"/>
          </w:tcPr>
          <w:p>
            <w:pPr>
              <w:spacing w:after="0"/>
              <w:rPr>
                <w:sz w:val="1"/>
                <w:szCs w:val="1"/>
                <w:color w:val="auto"/>
              </w:rPr>
            </w:pPr>
          </w:p>
        </w:tc>
      </w:tr>
      <w:tr>
        <w:trPr>
          <w:trHeight w:val="24"/>
        </w:trPr>
        <w:tc>
          <w:tcPr>
            <w:tcW w:w="6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8"/>
          </w:tcPr>
          <w:p>
            <w:pPr>
              <w:ind w:left="620"/>
              <w:spacing w:after="0"/>
              <w:rPr>
                <w:sz w:val="20"/>
                <w:szCs w:val="20"/>
                <w:color w:val="auto"/>
              </w:rPr>
            </w:pPr>
            <w:r>
              <w:rPr>
                <w:rFonts w:ascii="Arial" w:cs="Arial" w:eastAsia="Arial" w:hAnsi="Arial"/>
                <w:sz w:val="14"/>
                <w:szCs w:val="14"/>
                <w:b w:val="1"/>
                <w:bCs w:val="1"/>
                <w:color w:val="auto"/>
              </w:rPr>
              <w:t>September 30, 2021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4"/>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gridSpan w:val="2"/>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560" w:type="dxa"/>
            <w:vAlign w:val="bottom"/>
            <w:gridSpan w:val="4"/>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1"/>
                <w:szCs w:val="11"/>
                <w:color w:val="auto"/>
              </w:rPr>
            </w:pPr>
          </w:p>
        </w:tc>
        <w:tc>
          <w:tcPr>
            <w:tcW w:w="104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Cost</w:t>
            </w:r>
          </w:p>
        </w:tc>
        <w:tc>
          <w:tcPr>
            <w:tcW w:w="240" w:type="dxa"/>
            <w:vAlign w:val="bottom"/>
            <w:gridSpan w:val="2"/>
            <w:vMerge w:val="restart"/>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vMerge w:val="restart"/>
          </w:tcPr>
          <w:p>
            <w:pPr>
              <w:jc w:val="right"/>
              <w:ind w:right="5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5020" w:type="dxa"/>
            <w:vAlign w:val="bottom"/>
            <w:tcBorders>
              <w:bottom w:val="single" w:sz="8" w:color="CCEEFF"/>
            </w:tcBorders>
            <w:gridSpan w:val="2"/>
            <w:vMerge w:val="continue"/>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Borders>
              <w:bottom w:val="single" w:sz="8" w:color="CCEEFF"/>
            </w:tcBorders>
            <w:gridSpan w:val="2"/>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CCEEFF"/>
            </w:tcBorders>
            <w:gridSpan w:val="2"/>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Completed technology</w:t>
            </w:r>
          </w:p>
        </w:tc>
        <w:tc>
          <w:tcPr>
            <w:tcW w:w="1560" w:type="dxa"/>
            <w:vAlign w:val="bottom"/>
            <w:gridSpan w:val="4"/>
            <w:shd w:val="clear" w:color="auto" w:fill="CCEEFF"/>
          </w:tcPr>
          <w:p>
            <w:pPr>
              <w:jc w:val="center"/>
              <w:ind w:right="240"/>
              <w:spacing w:after="0"/>
              <w:rPr>
                <w:sz w:val="20"/>
                <w:szCs w:val="20"/>
                <w:color w:val="auto"/>
              </w:rPr>
            </w:pPr>
            <w:r>
              <w:rPr>
                <w:rFonts w:ascii="Arial" w:cs="Arial" w:eastAsia="Arial" w:hAnsi="Arial"/>
                <w:sz w:val="16"/>
                <w:szCs w:val="16"/>
                <w:color w:val="auto"/>
                <w:w w:val="91"/>
              </w:rPr>
              <w:t>18 years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1,123,507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(289,871)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833,636</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Customer relationships</w:t>
            </w:r>
          </w:p>
        </w:tc>
        <w:tc>
          <w:tcPr>
            <w:tcW w:w="1560" w:type="dxa"/>
            <w:vAlign w:val="bottom"/>
            <w:gridSpan w:val="4"/>
          </w:tcPr>
          <w:p>
            <w:pPr>
              <w:jc w:val="center"/>
              <w:ind w:right="240"/>
              <w:spacing w:after="0"/>
              <w:rPr>
                <w:sz w:val="20"/>
                <w:szCs w:val="20"/>
                <w:color w:val="auto"/>
              </w:rPr>
            </w:pPr>
            <w:r>
              <w:rPr>
                <w:rFonts w:ascii="Arial" w:cs="Arial" w:eastAsia="Arial" w:hAnsi="Arial"/>
                <w:sz w:val="16"/>
                <w:szCs w:val="16"/>
                <w:color w:val="auto"/>
                <w:w w:val="91"/>
              </w:rPr>
              <w:t>12 years</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211,712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(140,138)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71,574</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Trademarks/brand names</w:t>
            </w:r>
          </w:p>
        </w:tc>
        <w:tc>
          <w:tcPr>
            <w:tcW w:w="1560" w:type="dxa"/>
            <w:vAlign w:val="bottom"/>
            <w:gridSpan w:val="4"/>
            <w:shd w:val="clear" w:color="auto" w:fill="CCEEFF"/>
          </w:tcPr>
          <w:p>
            <w:pPr>
              <w:jc w:val="center"/>
              <w:ind w:right="240"/>
              <w:spacing w:after="0"/>
              <w:rPr>
                <w:sz w:val="20"/>
                <w:szCs w:val="20"/>
                <w:color w:val="auto"/>
              </w:rPr>
            </w:pPr>
            <w:r>
              <w:rPr>
                <w:rFonts w:ascii="Arial" w:cs="Arial" w:eastAsia="Arial" w:hAnsi="Arial"/>
                <w:sz w:val="16"/>
                <w:szCs w:val="16"/>
                <w:color w:val="auto"/>
                <w:w w:val="91"/>
              </w:rPr>
              <w:t>28 years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98,352</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(30,609)</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67,743</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Codman tradename</w:t>
            </w:r>
          </w:p>
        </w:tc>
        <w:tc>
          <w:tcPr>
            <w:tcW w:w="1560" w:type="dxa"/>
            <w:vAlign w:val="bottom"/>
            <w:gridSpan w:val="4"/>
          </w:tcPr>
          <w:p>
            <w:pPr>
              <w:jc w:val="center"/>
              <w:ind w:right="240"/>
              <w:spacing w:after="0"/>
              <w:rPr>
                <w:sz w:val="20"/>
                <w:szCs w:val="20"/>
                <w:color w:val="auto"/>
              </w:rPr>
            </w:pPr>
            <w:r>
              <w:rPr>
                <w:rFonts w:ascii="Arial" w:cs="Arial" w:eastAsia="Arial" w:hAnsi="Arial"/>
                <w:sz w:val="16"/>
                <w:szCs w:val="16"/>
                <w:color w:val="auto"/>
                <w:w w:val="98"/>
              </w:rPr>
              <w:t>Indefinite</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166,087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1440" w:type="dxa"/>
            <w:vAlign w:val="bottom"/>
            <w:gridSpan w:val="3"/>
          </w:tcPr>
          <w:p>
            <w:pPr>
              <w:ind w:left="9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166,087</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Supplier relationships</w:t>
            </w:r>
          </w:p>
        </w:tc>
        <w:tc>
          <w:tcPr>
            <w:tcW w:w="1560" w:type="dxa"/>
            <w:vAlign w:val="bottom"/>
            <w:gridSpan w:val="4"/>
            <w:shd w:val="clear" w:color="auto" w:fill="CCEEFF"/>
          </w:tcPr>
          <w:p>
            <w:pPr>
              <w:jc w:val="center"/>
              <w:ind w:right="240"/>
              <w:spacing w:after="0"/>
              <w:rPr>
                <w:sz w:val="20"/>
                <w:szCs w:val="20"/>
                <w:color w:val="auto"/>
              </w:rPr>
            </w:pPr>
            <w:r>
              <w:rPr>
                <w:rFonts w:ascii="Arial" w:cs="Arial" w:eastAsia="Arial" w:hAnsi="Arial"/>
                <w:sz w:val="16"/>
                <w:szCs w:val="16"/>
                <w:color w:val="auto"/>
                <w:w w:val="91"/>
              </w:rPr>
              <w:t>30 years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30,211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(15,948)</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14,263</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All other</w:t>
            </w:r>
          </w:p>
        </w:tc>
        <w:tc>
          <w:tcPr>
            <w:tcW w:w="1560" w:type="dxa"/>
            <w:vAlign w:val="bottom"/>
            <w:tcBorders>
              <w:bottom w:val="single" w:sz="8" w:color="CCEEFF"/>
            </w:tcBorders>
            <w:gridSpan w:val="4"/>
          </w:tcPr>
          <w:p>
            <w:pPr>
              <w:jc w:val="center"/>
              <w:ind w:right="260"/>
              <w:spacing w:after="0"/>
              <w:rPr>
                <w:sz w:val="20"/>
                <w:szCs w:val="20"/>
                <w:color w:val="auto"/>
              </w:rPr>
            </w:pPr>
            <w:r>
              <w:rPr>
                <w:rFonts w:ascii="Arial" w:cs="Arial" w:eastAsia="Arial" w:hAnsi="Arial"/>
                <w:sz w:val="16"/>
                <w:szCs w:val="16"/>
                <w:color w:val="auto"/>
                <w:w w:val="87"/>
              </w:rPr>
              <w:t>11 years</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6,359</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(3,867)</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2,492</w:t>
            </w:r>
          </w:p>
        </w:tc>
        <w:tc>
          <w:tcPr>
            <w:tcW w:w="0" w:type="dxa"/>
            <w:vAlign w:val="bottom"/>
          </w:tcPr>
          <w:p>
            <w:pPr>
              <w:spacing w:after="0"/>
              <w:rPr>
                <w:sz w:val="1"/>
                <w:szCs w:val="1"/>
                <w:color w:val="auto"/>
              </w:rPr>
            </w:pPr>
          </w:p>
        </w:tc>
      </w:tr>
      <w:tr>
        <w:trPr>
          <w:trHeight w:val="235"/>
        </w:trPr>
        <w:tc>
          <w:tcPr>
            <w:tcW w:w="4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1,636,228</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(480,433)</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1,155,795</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9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8"/>
          </w:tcPr>
          <w:p>
            <w:pPr>
              <w:ind w:left="620"/>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4"/>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4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80" w:type="dxa"/>
            <w:vAlign w:val="bottom"/>
            <w:vMerge w:val="restart"/>
          </w:tcPr>
          <w:p>
            <w:pPr>
              <w:spacing w:after="0"/>
              <w:rPr>
                <w:sz w:val="11"/>
                <w:szCs w:val="11"/>
                <w:color w:val="auto"/>
              </w:rPr>
            </w:pPr>
          </w:p>
        </w:tc>
        <w:tc>
          <w:tcPr>
            <w:tcW w:w="1560" w:type="dxa"/>
            <w:vAlign w:val="bottom"/>
            <w:gridSpan w:val="4"/>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1"/>
                <w:szCs w:val="11"/>
                <w:color w:val="auto"/>
              </w:rPr>
            </w:pPr>
          </w:p>
        </w:tc>
        <w:tc>
          <w:tcPr>
            <w:tcW w:w="10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Cost</w:t>
            </w:r>
          </w:p>
        </w:tc>
        <w:tc>
          <w:tcPr>
            <w:tcW w:w="20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vMerge w:val="restart"/>
          </w:tcPr>
          <w:p>
            <w:pPr>
              <w:jc w:val="right"/>
              <w:ind w:right="5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49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Completed technology</w:t>
            </w:r>
          </w:p>
        </w:tc>
        <w:tc>
          <w:tcPr>
            <w:tcW w:w="8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center"/>
              <w:ind w:right="340"/>
              <w:spacing w:after="0"/>
              <w:rPr>
                <w:sz w:val="20"/>
                <w:szCs w:val="20"/>
                <w:color w:val="auto"/>
              </w:rPr>
            </w:pPr>
            <w:r>
              <w:rPr>
                <w:rFonts w:ascii="Arial" w:cs="Arial" w:eastAsia="Arial" w:hAnsi="Arial"/>
                <w:sz w:val="16"/>
                <w:szCs w:val="16"/>
                <w:color w:val="auto"/>
                <w:w w:val="87"/>
              </w:rPr>
              <w:t>19 years</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896,478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(248,088)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648,390</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Customer relationships</w:t>
            </w:r>
          </w:p>
        </w:tc>
        <w:tc>
          <w:tcPr>
            <w:tcW w:w="1560" w:type="dxa"/>
            <w:vAlign w:val="bottom"/>
            <w:gridSpan w:val="4"/>
          </w:tcPr>
          <w:p>
            <w:pPr>
              <w:jc w:val="center"/>
              <w:ind w:right="340"/>
              <w:spacing w:after="0"/>
              <w:rPr>
                <w:sz w:val="20"/>
                <w:szCs w:val="20"/>
                <w:color w:val="auto"/>
              </w:rPr>
            </w:pPr>
            <w:r>
              <w:rPr>
                <w:rFonts w:ascii="Arial" w:cs="Arial" w:eastAsia="Arial" w:hAnsi="Arial"/>
                <w:sz w:val="16"/>
                <w:szCs w:val="16"/>
                <w:color w:val="auto"/>
                <w:w w:val="87"/>
              </w:rPr>
              <w:t>12 years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213,270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(132,838)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80,432</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Trademarks/brand names</w:t>
            </w:r>
          </w:p>
        </w:tc>
        <w:tc>
          <w:tcPr>
            <w:tcW w:w="1560" w:type="dxa"/>
            <w:vAlign w:val="bottom"/>
            <w:gridSpan w:val="4"/>
            <w:shd w:val="clear" w:color="auto" w:fill="CCEEFF"/>
          </w:tcPr>
          <w:p>
            <w:pPr>
              <w:jc w:val="center"/>
              <w:ind w:right="340"/>
              <w:spacing w:after="0"/>
              <w:rPr>
                <w:sz w:val="20"/>
                <w:szCs w:val="20"/>
                <w:color w:val="auto"/>
              </w:rPr>
            </w:pPr>
            <w:r>
              <w:rPr>
                <w:rFonts w:ascii="Arial" w:cs="Arial" w:eastAsia="Arial" w:hAnsi="Arial"/>
                <w:sz w:val="16"/>
                <w:szCs w:val="16"/>
                <w:color w:val="auto"/>
                <w:w w:val="87"/>
              </w:rPr>
              <w:t>28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104,209</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(31,767)</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72,442</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Codman tradename</w:t>
            </w:r>
          </w:p>
        </w:tc>
        <w:tc>
          <w:tcPr>
            <w:tcW w:w="1560" w:type="dxa"/>
            <w:vAlign w:val="bottom"/>
            <w:gridSpan w:val="4"/>
          </w:tcPr>
          <w:p>
            <w:pPr>
              <w:jc w:val="center"/>
              <w:ind w:right="320"/>
              <w:spacing w:after="0"/>
              <w:rPr>
                <w:sz w:val="20"/>
                <w:szCs w:val="20"/>
                <w:color w:val="auto"/>
              </w:rPr>
            </w:pPr>
            <w:r>
              <w:rPr>
                <w:rFonts w:ascii="Arial" w:cs="Arial" w:eastAsia="Arial" w:hAnsi="Arial"/>
                <w:sz w:val="16"/>
                <w:szCs w:val="16"/>
                <w:color w:val="auto"/>
                <w:w w:val="98"/>
              </w:rPr>
              <w:t>Indefinite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170,226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ind w:left="10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170,226</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Supplier relationships</w:t>
            </w:r>
          </w:p>
        </w:tc>
        <w:tc>
          <w:tcPr>
            <w:tcW w:w="1560" w:type="dxa"/>
            <w:vAlign w:val="bottom"/>
            <w:gridSpan w:val="4"/>
            <w:shd w:val="clear" w:color="auto" w:fill="CCEEFF"/>
          </w:tcPr>
          <w:p>
            <w:pPr>
              <w:jc w:val="center"/>
              <w:ind w:right="340"/>
              <w:spacing w:after="0"/>
              <w:rPr>
                <w:sz w:val="20"/>
                <w:szCs w:val="20"/>
                <w:color w:val="auto"/>
              </w:rPr>
            </w:pPr>
            <w:r>
              <w:rPr>
                <w:rFonts w:ascii="Arial" w:cs="Arial" w:eastAsia="Arial" w:hAnsi="Arial"/>
                <w:sz w:val="16"/>
                <w:szCs w:val="16"/>
                <w:color w:val="auto"/>
                <w:w w:val="87"/>
              </w:rPr>
              <w:t>27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30,211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(15,203)</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15,008</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 xml:space="preserve">All other </w:t>
            </w:r>
            <w:r>
              <w:rPr>
                <w:rFonts w:ascii="Arial" w:cs="Arial" w:eastAsia="Arial" w:hAnsi="Arial"/>
                <w:sz w:val="21"/>
                <w:szCs w:val="21"/>
                <w:color w:val="auto"/>
                <w:vertAlign w:val="superscript"/>
              </w:rPr>
              <w:t>(1)</w:t>
            </w:r>
          </w:p>
        </w:tc>
        <w:tc>
          <w:tcPr>
            <w:tcW w:w="1540" w:type="dxa"/>
            <w:vAlign w:val="bottom"/>
            <w:tcBorders>
              <w:bottom w:val="single" w:sz="8" w:color="CCEEFF"/>
            </w:tcBorders>
            <w:gridSpan w:val="3"/>
          </w:tcPr>
          <w:p>
            <w:pPr>
              <w:jc w:val="center"/>
              <w:ind w:right="320"/>
              <w:spacing w:after="0"/>
              <w:rPr>
                <w:sz w:val="20"/>
                <w:szCs w:val="20"/>
                <w:color w:val="auto"/>
              </w:rPr>
            </w:pPr>
            <w:r>
              <w:rPr>
                <w:rFonts w:ascii="Arial" w:cs="Arial" w:eastAsia="Arial" w:hAnsi="Arial"/>
                <w:sz w:val="16"/>
                <w:szCs w:val="16"/>
                <w:color w:val="auto"/>
                <w:w w:val="87"/>
              </w:rPr>
              <w:t>4 years</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6,693</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(3,755)</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2,938</w:t>
            </w:r>
          </w:p>
        </w:tc>
        <w:tc>
          <w:tcPr>
            <w:tcW w:w="0" w:type="dxa"/>
            <w:vAlign w:val="bottom"/>
          </w:tcPr>
          <w:p>
            <w:pPr>
              <w:spacing w:after="0"/>
              <w:rPr>
                <w:sz w:val="1"/>
                <w:szCs w:val="1"/>
                <w:color w:val="auto"/>
              </w:rPr>
            </w:pPr>
          </w:p>
        </w:tc>
      </w:tr>
      <w:tr>
        <w:trPr>
          <w:trHeight w:val="227"/>
        </w:trPr>
        <w:tc>
          <w:tcPr>
            <w:tcW w:w="4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1,421,087</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(431,651)</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989,436</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Prior period amounts were reclassified as it relates to All other within this table to conform to the current period presentation.</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increase in the Company's identifiable intangible assets at September 30, 2021 as compared to the year ended December 31, 2020, was primarily driven from intangible assets acquired in conjunction with the ACell Acquisition. See Note 2, </w:t>
      </w:r>
      <w:r>
        <w:rPr>
          <w:rFonts w:ascii="Arial" w:cs="Arial" w:eastAsia="Arial" w:hAnsi="Arial"/>
          <w:sz w:val="17"/>
          <w:szCs w:val="17"/>
          <w:i w:val="1"/>
          <w:iCs w:val="1"/>
          <w:color w:val="auto"/>
        </w:rPr>
        <w:t>Acquisitions and Divestitures</w:t>
      </w:r>
      <w:r>
        <w:rPr>
          <w:rFonts w:ascii="Arial" w:cs="Arial" w:eastAsia="Arial" w:hAnsi="Arial"/>
          <w:sz w:val="17"/>
          <w:szCs w:val="17"/>
          <w:color w:val="auto"/>
        </w:rPr>
        <w:t>, for details.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 with Indefinite Lives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tests goodwill and intangible assets with indefinite lives for impairment annually in the third quarter in accordance with ASC Topic 350. Additionally, the Company may perform interim tests if an event occurs or circumstances change that could potentially reduce the fair value of a reporting unit or indefinite lived intangible asset below its carrying amount. The carrying value of each reporting unit is determined by assigning the assets and liabilities, including the existing goodwill and intangible assets, to those reporting units.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tests for impairment by either performing a qualitative evaluation or a quantitative test. The qualitative evaluation is an assessment of factors, including reporting unit specific operating results as well as industry, market and general economic conditions, to determine whether it is more likely than not that the fair values of a reporting unit is less than its carrying amount, including goodwill. The Company may elect to bypass this qualitative evaluation for some or all of its reporting units and perform a quantitative test.</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third quarter of 2021, the Company elected to perform a qualitative analysis for its three reporting units and intangible asset with indefinite lives. The Company determined, after performing the qualitative analysis, that there was no evidence that it is more likely than not that the fair value was less that the carrying amounts, therefore, it was not necessary to perform a quantitative impairment test.</w:t>
      </w:r>
    </w:p>
    <w:p>
      <w:pPr>
        <w:spacing w:after="0" w:line="21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Based on quarter-end exchange rates, amortization expense (including amounts reported in cost of goods sold) is expected to be approximately $20.2 million for the remainder of 2021, $78.8 million in 2022, $78.1 million in 2023, $77.4 million in 2024, $77.4 million in 2025, $77.2 million in 2026 and $588.9 million thereafter.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the Sixth Amended and Restated Senior Credit Agreement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3, 2020, the Company entered into the sixth amendment and restatement (the "February 2020 Amendment") of its Senior Credit Facility (the "Senior Credit Facility") with a syndicate of lending banks with Bank of America, N.A., as Administrative Agent. The February 2020 Amendment extended the maturity date to February 3, 2025. The Company continues to have the aggregate principal amount of up to approximately $2.2 billion available to it through the following facilities: (i) a $877.5 million Term Loan facility, and (ii) a $1.3 billion revolving credit facility, which includes a $60 million sublimit for the issuance of standby letters of credit and a $60 million sublimit for swingline loans.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14, 2020, the Company entered into an amendment (the "July 2020 Amendment") to the February 2020 Amendment of the Senior Credit Facility to increase financial flexibility in light of the unprecedented impact and uncertainty of the COVID-19 pandemic on the global economy. The July 2020 amendment which expired during June 30, 2021, did not increase the Company’s total indebtedness.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July 2020 amendment, the Company’s maximum consolidated total leverage ratio in the financial covenants (as defined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Senior Credit Facility) was modified to the following:</w:t>
      </w:r>
    </w:p>
    <w:p>
      <w:pPr>
        <w:spacing w:after="0" w:line="24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Quarter</w:t>
            </w:r>
          </w:p>
        </w:tc>
        <w:tc>
          <w:tcPr>
            <w:tcW w:w="140" w:type="dxa"/>
            <w:vAlign w:val="bottom"/>
            <w:vMerge w:val="restart"/>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Consolidated Total</w:t>
            </w:r>
          </w:p>
        </w:tc>
        <w:tc>
          <w:tcPr>
            <w:tcW w:w="0" w:type="dxa"/>
            <w:vAlign w:val="bottom"/>
          </w:tcPr>
          <w:p>
            <w:pPr>
              <w:spacing w:after="0"/>
              <w:rPr>
                <w:sz w:val="1"/>
                <w:szCs w:val="1"/>
                <w:color w:val="auto"/>
              </w:rPr>
            </w:pPr>
          </w:p>
        </w:tc>
      </w:tr>
      <w:tr>
        <w:trPr>
          <w:trHeight w:val="188"/>
        </w:trPr>
        <w:tc>
          <w:tcPr>
            <w:tcW w:w="70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08"/>
        </w:trPr>
        <w:tc>
          <w:tcPr>
            <w:tcW w:w="7160" w:type="dxa"/>
            <w:vAlign w:val="bottom"/>
            <w:gridSpan w:val="2"/>
          </w:tcPr>
          <w:p>
            <w:pPr>
              <w:ind w:left="20"/>
              <w:spacing w:after="0"/>
              <w:rPr>
                <w:sz w:val="20"/>
                <w:szCs w:val="20"/>
                <w:color w:val="auto"/>
              </w:rPr>
            </w:pPr>
            <w:r>
              <w:rPr>
                <w:rFonts w:ascii="Arial" w:cs="Arial" w:eastAsia="Arial" w:hAnsi="Arial"/>
                <w:sz w:val="16"/>
                <w:szCs w:val="16"/>
                <w:color w:val="auto"/>
              </w:rPr>
              <w:t>Execution of July 2020 Amendment through June 30, 2021</w:t>
            </w:r>
          </w:p>
        </w:tc>
        <w:tc>
          <w:tcPr>
            <w:tcW w:w="2080" w:type="dxa"/>
            <w:vAlign w:val="bottom"/>
          </w:tcPr>
          <w:p>
            <w:pPr>
              <w:jc w:val="center"/>
              <w:spacing w:after="0"/>
              <w:rPr>
                <w:sz w:val="20"/>
                <w:szCs w:val="20"/>
                <w:color w:val="auto"/>
              </w:rPr>
            </w:pPr>
            <w:r>
              <w:rPr>
                <w:rFonts w:ascii="Arial" w:cs="Arial" w:eastAsia="Arial" w:hAnsi="Arial"/>
                <w:sz w:val="16"/>
                <w:szCs w:val="16"/>
                <w:color w:val="auto"/>
                <w:w w:val="89"/>
              </w:rPr>
              <w:t>5.50 to 1.00</w:t>
            </w:r>
          </w:p>
        </w:tc>
        <w:tc>
          <w:tcPr>
            <w:tcW w:w="0" w:type="dxa"/>
            <w:vAlign w:val="bottom"/>
          </w:tcPr>
          <w:p>
            <w:pPr>
              <w:spacing w:after="0"/>
              <w:rPr>
                <w:sz w:val="1"/>
                <w:szCs w:val="1"/>
                <w:color w:val="auto"/>
              </w:rPr>
            </w:pPr>
          </w:p>
        </w:tc>
      </w:tr>
      <w:tr>
        <w:trPr>
          <w:trHeight w:val="219"/>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30, 2021 through June 30, 2022</w:t>
            </w:r>
          </w:p>
        </w:tc>
        <w:tc>
          <w:tcPr>
            <w:tcW w:w="2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5.00 to 1.00</w:t>
            </w:r>
          </w:p>
        </w:tc>
        <w:tc>
          <w:tcPr>
            <w:tcW w:w="0" w:type="dxa"/>
            <w:vAlign w:val="bottom"/>
          </w:tcPr>
          <w:p>
            <w:pPr>
              <w:spacing w:after="0"/>
              <w:rPr>
                <w:sz w:val="1"/>
                <w:szCs w:val="1"/>
                <w:color w:val="auto"/>
              </w:rPr>
            </w:pPr>
          </w:p>
        </w:tc>
      </w:tr>
      <w:tr>
        <w:trPr>
          <w:trHeight w:val="213"/>
        </w:trPr>
        <w:tc>
          <w:tcPr>
            <w:tcW w:w="7160" w:type="dxa"/>
            <w:vAlign w:val="bottom"/>
            <w:gridSpan w:val="2"/>
          </w:tcPr>
          <w:p>
            <w:pPr>
              <w:ind w:left="20"/>
              <w:spacing w:after="0"/>
              <w:rPr>
                <w:sz w:val="20"/>
                <w:szCs w:val="20"/>
                <w:color w:val="auto"/>
              </w:rPr>
            </w:pPr>
            <w:r>
              <w:rPr>
                <w:rFonts w:ascii="Arial" w:cs="Arial" w:eastAsia="Arial" w:hAnsi="Arial"/>
                <w:sz w:val="16"/>
                <w:szCs w:val="16"/>
                <w:color w:val="auto"/>
              </w:rPr>
              <w:t>September 30, 2022 through June 30, 2023</w:t>
            </w:r>
          </w:p>
        </w:tc>
        <w:tc>
          <w:tcPr>
            <w:tcW w:w="2080" w:type="dxa"/>
            <w:vAlign w:val="bottom"/>
          </w:tcPr>
          <w:p>
            <w:pPr>
              <w:jc w:val="center"/>
              <w:spacing w:after="0"/>
              <w:rPr>
                <w:sz w:val="20"/>
                <w:szCs w:val="20"/>
                <w:color w:val="auto"/>
              </w:rPr>
            </w:pPr>
            <w:r>
              <w:rPr>
                <w:rFonts w:ascii="Arial" w:cs="Arial" w:eastAsia="Arial" w:hAnsi="Arial"/>
                <w:sz w:val="16"/>
                <w:szCs w:val="16"/>
                <w:color w:val="auto"/>
                <w:w w:val="89"/>
              </w:rPr>
              <w:t>4.50 to 1.00</w:t>
            </w:r>
          </w:p>
        </w:tc>
        <w:tc>
          <w:tcPr>
            <w:tcW w:w="0" w:type="dxa"/>
            <w:vAlign w:val="bottom"/>
          </w:tcPr>
          <w:p>
            <w:pPr>
              <w:spacing w:after="0"/>
              <w:rPr>
                <w:sz w:val="1"/>
                <w:szCs w:val="1"/>
                <w:color w:val="auto"/>
              </w:rPr>
            </w:pPr>
          </w:p>
        </w:tc>
      </w:tr>
      <w:tr>
        <w:trPr>
          <w:trHeight w:val="219"/>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30, 2023 and the last day of each fiscal quarter thereafter</w:t>
            </w:r>
          </w:p>
        </w:tc>
        <w:tc>
          <w:tcPr>
            <w:tcW w:w="2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4.00 to 1.00</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 the following:</w:t>
      </w:r>
    </w:p>
    <w:p>
      <w:pPr>
        <w:spacing w:after="0" w:line="117" w:lineRule="exact"/>
        <w:rPr>
          <w:sz w:val="20"/>
          <w:szCs w:val="20"/>
          <w:color w:val="auto"/>
        </w:rPr>
      </w:pPr>
    </w:p>
    <w:p>
      <w:pPr>
        <w:ind w:left="660" w:hanging="328"/>
        <w:spacing w:after="0" w:line="277" w:lineRule="auto"/>
        <w:tabs>
          <w:tab w:leader="none" w:pos="64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2.25%),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one-month Eurodollar Rate plus 1.00%</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as of such date less cash that is not subject to any restriction on the use or investment thereof to (b) consolidated EBITDA (as defined by the July 2020 amendment), for the period of four consecutive fiscal quarters ending on such date).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pay an annual commitment fee (ranging from 0.15% to 0.30%), based on the Company's consolidated total leverage ratio, on the amount available for borrowing under the revolving credit facility.</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September 30, 2021, the Company was in compliance with all such covenants. In connection with the February 2020 Amendment, the Company capitalized $4.6 million of financing costs in connection with modification of the Senior Credit Facility and wrote off $1.2 million of previously capitalized financing costs during the first quarter of 2020. In connection with the July 2020 amendment, the Company expensed $3.3 million of incremental financing costs in connection with the modification of the Senior Credit Facility during the third quarter of 2020.</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2021 and December 31, 2020, there was $20.0 million and $97.5 million, respectively, outstanding under the revolving credit component of the Senior Credit Facility at weighted average interest rates of 1.3% and 1.5%, respectively. At September 30, 2021 and December 31, 2020, there was $855.0 million and $877.5 million, respectively, outstanding under the Term Loan component of the Senior Credit Facility at a weighted average interest rate of 1.3% and 1.5%, respectively. At September 30, 2021, $45.0 million of the Term Loan component of the Senior Credit Facility is classified as current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fair value of outstanding borrowings of the Senior Credit Facility's revolving credit and Term Loan components at September 30, 2021 were $19.3 million and $826.6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6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Letters of credit outstanding as of September 30, 2021 and December 31, 2020 totaled $1.6 million. There were no amounts drawn as of September 30,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Contractual repayments of the Term Loan component of the Senior Credit Facility are due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6960" w:type="dxa"/>
            <w:vAlign w:val="bottom"/>
            <w:gridSpan w:val="3"/>
          </w:tcPr>
          <w:p>
            <w:pPr>
              <w:jc w:val="right"/>
              <w:ind w:right="3659"/>
              <w:spacing w:after="0"/>
              <w:rPr>
                <w:sz w:val="20"/>
                <w:szCs w:val="20"/>
                <w:color w:val="auto"/>
              </w:rPr>
            </w:pPr>
            <w:r>
              <w:rPr>
                <w:rFonts w:ascii="Arial" w:cs="Arial" w:eastAsia="Arial" w:hAnsi="Arial"/>
                <w:sz w:val="14"/>
                <w:szCs w:val="14"/>
                <w:b w:val="1"/>
                <w:bCs w:val="1"/>
                <w:color w:val="auto"/>
              </w:rPr>
              <w:t>Quarter Ended September 30, 2021</w:t>
            </w:r>
          </w:p>
        </w:tc>
        <w:tc>
          <w:tcPr>
            <w:tcW w:w="1960" w:type="dxa"/>
            <w:vAlign w:val="bottom"/>
          </w:tcPr>
          <w:p>
            <w:pPr>
              <w:jc w:val="right"/>
              <w:ind w:right="380"/>
              <w:spacing w:after="0"/>
              <w:rPr>
                <w:sz w:val="20"/>
                <w:szCs w:val="20"/>
                <w:color w:val="auto"/>
              </w:rPr>
            </w:pPr>
            <w:r>
              <w:rPr>
                <w:rFonts w:ascii="Arial" w:cs="Arial" w:eastAsia="Arial" w:hAnsi="Arial"/>
                <w:sz w:val="14"/>
                <w:szCs w:val="14"/>
                <w:b w:val="1"/>
                <w:bCs w:val="1"/>
                <w:color w:val="auto"/>
              </w:rPr>
              <w:t>Principal Repayment</w:t>
            </w:r>
          </w:p>
        </w:tc>
      </w:tr>
      <w:tr>
        <w:trPr>
          <w:trHeight w:val="185"/>
        </w:trPr>
        <w:tc>
          <w:tcPr>
            <w:tcW w:w="23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Dollars in thousands</w:t>
            </w:r>
          </w:p>
        </w:tc>
        <w:tc>
          <w:tcPr>
            <w:tcW w:w="6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2021</w:t>
            </w:r>
          </w:p>
        </w:tc>
        <w:tc>
          <w:tcPr>
            <w:tcW w:w="696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11,250</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2022</w:t>
            </w:r>
          </w:p>
        </w:tc>
        <w:tc>
          <w:tcPr>
            <w:tcW w:w="696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45,000</w:t>
            </w: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696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61,875</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2024</w:t>
            </w:r>
          </w:p>
        </w:tc>
        <w:tc>
          <w:tcPr>
            <w:tcW w:w="696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67,500</w:t>
            </w: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6680" w:type="dxa"/>
            <w:vAlign w:val="bottom"/>
            <w:gridSpan w:val="2"/>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669,375</w:t>
            </w:r>
          </w:p>
        </w:tc>
      </w:tr>
      <w:tr>
        <w:trPr>
          <w:trHeight w:val="209"/>
        </w:trPr>
        <w:tc>
          <w:tcPr>
            <w:tcW w:w="2320" w:type="dxa"/>
            <w:vAlign w:val="bottom"/>
          </w:tcPr>
          <w:p>
            <w:pPr>
              <w:spacing w:after="0"/>
              <w:rPr>
                <w:sz w:val="18"/>
                <w:szCs w:val="18"/>
                <w:color w:val="auto"/>
              </w:rPr>
            </w:pPr>
          </w:p>
        </w:tc>
        <w:tc>
          <w:tcPr>
            <w:tcW w:w="696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855,000</w:t>
            </w:r>
          </w:p>
        </w:tc>
      </w:tr>
      <w:tr>
        <w:trPr>
          <w:trHeight w:val="23"/>
        </w:trPr>
        <w:tc>
          <w:tcPr>
            <w:tcW w:w="23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960" w:type="dxa"/>
            <w:vAlign w:val="bottom"/>
            <w:tcBorders>
              <w:top w:val="single" w:sz="8" w:color="auto"/>
              <w:bottom w:val="single" w:sz="8" w:color="auto"/>
            </w:tcBorders>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of the revolving credit component of the Senior Credit Facility is due on February 3,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4, 2020, the Company issued $575.0 million aggregate principal amount of its 0.5% Convertible Senior Notes due 2025 (the "2025 Notes"). The 2025 Notes will mature on August 15, 2025 and bear interest at a rate of 0.5% per annum payable semi-annually in arrears, unless earlier converted, repurchased or redeemed in accordance with the terms of the 2025 Notes. The portion of debt proceeds that was classified as equity at the time of the offering was $104.5 million. The effective interest rate implicit in the liability component was 4.2%. In connection with this offering, the Company capitalized $13.2 million of financing fees.</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2025 Notes are senior, unsecured obligations of the Company, and are convertible into cash and shares of its common stock based on initial conversion rate, subject to adjustment of 13.5739 shares per $1,000 principal amounts of the 2025 Notes (which represents an initial conversion price of $73.67 per share). The 2025 Notes convert only in the following circumstances: (1) if the closing price of the Company's common stock has been at least 130% of the conversion price during the period; (2) if the average trading price per $1,000 principal amount of the 2025 Notes is less than or equal to 98% of the average conversion value of the 2025 Notes during a period as defined in the indenture; (3) at any time on or after February 20, 2023; or (4) if specified corporate transactions occur. As of September 30, 2021, none of these conditions existed with respect to the 2025 Notes and as a result the 2025 Notes are classified as long term.</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9, 2020, the Company entered into the First Supplemental Indenture to the original agreement dated as of February 4, 2020 between the Company and Citibank, N.A., as trustee, governing the Company’s outstanding 2025 Notes. The Company irrevocably elected (1) to eliminate the Company’s option to choose physical settlement on any conversion of the 2025 Notes that occurs on or after the date of the First Supplemental Indenture and (2) with respect to any Combination Settlement for a conversion of the 2025 Notes, the Specified Dollar Amount that will be settled in cash per $1,000 principal amount of the 2025 Notes shall be no lower than $1,000.</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Holders of the Notes will have the right to require the Company to repurchase for cash all or a portion of their Notes at 100% of their principal amount, plus any accrued and unpaid interest, upon the occurrence of a fundamental change (as defined in the indenture relating to the Notes). The Company will also be required to increase the conversion rate for holders who convert their Notes in connection with certain fundamental changes occurring prior to the maturity date or following delivery by the Company of a notice of redemption.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 Notes. The initial strike price of the warrant transactions was $113.34 for the 2025 Notes, subject to customary anti-dilution adjustments.</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At December 31, 2020, the carrying amount of the liability component was $485.9 million, the remaining unamortized discount was $89.1 million, and the principal amount outstanding was $575.0 million. On January 1, 2021, the Company adopted ASU 2020-06 using the modified retrospective method. See Note 1, </w:t>
      </w:r>
      <w:r>
        <w:rPr>
          <w:rFonts w:ascii="Arial" w:cs="Arial" w:eastAsia="Arial" w:hAnsi="Arial"/>
          <w:sz w:val="17"/>
          <w:szCs w:val="17"/>
          <w:i w:val="1"/>
          <w:iCs w:val="1"/>
          <w:color w:val="auto"/>
        </w:rPr>
        <w:t>Basis of Presentation,</w:t>
      </w:r>
      <w:r>
        <w:rPr>
          <w:rFonts w:ascii="Arial" w:cs="Arial" w:eastAsia="Arial" w:hAnsi="Arial"/>
          <w:sz w:val="17"/>
          <w:szCs w:val="17"/>
          <w:color w:val="auto"/>
        </w:rPr>
        <w:t xml:space="preserve"> for further details. At September 30, 2021, the carrying amount of the liability was $575.0 million. The fair value of the 2025 Notes at September 30, 2021 was $636.7 million. Factors that the Company considered when estimating the fair value of the 2025 Notes included recent quoted market prices or dealer quote. The level of the 2025 Notes is considered as Level 1.</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adoption of ASU 2020-06, the Company recognized only cash interest related to the contractual interest coupon of $2.1 million on the 2025 Notes for the nine months ended September 30, 2021. Prior to the adoption, during the nine months ended September 30, 2020, the Company recognized cash interest of $1.9 million and amortization of the discount on the liability component of $11.1 million for a total interest charge of $13.0 million on the 2020 Notes.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Facility</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fourth quarter of 2018, the Company entered into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September 30, 2021, the Company was in compliance with the covenants and none of the termination events had occurred.</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28, 2021, the Company entered into an amendment (the "May 2021 Amendment") of the Securitization Facility which extended the maturity date from December 21, 2021 to May 28, 2024. The May 2021 Amendment does not increase the Company’s total indebtedness.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September 30, 2021 and December 31, 2020, the Company had $111.7 million and $112.5 million, respectively, of outstanding borrowings under its Securitization Facility at a weighted average interest rate of 1.2% and 1.3%, respectively. The fair value of the outstanding borrowing of the Securitization Facility at September 30, 2021 was $108.0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DERIVATIVE INSTRUMENTS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117" w:lineRule="exact"/>
        <w:rPr>
          <w:sz w:val="20"/>
          <w:szCs w:val="20"/>
          <w:color w:val="auto"/>
        </w:rPr>
      </w:pPr>
    </w:p>
    <w:p>
      <w:pPr>
        <w:jc w:val="both"/>
        <w:ind w:left="60"/>
        <w:spacing w:after="0" w:line="263" w:lineRule="auto"/>
        <w:rPr>
          <w:sz w:val="20"/>
          <w:szCs w:val="20"/>
          <w:color w:val="auto"/>
        </w:rPr>
      </w:pPr>
      <w:r>
        <w:rPr>
          <w:rFonts w:ascii="Arial" w:cs="Arial" w:eastAsia="Arial" w:hAnsi="Arial"/>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LIBOR-indexed floating-rate borrowings.</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held the following interest rate swaps as of September 30, 2021 and December 31, 2020 (dollar 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10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Hedged Item</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Designation Date</w:t>
            </w: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Effective Date</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020" w:type="dxa"/>
            <w:vAlign w:val="bottom"/>
            <w:gridSpan w:val="3"/>
          </w:tcPr>
          <w:p>
            <w:pPr>
              <w:jc w:val="right"/>
              <w:spacing w:after="0" w:line="130" w:lineRule="exact"/>
              <w:rPr>
                <w:sz w:val="20"/>
                <w:szCs w:val="20"/>
                <w:color w:val="auto"/>
              </w:rPr>
            </w:pPr>
            <w:r>
              <w:rPr>
                <w:rFonts w:ascii="Arial" w:cs="Arial" w:eastAsia="Arial" w:hAnsi="Arial"/>
                <w:sz w:val="14"/>
                <w:szCs w:val="14"/>
                <w:b w:val="1"/>
                <w:bCs w:val="1"/>
                <w:color w:val="auto"/>
              </w:rPr>
              <w:t>Fixed Interest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40" w:type="dxa"/>
            <w:vAlign w:val="bottom"/>
            <w:gridSpan w:val="2"/>
            <w:vMerge w:val="restart"/>
          </w:tcPr>
          <w:p>
            <w:pPr>
              <w:jc w:val="right"/>
              <w:ind w:right="428"/>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4"/>
            <w:vMerge w:val="restart"/>
          </w:tcPr>
          <w:p>
            <w:pPr>
              <w:jc w:val="right"/>
              <w:ind w:right="528"/>
              <w:spacing w:after="0"/>
              <w:rPr>
                <w:sz w:val="20"/>
                <w:szCs w:val="20"/>
                <w:color w:val="auto"/>
              </w:rPr>
            </w:pPr>
            <w:r>
              <w:rPr>
                <w:rFonts w:ascii="Arial" w:cs="Arial" w:eastAsia="Arial" w:hAnsi="Arial"/>
                <w:sz w:val="14"/>
                <w:szCs w:val="14"/>
                <w:b w:val="1"/>
                <w:bCs w:val="1"/>
                <w:color w:val="auto"/>
              </w:rPr>
              <w:t>Notional Amount</w:t>
            </w: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Rate</w:t>
            </w:r>
          </w:p>
        </w:tc>
        <w:tc>
          <w:tcPr>
            <w:tcW w:w="40" w:type="dxa"/>
            <w:vAlign w:val="bottom"/>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1000" w:type="dxa"/>
            <w:vAlign w:val="bottom"/>
            <w:tcBorders>
              <w:top w:val="single" w:sz="8" w:color="auto"/>
              <w:bottom w:val="single" w:sz="8" w:color="CCEEFF"/>
            </w:tcBorders>
          </w:tcPr>
          <w:p>
            <w:pPr>
              <w:spacing w:after="0"/>
              <w:rPr>
                <w:sz w:val="14"/>
                <w:szCs w:val="14"/>
                <w:color w:val="auto"/>
              </w:rPr>
            </w:pPr>
          </w:p>
        </w:tc>
        <w:tc>
          <w:tcPr>
            <w:tcW w:w="140" w:type="dxa"/>
            <w:vAlign w:val="bottom"/>
            <w:tcBorders>
              <w:top w:val="single" w:sz="8" w:color="auto"/>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CCEEFF"/>
            </w:tcBorders>
          </w:tcPr>
          <w:p>
            <w:pPr>
              <w:spacing w:after="0"/>
              <w:rPr>
                <w:sz w:val="14"/>
                <w:szCs w:val="14"/>
                <w:color w:val="auto"/>
              </w:rPr>
            </w:pPr>
          </w:p>
        </w:tc>
        <w:tc>
          <w:tcPr>
            <w:tcW w:w="4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02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40" w:type="dxa"/>
            <w:vAlign w:val="bottom"/>
            <w:tcBorders>
              <w:top w:val="single" w:sz="8" w:color="auto"/>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4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00" w:type="dxa"/>
            <w:vAlign w:val="bottom"/>
            <w:tcBorders>
              <w:top w:val="single" w:sz="8" w:color="auto"/>
              <w:bottom w:val="single" w:sz="8" w:color="CCEEFF"/>
            </w:tcBorders>
          </w:tcPr>
          <w:p>
            <w:pPr>
              <w:spacing w:after="0"/>
              <w:rPr>
                <w:sz w:val="14"/>
                <w:szCs w:val="14"/>
                <w:color w:val="auto"/>
              </w:rPr>
            </w:pPr>
          </w:p>
        </w:tc>
        <w:tc>
          <w:tcPr>
            <w:tcW w:w="14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140" w:type="dxa"/>
            <w:vAlign w:val="bottom"/>
            <w:tcBorders>
              <w:top w:val="single" w:sz="8" w:color="auto"/>
              <w:bottom w:val="single" w:sz="8" w:color="auto"/>
            </w:tcBorders>
            <w:gridSpan w:val="2"/>
          </w:tcPr>
          <w:p>
            <w:pPr>
              <w:jc w:val="right"/>
              <w:ind w:right="648"/>
              <w:spacing w:after="0"/>
              <w:rPr>
                <w:sz w:val="20"/>
                <w:szCs w:val="20"/>
                <w:color w:val="auto"/>
              </w:rPr>
            </w:pPr>
            <w:r>
              <w:rPr>
                <w:rFonts w:ascii="Arial" w:cs="Arial" w:eastAsia="Arial" w:hAnsi="Arial"/>
                <w:sz w:val="13"/>
                <w:szCs w:val="13"/>
                <w:b w:val="1"/>
                <w:bCs w:val="1"/>
                <w:color w:val="auto"/>
              </w:rPr>
              <w:t>Asset (Liability)</w:t>
            </w:r>
          </w:p>
        </w:tc>
        <w:tc>
          <w:tcPr>
            <w:tcW w:w="0" w:type="dxa"/>
            <w:vAlign w:val="bottom"/>
          </w:tcPr>
          <w:p>
            <w:pPr>
              <w:spacing w:after="0"/>
              <w:rPr>
                <w:sz w:val="1"/>
                <w:szCs w:val="1"/>
                <w:color w:val="auto"/>
              </w:rPr>
            </w:pPr>
          </w:p>
        </w:tc>
      </w:tr>
      <w:tr>
        <w:trPr>
          <w:trHeight w:val="122"/>
        </w:trPr>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month USD</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0"/>
                <w:szCs w:val="10"/>
                <w:color w:val="auto"/>
              </w:rPr>
            </w:pPr>
          </w:p>
        </w:tc>
        <w:tc>
          <w:tcPr>
            <w:tcW w:w="11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 $</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0"/>
                <w:szCs w:val="10"/>
                <w:color w:val="auto"/>
              </w:rPr>
            </w:pPr>
          </w:p>
        </w:tc>
        <w:tc>
          <w:tcPr>
            <w:tcW w:w="152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color w:val="auto"/>
                <w:w w:val="92"/>
              </w:rPr>
              <w:t>March 27, 2017</w:t>
            </w:r>
          </w:p>
        </w:tc>
        <w:tc>
          <w:tcPr>
            <w:tcW w:w="154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color w:val="auto"/>
                <w:w w:val="91"/>
              </w:rPr>
              <w:t>December 31, 2017</w:t>
            </w:r>
          </w:p>
        </w:tc>
        <w:tc>
          <w:tcPr>
            <w:tcW w:w="13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June 30, 2021</w:t>
            </w:r>
          </w:p>
        </w:tc>
        <w:tc>
          <w:tcPr>
            <w:tcW w:w="108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1.971%$</w:t>
            </w:r>
          </w:p>
        </w:tc>
        <w:tc>
          <w:tcPr>
            <w:tcW w:w="4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LIBOR Loan</w:t>
            </w:r>
          </w:p>
        </w:tc>
        <w:tc>
          <w:tcPr>
            <w:tcW w:w="200" w:type="dxa"/>
            <w:vAlign w:val="bottom"/>
            <w:gridSpan w:val="2"/>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100" w:type="dxa"/>
            <w:vAlign w:val="bottom"/>
            <w:gridSpan w:val="3"/>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300" w:type="dxa"/>
            <w:vAlign w:val="bottom"/>
            <w:vMerge w:val="continue"/>
            <w:shd w:val="clear" w:color="auto" w:fill="CCEEFF"/>
          </w:tcPr>
          <w:p>
            <w:pPr>
              <w:spacing w:after="0"/>
              <w:rPr>
                <w:sz w:val="9"/>
                <w:szCs w:val="9"/>
                <w:color w:val="auto"/>
              </w:rPr>
            </w:pPr>
          </w:p>
        </w:tc>
        <w:tc>
          <w:tcPr>
            <w:tcW w:w="1080" w:type="dxa"/>
            <w:vAlign w:val="bottom"/>
            <w:gridSpan w:val="4"/>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0" w:type="dxa"/>
            <w:vAlign w:val="bottom"/>
          </w:tcPr>
          <w:p>
            <w:pPr>
              <w:spacing w:after="0" w:line="135" w:lineRule="exact"/>
              <w:rPr>
                <w:sz w:val="20"/>
                <w:szCs w:val="20"/>
                <w:color w:val="auto"/>
              </w:rPr>
            </w:pPr>
            <w:r>
              <w:rPr>
                <w:rFonts w:ascii="Arial" w:cs="Arial" w:eastAsia="Arial" w:hAnsi="Arial"/>
                <w:sz w:val="14"/>
                <w:szCs w:val="14"/>
                <w:color w:val="auto"/>
              </w:rPr>
              <w:t>month USD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300,000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tcPr>
          <w:p>
            <w:pPr>
              <w:spacing w:after="0"/>
              <w:rPr>
                <w:sz w:val="11"/>
                <w:szCs w:val="11"/>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2"/>
              </w:rPr>
              <w:t>December 13, 2017</w:t>
            </w: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1"/>
              </w:rPr>
              <w:t>January 1, 2018</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w w:val="91"/>
              </w:rPr>
              <w:t>December 31, 2022</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2.201%</w:t>
            </w:r>
          </w:p>
        </w:tc>
        <w:tc>
          <w:tcPr>
            <w:tcW w:w="60" w:type="dxa"/>
            <w:vAlign w:val="bottom"/>
          </w:tcPr>
          <w:p>
            <w:pPr>
              <w:spacing w:after="0"/>
              <w:rPr>
                <w:sz w:val="11"/>
                <w:szCs w:val="11"/>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color w:val="auto"/>
              </w:rPr>
              <w:t>(7,693)</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(12,557)</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Arial" w:cs="Arial" w:eastAsia="Arial" w:hAnsi="Arial"/>
                <w:sz w:val="14"/>
                <w:szCs w:val="14"/>
                <w:color w:val="auto"/>
              </w:rPr>
              <w:t>LIBOR Loan</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month USD</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color w:val="auto"/>
                <w:w w:val="92"/>
              </w:rPr>
              <w:t>December 13, 2017</w:t>
            </w:r>
          </w:p>
        </w:tc>
        <w:tc>
          <w:tcPr>
            <w:tcW w:w="154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4"/>
                <w:szCs w:val="14"/>
                <w:color w:val="auto"/>
                <w:w w:val="92"/>
              </w:rPr>
              <w:t>July 1, 2019</w:t>
            </w:r>
          </w:p>
        </w:tc>
        <w:tc>
          <w:tcPr>
            <w:tcW w:w="13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June 30, 2024</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2.423%</w:t>
            </w:r>
          </w:p>
        </w:tc>
        <w:tc>
          <w:tcPr>
            <w:tcW w:w="6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(7,859)</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(11,502)</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LIBOR Loan</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300" w:type="dxa"/>
            <w:vAlign w:val="bottom"/>
            <w:vMerge w:val="continue"/>
            <w:shd w:val="clear" w:color="auto" w:fill="CCEEFF"/>
          </w:tcPr>
          <w:p>
            <w:pPr>
              <w:spacing w:after="0"/>
              <w:rPr>
                <w:sz w:val="9"/>
                <w:szCs w:val="9"/>
                <w:color w:val="auto"/>
              </w:rPr>
            </w:pPr>
          </w:p>
        </w:tc>
        <w:tc>
          <w:tcPr>
            <w:tcW w:w="1020" w:type="dxa"/>
            <w:vAlign w:val="bottom"/>
            <w:gridSpan w:val="3"/>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0" w:type="dxa"/>
            <w:vAlign w:val="bottom"/>
          </w:tcPr>
          <w:p>
            <w:pPr>
              <w:spacing w:after="0" w:line="135" w:lineRule="exact"/>
              <w:rPr>
                <w:sz w:val="20"/>
                <w:szCs w:val="20"/>
                <w:color w:val="auto"/>
              </w:rPr>
            </w:pPr>
            <w:r>
              <w:rPr>
                <w:rFonts w:ascii="Arial" w:cs="Arial" w:eastAsia="Arial" w:hAnsi="Arial"/>
                <w:sz w:val="14"/>
                <w:szCs w:val="14"/>
                <w:color w:val="auto"/>
              </w:rPr>
              <w:t>month USD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200,000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tcPr>
          <w:p>
            <w:pPr>
              <w:spacing w:after="0"/>
              <w:rPr>
                <w:sz w:val="11"/>
                <w:szCs w:val="11"/>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2"/>
              </w:rPr>
              <w:t>December 13, 2017</w:t>
            </w: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1"/>
              </w:rPr>
              <w:t>January 1, 2018</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w w:val="91"/>
              </w:rPr>
              <w:t>December 31, 2024</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2.313%</w:t>
            </w:r>
          </w:p>
        </w:tc>
        <w:tc>
          <w:tcPr>
            <w:tcW w:w="60" w:type="dxa"/>
            <w:vAlign w:val="bottom"/>
          </w:tcPr>
          <w:p>
            <w:pPr>
              <w:spacing w:after="0"/>
              <w:rPr>
                <w:sz w:val="11"/>
                <w:szCs w:val="11"/>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color w:val="auto"/>
              </w:rPr>
              <w:t>(10,795)</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(16,243)</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Arial" w:cs="Arial" w:eastAsia="Arial" w:hAnsi="Arial"/>
                <w:sz w:val="14"/>
                <w:szCs w:val="14"/>
                <w:color w:val="auto"/>
              </w:rPr>
              <w:t>LIBOR Loan</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month USD</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4"/>
                <w:szCs w:val="14"/>
                <w:color w:val="auto"/>
                <w:w w:val="92"/>
              </w:rPr>
              <w:t>October 10, 2018</w:t>
            </w:r>
          </w:p>
        </w:tc>
        <w:tc>
          <w:tcPr>
            <w:tcW w:w="154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4"/>
                <w:szCs w:val="14"/>
                <w:color w:val="auto"/>
                <w:w w:val="92"/>
              </w:rPr>
              <w:t>July 1, 2020</w:t>
            </w:r>
          </w:p>
        </w:tc>
        <w:tc>
          <w:tcPr>
            <w:tcW w:w="13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June 30, 2025</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3.220%</w:t>
            </w:r>
          </w:p>
        </w:tc>
        <w:tc>
          <w:tcPr>
            <w:tcW w:w="6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(6,964)</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(9,836)</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LIBOR Loan</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300" w:type="dxa"/>
            <w:vAlign w:val="bottom"/>
            <w:vMerge w:val="continue"/>
            <w:shd w:val="clear" w:color="auto" w:fill="CCEEFF"/>
          </w:tcPr>
          <w:p>
            <w:pPr>
              <w:spacing w:after="0"/>
              <w:rPr>
                <w:sz w:val="9"/>
                <w:szCs w:val="9"/>
                <w:color w:val="auto"/>
              </w:rPr>
            </w:pPr>
          </w:p>
        </w:tc>
        <w:tc>
          <w:tcPr>
            <w:tcW w:w="1020" w:type="dxa"/>
            <w:vAlign w:val="bottom"/>
            <w:gridSpan w:val="3"/>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0" w:type="dxa"/>
            <w:vAlign w:val="bottom"/>
          </w:tcPr>
          <w:p>
            <w:pPr>
              <w:spacing w:after="0" w:line="135" w:lineRule="exact"/>
              <w:rPr>
                <w:sz w:val="20"/>
                <w:szCs w:val="20"/>
                <w:color w:val="auto"/>
              </w:rPr>
            </w:pPr>
            <w:r>
              <w:rPr>
                <w:rFonts w:ascii="Arial" w:cs="Arial" w:eastAsia="Arial" w:hAnsi="Arial"/>
                <w:sz w:val="14"/>
                <w:szCs w:val="14"/>
                <w:color w:val="auto"/>
              </w:rPr>
              <w:t>month USD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75,000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11"/>
                <w:szCs w:val="11"/>
                <w:color w:val="auto"/>
              </w:rPr>
            </w:pPr>
          </w:p>
        </w:tc>
        <w:tc>
          <w:tcPr>
            <w:tcW w:w="152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2"/>
              </w:rPr>
              <w:t>October 10, 2018</w:t>
            </w: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2"/>
              </w:rPr>
              <w:t>July 1, 2020</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w w:val="90"/>
              </w:rPr>
              <w:t>June 30, 2025</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3.199%</w:t>
            </w:r>
          </w:p>
        </w:tc>
        <w:tc>
          <w:tcPr>
            <w:tcW w:w="60" w:type="dxa"/>
            <w:vAlign w:val="bottom"/>
          </w:tcPr>
          <w:p>
            <w:pPr>
              <w:spacing w:after="0"/>
              <w:rPr>
                <w:sz w:val="11"/>
                <w:szCs w:val="11"/>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color w:val="auto"/>
              </w:rPr>
              <w:t>(6,931)</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(9,826)</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Arial" w:cs="Arial" w:eastAsia="Arial" w:hAnsi="Arial"/>
                <w:sz w:val="14"/>
                <w:szCs w:val="14"/>
                <w:color w:val="auto"/>
              </w:rPr>
              <w:t>LIBOR Loan</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month USD</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4"/>
                <w:szCs w:val="14"/>
                <w:color w:val="auto"/>
                <w:w w:val="92"/>
              </w:rPr>
              <w:t>October 10, 2018</w:t>
            </w:r>
          </w:p>
        </w:tc>
        <w:tc>
          <w:tcPr>
            <w:tcW w:w="154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4"/>
                <w:szCs w:val="14"/>
                <w:color w:val="auto"/>
                <w:w w:val="92"/>
              </w:rPr>
              <w:t>July 1, 2020</w:t>
            </w:r>
          </w:p>
        </w:tc>
        <w:tc>
          <w:tcPr>
            <w:tcW w:w="13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June 30, 2025</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3.209%</w:t>
            </w:r>
          </w:p>
        </w:tc>
        <w:tc>
          <w:tcPr>
            <w:tcW w:w="6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(6,906)</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(9,783)</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LIBOR Loan</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300" w:type="dxa"/>
            <w:vAlign w:val="bottom"/>
            <w:vMerge w:val="continue"/>
            <w:shd w:val="clear" w:color="auto" w:fill="CCEEFF"/>
          </w:tcPr>
          <w:p>
            <w:pPr>
              <w:spacing w:after="0"/>
              <w:rPr>
                <w:sz w:val="9"/>
                <w:szCs w:val="9"/>
                <w:color w:val="auto"/>
              </w:rPr>
            </w:pPr>
          </w:p>
        </w:tc>
        <w:tc>
          <w:tcPr>
            <w:tcW w:w="1020" w:type="dxa"/>
            <w:vAlign w:val="bottom"/>
            <w:gridSpan w:val="3"/>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0" w:type="dxa"/>
            <w:vAlign w:val="bottom"/>
          </w:tcPr>
          <w:p>
            <w:pPr>
              <w:spacing w:after="0" w:line="135" w:lineRule="exact"/>
              <w:rPr>
                <w:sz w:val="20"/>
                <w:szCs w:val="20"/>
                <w:color w:val="auto"/>
              </w:rPr>
            </w:pPr>
            <w:r>
              <w:rPr>
                <w:rFonts w:ascii="Arial" w:cs="Arial" w:eastAsia="Arial" w:hAnsi="Arial"/>
                <w:sz w:val="14"/>
                <w:szCs w:val="14"/>
                <w:color w:val="auto"/>
              </w:rPr>
              <w:t>month USD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100,000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1"/>
                <w:szCs w:val="11"/>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2"/>
              </w:rPr>
              <w:t>December 18, 2018</w:t>
            </w: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1"/>
              </w:rPr>
              <w:t>December 30, 2022</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w w:val="91"/>
              </w:rPr>
              <w:t>December 31, 2027</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2.885%</w:t>
            </w:r>
          </w:p>
        </w:tc>
        <w:tc>
          <w:tcPr>
            <w:tcW w:w="60" w:type="dxa"/>
            <w:vAlign w:val="bottom"/>
          </w:tcPr>
          <w:p>
            <w:pPr>
              <w:spacing w:after="0"/>
              <w:rPr>
                <w:sz w:val="11"/>
                <w:szCs w:val="11"/>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color w:val="auto"/>
              </w:rPr>
              <w:t>(7,253)</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(10,407)</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Arial" w:cs="Arial" w:eastAsia="Arial" w:hAnsi="Arial"/>
                <w:sz w:val="14"/>
                <w:szCs w:val="14"/>
                <w:color w:val="auto"/>
              </w:rPr>
              <w:t>LIBOR Loan</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month USD</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color w:val="auto"/>
                <w:w w:val="92"/>
              </w:rPr>
              <w:t>December 18, 2018</w:t>
            </w:r>
          </w:p>
        </w:tc>
        <w:tc>
          <w:tcPr>
            <w:tcW w:w="154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color w:val="auto"/>
                <w:w w:val="91"/>
              </w:rPr>
              <w:t>December 30, 2022</w:t>
            </w:r>
          </w:p>
        </w:tc>
        <w:tc>
          <w:tcPr>
            <w:tcW w:w="13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December 31, 2027</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2.867%</w:t>
            </w:r>
          </w:p>
        </w:tc>
        <w:tc>
          <w:tcPr>
            <w:tcW w:w="6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(7,211)</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(10,431)</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10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LIBOR Loan</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300" w:type="dxa"/>
            <w:vAlign w:val="bottom"/>
            <w:vMerge w:val="continue"/>
            <w:shd w:val="clear" w:color="auto" w:fill="CCEEFF"/>
          </w:tcPr>
          <w:p>
            <w:pPr>
              <w:spacing w:after="0"/>
              <w:rPr>
                <w:sz w:val="9"/>
                <w:szCs w:val="9"/>
                <w:color w:val="auto"/>
              </w:rPr>
            </w:pPr>
          </w:p>
        </w:tc>
        <w:tc>
          <w:tcPr>
            <w:tcW w:w="1020" w:type="dxa"/>
            <w:vAlign w:val="bottom"/>
            <w:gridSpan w:val="3"/>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0" w:type="dxa"/>
            <w:vAlign w:val="bottom"/>
          </w:tcPr>
          <w:p>
            <w:pPr>
              <w:spacing w:after="0" w:line="135" w:lineRule="exact"/>
              <w:rPr>
                <w:sz w:val="20"/>
                <w:szCs w:val="20"/>
                <w:color w:val="auto"/>
              </w:rPr>
            </w:pPr>
            <w:r>
              <w:rPr>
                <w:rFonts w:ascii="Arial" w:cs="Arial" w:eastAsia="Arial" w:hAnsi="Arial"/>
                <w:sz w:val="14"/>
                <w:szCs w:val="14"/>
                <w:color w:val="auto"/>
              </w:rPr>
              <w:t>month USD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575,000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575,000</w:t>
            </w:r>
          </w:p>
        </w:tc>
        <w:tc>
          <w:tcPr>
            <w:tcW w:w="100" w:type="dxa"/>
            <w:vAlign w:val="bottom"/>
          </w:tcPr>
          <w:p>
            <w:pPr>
              <w:spacing w:after="0"/>
              <w:rPr>
                <w:sz w:val="11"/>
                <w:szCs w:val="11"/>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2"/>
              </w:rPr>
              <w:t>December 15, 2020</w:t>
            </w: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3"/>
              </w:rPr>
              <w:t>July 31, 2025</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w w:val="91"/>
              </w:rPr>
              <w:t>December 31, 2027</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1.415%</w:t>
            </w:r>
          </w:p>
        </w:tc>
        <w:tc>
          <w:tcPr>
            <w:tcW w:w="60" w:type="dxa"/>
            <w:vAlign w:val="bottom"/>
          </w:tcPr>
          <w:p>
            <w:pPr>
              <w:spacing w:after="0"/>
              <w:rPr>
                <w:sz w:val="11"/>
                <w:szCs w:val="11"/>
                <w:color w:val="auto"/>
              </w:rPr>
            </w:pPr>
          </w:p>
        </w:tc>
        <w:tc>
          <w:tcPr>
            <w:tcW w:w="1120" w:type="dxa"/>
            <w:vAlign w:val="bottom"/>
            <w:gridSpan w:val="2"/>
            <w:vMerge w:val="restart"/>
          </w:tcPr>
          <w:p>
            <w:pPr>
              <w:jc w:val="right"/>
              <w:ind w:right="50"/>
              <w:spacing w:after="0"/>
              <w:rPr>
                <w:sz w:val="20"/>
                <w:szCs w:val="20"/>
                <w:color w:val="auto"/>
              </w:rPr>
            </w:pPr>
            <w:r>
              <w:rPr>
                <w:rFonts w:ascii="Arial" w:cs="Arial" w:eastAsia="Arial" w:hAnsi="Arial"/>
                <w:sz w:val="14"/>
                <w:szCs w:val="14"/>
                <w:color w:val="auto"/>
              </w:rPr>
              <w:t>5,483</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(1,907)</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Arial" w:cs="Arial" w:eastAsia="Arial" w:hAnsi="Arial"/>
                <w:sz w:val="14"/>
                <w:szCs w:val="14"/>
                <w:color w:val="auto"/>
              </w:rPr>
              <w:t>LIBOR Loan</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month USD</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10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color w:val="auto"/>
                <w:w w:val="92"/>
              </w:rPr>
              <w:t>December 15, 2020</w:t>
            </w:r>
          </w:p>
        </w:tc>
        <w:tc>
          <w:tcPr>
            <w:tcW w:w="154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4"/>
                <w:szCs w:val="14"/>
                <w:color w:val="auto"/>
                <w:w w:val="92"/>
              </w:rPr>
              <w:t>July 1, 2025</w:t>
            </w:r>
          </w:p>
        </w:tc>
        <w:tc>
          <w:tcPr>
            <w:tcW w:w="13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December 31, 2027</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1.404%</w:t>
            </w:r>
          </w:p>
        </w:tc>
        <w:tc>
          <w:tcPr>
            <w:tcW w:w="6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1,315</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10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LIBOR Loan</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300" w:type="dxa"/>
            <w:vAlign w:val="bottom"/>
            <w:vMerge w:val="continue"/>
            <w:shd w:val="clear" w:color="auto" w:fill="CCEEFF"/>
          </w:tcPr>
          <w:p>
            <w:pPr>
              <w:spacing w:after="0"/>
              <w:rPr>
                <w:sz w:val="9"/>
                <w:szCs w:val="9"/>
                <w:color w:val="auto"/>
              </w:rPr>
            </w:pPr>
          </w:p>
        </w:tc>
        <w:tc>
          <w:tcPr>
            <w:tcW w:w="1020" w:type="dxa"/>
            <w:vAlign w:val="bottom"/>
            <w:gridSpan w:val="3"/>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1,775,000</w:t>
            </w: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1,875,000</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(54,814)$</w:t>
            </w:r>
          </w:p>
        </w:tc>
        <w:tc>
          <w:tcPr>
            <w:tcW w:w="1060" w:type="dxa"/>
            <w:vAlign w:val="bottom"/>
          </w:tcPr>
          <w:p>
            <w:pPr>
              <w:jc w:val="right"/>
              <w:spacing w:after="0"/>
              <w:rPr>
                <w:sz w:val="20"/>
                <w:szCs w:val="20"/>
                <w:color w:val="auto"/>
              </w:rPr>
            </w:pPr>
            <w:r>
              <w:rPr>
                <w:rFonts w:ascii="Arial" w:cs="Arial" w:eastAsia="Arial" w:hAnsi="Arial"/>
                <w:sz w:val="14"/>
                <w:szCs w:val="14"/>
                <w:color w:val="auto"/>
              </w:rPr>
              <w:t>(93,769)</w:t>
            </w: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60"/>
        <w:spacing w:after="0" w:line="275" w:lineRule="auto"/>
        <w:rPr>
          <w:sz w:val="20"/>
          <w:szCs w:val="20"/>
          <w:color w:val="auto"/>
        </w:rPr>
      </w:pPr>
      <w:r>
        <w:rPr>
          <w:rFonts w:ascii="Arial" w:cs="Arial" w:eastAsia="Arial" w:hAnsi="Arial"/>
          <w:sz w:val="17"/>
          <w:szCs w:val="17"/>
          <w:color w:val="auto"/>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accumulated other comprehensive loss (“AOCL”),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AOCL to interest expense at that time.</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Hedging</w:t>
      </w:r>
    </w:p>
    <w:p>
      <w:pPr>
        <w:spacing w:after="0" w:line="117" w:lineRule="exact"/>
        <w:rPr>
          <w:sz w:val="20"/>
          <w:szCs w:val="20"/>
          <w:color w:val="auto"/>
        </w:rPr>
      </w:pPr>
    </w:p>
    <w:p>
      <w:pPr>
        <w:jc w:val="both"/>
        <w:ind w:left="60"/>
        <w:spacing w:after="0" w:line="272" w:lineRule="auto"/>
        <w:rPr>
          <w:sz w:val="20"/>
          <w:szCs w:val="20"/>
          <w:color w:val="auto"/>
        </w:rPr>
      </w:pPr>
      <w:r>
        <w:rPr>
          <w:rFonts w:ascii="Arial" w:cs="Arial" w:eastAsia="Arial" w:hAnsi="Arial"/>
          <w:sz w:val="17"/>
          <w:szCs w:val="17"/>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AOCL, net of tax. Those amounts are subsequently reclassified to earnings from AOCL as impacted by the hedged item when the hedged item affects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net in the consolidated statements of operation, along with the offsetting foreign currency gain or loss on the underlying assets or liabilities.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fourth quarter of 2020, the Company entered into foreign currency forward contracts, with a notional amount of $9.7 million, to mitigate the foreign exchange risk related to certain intercompany loans denominated in Canadian Dollar ("CAD") and intercompany receivables denominated in Japanese Yen ("JPY"). The contracts are not designated as hedging instruments. The Company recognized a $0.2 million loss from the change in fair value of the contracts, which was included in other income, net in the consolidated statement of operations as of September 30, 2021. The Company subsequently settled its foreign currency forward contracts associated with the intercompany receivables denominated in JPY during the first quarter of 2021. The fair value of the foreign currency forward contracts denominated in CAD was $0.2 million as of September 30, 2021.</w:t>
      </w:r>
    </w:p>
    <w:p>
      <w:pPr>
        <w:spacing w:after="0" w:line="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second quarter of 2021, the Company entered into a foreign currency swap, with a notional of $7.3 million to mitigate the risk from fluctuations in foreign currency exchange rates associated with certain intercompany loan denominated in Japanese Yen ("JPY"). In a foreign currency swap transaction, the Company agrees with another party to exchange, at specified intervals, the difference between one currency and another currency at a fixed exchange rate, generally set at inception, calculated by reference to an agreed upon notional amount. The notional amount of each currency is exchanged at the inception and termination of the currency swap by each party. The change in fair value of the foreign currency swap was not material for the period.</w:t>
      </w:r>
    </w:p>
    <w:p>
      <w:pPr>
        <w:spacing w:after="0" w:line="5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success of the Company’s hedging program depends, in part, on forecasts of certain activity denominated in foreign currency. The Company may experience unanticipated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Rate Swaps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2, 2017, the Company entered into cross-currency swap agreements to convert a notional amount of $300.0 million equivalent to 291.2 million of Swiss Francs ("CHF") denominated intercompany loans into U.S. dollars. The CHF-denominated intercompany loans were the result of the purchase of intellectual property by a subsidiary in Switzerland as part of an acquisition.</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21, 2020, the Company entered into cross-currency swap agreements to convert a notional amount of $471.6 million equivalent to 420.1 million of a CHF-denominated intercompany loan into U.S. dollars. The CHF-denominated intercompany loan was the result of an intra-entity transfer of certain intellectual property rights to a subsidiary in Switzerland completed during the fourth quarter of 2020. The intercompany loan requires quarterly payments of CHF 5.8 million plus accrued interest. As a result, the aggregate notional amount of the related cross-currency swaps will decrease by a corresponding amount.</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and receive interest in U.S. dollars. Upon the maturity of these contracts, the Company will pay the remaining principal amount of the loans in Swiss Francs and receive U.S. dollars from the counterparties.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Company held the following cross-currency rate swaps as of September 30, 2021 and December 31, 2020 (dollar amounts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6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September 30, 2021 December 31, 2020  September 30, 2021</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34"/>
        </w:trPr>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100" w:type="dxa"/>
            <w:vAlign w:val="bottom"/>
            <w:vMerge w:val="restart"/>
          </w:tcPr>
          <w:p>
            <w:pPr>
              <w:spacing w:after="0"/>
              <w:rPr>
                <w:sz w:val="11"/>
                <w:szCs w:val="11"/>
                <w:color w:val="auto"/>
              </w:rPr>
            </w:pPr>
          </w:p>
        </w:tc>
        <w:tc>
          <w:tcPr>
            <w:tcW w:w="14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00" w:type="dxa"/>
            <w:vAlign w:val="bottom"/>
          </w:tcPr>
          <w:p>
            <w:pPr>
              <w:spacing w:after="0"/>
              <w:rPr>
                <w:sz w:val="11"/>
                <w:szCs w:val="11"/>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Fixed Rate</w:t>
            </w:r>
          </w:p>
        </w:tc>
        <w:tc>
          <w:tcPr>
            <w:tcW w:w="100" w:type="dxa"/>
            <w:vAlign w:val="bottom"/>
            <w:vMerge w:val="restart"/>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4"/>
              </w:rPr>
              <w:t>Aggregate Notional Amount</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center"/>
              <w:ind w:left="182"/>
              <w:spacing w:after="0" w:line="135" w:lineRule="exact"/>
              <w:rPr>
                <w:sz w:val="20"/>
                <w:szCs w:val="20"/>
                <w:color w:val="auto"/>
              </w:rPr>
            </w:pPr>
            <w:r>
              <w:rPr>
                <w:rFonts w:ascii="Arial" w:cs="Arial" w:eastAsia="Arial" w:hAnsi="Arial"/>
                <w:sz w:val="14"/>
                <w:szCs w:val="14"/>
                <w:b w:val="1"/>
                <w:bCs w:val="1"/>
                <w:color w:val="auto"/>
                <w:w w:val="98"/>
              </w:rPr>
              <w:t>Fair Value</w:t>
            </w: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80" w:type="dxa"/>
            <w:vAlign w:val="bottom"/>
            <w:gridSpan w:val="2"/>
            <w:vMerge w:val="restart"/>
          </w:tcPr>
          <w:p>
            <w:pPr>
              <w:jc w:val="center"/>
              <w:ind w:left="182"/>
              <w:spacing w:after="0"/>
              <w:rPr>
                <w:sz w:val="20"/>
                <w:szCs w:val="20"/>
                <w:color w:val="auto"/>
              </w:rPr>
            </w:pPr>
            <w:r>
              <w:rPr>
                <w:rFonts w:ascii="Arial" w:cs="Arial" w:eastAsia="Arial" w:hAnsi="Arial"/>
                <w:sz w:val="14"/>
                <w:szCs w:val="14"/>
                <w:b w:val="1"/>
                <w:bCs w:val="1"/>
                <w:color w:val="auto"/>
                <w:w w:val="93"/>
              </w:rPr>
              <w:t>Asset (Liability)</w:t>
            </w: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gridSpan w:val="2"/>
            <w:vMerge w:val="continue"/>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CHF</w:t>
            </w:r>
          </w:p>
        </w:tc>
        <w:tc>
          <w:tcPr>
            <w:tcW w:w="80" w:type="dxa"/>
            <w:vAlign w:val="bottom"/>
            <w:shd w:val="clear" w:color="auto" w:fill="CCEEFF"/>
          </w:tcPr>
          <w:p>
            <w:pPr>
              <w:spacing w:after="0"/>
              <w:rPr>
                <w:sz w:val="18"/>
                <w:szCs w:val="18"/>
                <w:color w:val="auto"/>
              </w:rPr>
            </w:pPr>
          </w:p>
        </w:tc>
        <w:tc>
          <w:tcPr>
            <w:tcW w:w="15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92"/>
              </w:rPr>
              <w:t>October 2, 2017</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October 4, 2021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1.85%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CHF</w:t>
            </w:r>
          </w:p>
        </w:tc>
        <w:tc>
          <w:tcPr>
            <w:tcW w:w="1840" w:type="dxa"/>
            <w:vAlign w:val="bottom"/>
            <w:shd w:val="clear" w:color="auto" w:fill="CCEEFF"/>
          </w:tcPr>
          <w:p>
            <w:pPr>
              <w:jc w:val="right"/>
              <w:ind w:right="581"/>
              <w:spacing w:after="0"/>
              <w:rPr>
                <w:sz w:val="20"/>
                <w:szCs w:val="20"/>
                <w:color w:val="auto"/>
              </w:rPr>
            </w:pPr>
            <w:r>
              <w:rPr>
                <w:rFonts w:ascii="Arial" w:cs="Arial" w:eastAsia="Arial" w:hAnsi="Arial"/>
                <w:sz w:val="16"/>
                <w:szCs w:val="16"/>
                <w:color w:val="auto"/>
              </w:rPr>
              <w:t>48,533</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48,533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(1,727)</w:t>
            </w:r>
          </w:p>
        </w:tc>
        <w:tc>
          <w:tcPr>
            <w:tcW w:w="6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(4,335)</w:t>
            </w:r>
          </w:p>
        </w:tc>
        <w:tc>
          <w:tcPr>
            <w:tcW w:w="0" w:type="dxa"/>
            <w:vAlign w:val="bottom"/>
          </w:tcPr>
          <w:p>
            <w:pPr>
              <w:spacing w:after="0"/>
              <w:rPr>
                <w:sz w:val="1"/>
                <w:szCs w:val="1"/>
                <w:color w:val="auto"/>
              </w:rPr>
            </w:pPr>
          </w:p>
        </w:tc>
      </w:tr>
      <w:tr>
        <w:trPr>
          <w:trHeight w:val="108"/>
        </w:trPr>
        <w:tc>
          <w:tcPr>
            <w:tcW w:w="13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80" w:type="dxa"/>
            <w:vAlign w:val="bottom"/>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4.46%</w:t>
            </w: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vMerge w:val="restart"/>
            <w:shd w:val="clear" w:color="auto" w:fill="CCEEFF"/>
          </w:tcPr>
          <w:p>
            <w:pPr>
              <w:jc w:val="right"/>
              <w:ind w:right="581"/>
              <w:spacing w:after="0"/>
              <w:rPr>
                <w:sz w:val="20"/>
                <w:szCs w:val="20"/>
                <w:color w:val="auto"/>
              </w:rPr>
            </w:pPr>
            <w:r>
              <w:rPr>
                <w:rFonts w:ascii="Arial" w:cs="Arial" w:eastAsia="Arial" w:hAnsi="Arial"/>
                <w:sz w:val="16"/>
                <w:szCs w:val="16"/>
                <w:color w:val="auto"/>
              </w:rPr>
              <w:t>50,000</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1840" w:type="dxa"/>
            <w:vAlign w:val="bottom"/>
            <w:vMerge w:val="continue"/>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20" w:type="dxa"/>
            <w:vAlign w:val="bottom"/>
            <w:gridSpan w:val="2"/>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CHF</w:t>
            </w:r>
          </w:p>
        </w:tc>
        <w:tc>
          <w:tcPr>
            <w:tcW w:w="80" w:type="dxa"/>
            <w:vAlign w:val="bottom"/>
            <w:shd w:val="clear" w:color="auto" w:fill="CCEEFF"/>
          </w:tcPr>
          <w:p>
            <w:pPr>
              <w:spacing w:after="0"/>
              <w:rPr>
                <w:sz w:val="18"/>
                <w:szCs w:val="18"/>
                <w:color w:val="auto"/>
              </w:rPr>
            </w:pPr>
          </w:p>
        </w:tc>
        <w:tc>
          <w:tcPr>
            <w:tcW w:w="15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92"/>
              </w:rPr>
              <w:t>October 2, 2017</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October 2, 2022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1.95%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CHF</w:t>
            </w:r>
          </w:p>
        </w:tc>
        <w:tc>
          <w:tcPr>
            <w:tcW w:w="1840" w:type="dxa"/>
            <w:vAlign w:val="bottom"/>
            <w:shd w:val="clear" w:color="auto" w:fill="CCEEFF"/>
          </w:tcPr>
          <w:p>
            <w:pPr>
              <w:jc w:val="right"/>
              <w:ind w:right="581"/>
              <w:spacing w:after="0"/>
              <w:rPr>
                <w:sz w:val="20"/>
                <w:szCs w:val="20"/>
                <w:color w:val="auto"/>
              </w:rPr>
            </w:pPr>
            <w:r>
              <w:rPr>
                <w:rFonts w:ascii="Arial" w:cs="Arial" w:eastAsia="Arial" w:hAnsi="Arial"/>
                <w:sz w:val="16"/>
                <w:szCs w:val="16"/>
                <w:color w:val="auto"/>
              </w:rPr>
              <w:t>145,598</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145,598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(3,894)</w:t>
            </w:r>
          </w:p>
        </w:tc>
        <w:tc>
          <w:tcPr>
            <w:tcW w:w="6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(11,262)</w:t>
            </w:r>
          </w:p>
        </w:tc>
        <w:tc>
          <w:tcPr>
            <w:tcW w:w="0" w:type="dxa"/>
            <w:vAlign w:val="bottom"/>
          </w:tcPr>
          <w:p>
            <w:pPr>
              <w:spacing w:after="0"/>
              <w:rPr>
                <w:sz w:val="1"/>
                <w:szCs w:val="1"/>
                <w:color w:val="auto"/>
              </w:rPr>
            </w:pPr>
          </w:p>
        </w:tc>
      </w:tr>
      <w:tr>
        <w:trPr>
          <w:trHeight w:val="108"/>
        </w:trPr>
        <w:tc>
          <w:tcPr>
            <w:tcW w:w="13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80" w:type="dxa"/>
            <w:vAlign w:val="bottom"/>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4.52%</w:t>
            </w: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vMerge w:val="restart"/>
            <w:shd w:val="clear" w:color="auto" w:fill="CCEEFF"/>
          </w:tcPr>
          <w:p>
            <w:pPr>
              <w:jc w:val="right"/>
              <w:ind w:right="581"/>
              <w:spacing w:after="0"/>
              <w:rPr>
                <w:sz w:val="20"/>
                <w:szCs w:val="20"/>
                <w:color w:val="auto"/>
              </w:rPr>
            </w:pPr>
            <w:r>
              <w:rPr>
                <w:rFonts w:ascii="Arial" w:cs="Arial" w:eastAsia="Arial" w:hAnsi="Arial"/>
                <w:sz w:val="16"/>
                <w:szCs w:val="16"/>
                <w:color w:val="auto"/>
              </w:rPr>
              <w:t>150,000</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150,000</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1840" w:type="dxa"/>
            <w:vAlign w:val="bottom"/>
            <w:vMerge w:val="continue"/>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20" w:type="dxa"/>
            <w:vAlign w:val="bottom"/>
            <w:gridSpan w:val="2"/>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CHF</w:t>
            </w:r>
          </w:p>
        </w:tc>
        <w:tc>
          <w:tcPr>
            <w:tcW w:w="80" w:type="dxa"/>
            <w:vAlign w:val="bottom"/>
            <w:shd w:val="clear" w:color="auto" w:fill="CCEEFF"/>
          </w:tcPr>
          <w:p>
            <w:pPr>
              <w:spacing w:after="0"/>
              <w:rPr>
                <w:sz w:val="18"/>
                <w:szCs w:val="18"/>
                <w:color w:val="auto"/>
              </w:rPr>
            </w:pPr>
          </w:p>
        </w:tc>
        <w:tc>
          <w:tcPr>
            <w:tcW w:w="15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89"/>
              </w:rPr>
              <w:t>December 21, 2020</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December 22, 2025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CHF</w:t>
            </w:r>
          </w:p>
        </w:tc>
        <w:tc>
          <w:tcPr>
            <w:tcW w:w="1840" w:type="dxa"/>
            <w:vAlign w:val="bottom"/>
            <w:shd w:val="clear" w:color="auto" w:fill="CCEEFF"/>
          </w:tcPr>
          <w:p>
            <w:pPr>
              <w:jc w:val="right"/>
              <w:ind w:right="581"/>
              <w:spacing w:after="0"/>
              <w:rPr>
                <w:sz w:val="20"/>
                <w:szCs w:val="20"/>
                <w:color w:val="auto"/>
              </w:rPr>
            </w:pPr>
            <w:r>
              <w:rPr>
                <w:rFonts w:ascii="Arial" w:cs="Arial" w:eastAsia="Arial" w:hAnsi="Arial"/>
                <w:sz w:val="16"/>
                <w:szCs w:val="16"/>
                <w:color w:val="auto"/>
              </w:rPr>
              <w:t>402,887</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420,137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14,380</w:t>
            </w:r>
          </w:p>
        </w:tc>
        <w:tc>
          <w:tcPr>
            <w:tcW w:w="6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(7,843)</w:t>
            </w:r>
          </w:p>
        </w:tc>
        <w:tc>
          <w:tcPr>
            <w:tcW w:w="0" w:type="dxa"/>
            <w:vAlign w:val="bottom"/>
          </w:tcPr>
          <w:p>
            <w:pPr>
              <w:spacing w:after="0"/>
              <w:rPr>
                <w:sz w:val="1"/>
                <w:szCs w:val="1"/>
                <w:color w:val="auto"/>
              </w:rPr>
            </w:pPr>
          </w:p>
        </w:tc>
      </w:tr>
      <w:tr>
        <w:trPr>
          <w:trHeight w:val="108"/>
        </w:trPr>
        <w:tc>
          <w:tcPr>
            <w:tcW w:w="13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80" w:type="dxa"/>
            <w:vAlign w:val="bottom"/>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3.98%</w:t>
            </w: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vMerge w:val="restart"/>
            <w:shd w:val="clear" w:color="auto" w:fill="CCEEFF"/>
          </w:tcPr>
          <w:p>
            <w:pPr>
              <w:jc w:val="right"/>
              <w:ind w:right="581"/>
              <w:spacing w:after="0"/>
              <w:rPr>
                <w:sz w:val="20"/>
                <w:szCs w:val="20"/>
                <w:color w:val="auto"/>
              </w:rPr>
            </w:pPr>
            <w:r>
              <w:rPr>
                <w:rFonts w:ascii="Arial" w:cs="Arial" w:eastAsia="Arial" w:hAnsi="Arial"/>
                <w:sz w:val="16"/>
                <w:szCs w:val="16"/>
                <w:color w:val="auto"/>
              </w:rPr>
              <w:t>452,275</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471,640</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1840" w:type="dxa"/>
            <w:vAlign w:val="bottom"/>
            <w:vMerge w:val="continue"/>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20" w:type="dxa"/>
            <w:vAlign w:val="bottom"/>
            <w:tcBorders>
              <w:bottom w:val="single" w:sz="8" w:color="CCEEFF"/>
            </w:tcBorders>
            <w:gridSpan w:val="2"/>
          </w:tcPr>
          <w:p>
            <w:pPr>
              <w:spacing w:after="0"/>
              <w:rPr>
                <w:sz w:val="9"/>
                <w:szCs w:val="9"/>
                <w:color w:val="auto"/>
              </w:rPr>
            </w:pPr>
          </w:p>
        </w:tc>
        <w:tc>
          <w:tcPr>
            <w:tcW w:w="14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4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660" w:type="dxa"/>
            <w:vAlign w:val="bottom"/>
            <w:tcBorders>
              <w:bottom w:val="single" w:sz="8" w:color="CCEEFF"/>
            </w:tcBorders>
          </w:tcPr>
          <w:p>
            <w:pPr>
              <w:spacing w:after="0"/>
              <w:rPr>
                <w:sz w:val="9"/>
                <w:szCs w:val="9"/>
                <w:color w:val="auto"/>
              </w:rPr>
            </w:pPr>
          </w:p>
        </w:tc>
        <w:tc>
          <w:tcPr>
            <w:tcW w:w="1840" w:type="dxa"/>
            <w:vAlign w:val="bottom"/>
            <w:tcBorders>
              <w:bottom w:val="single" w:sz="8" w:color="CCEEFF"/>
            </w:tcBorders>
          </w:tcPr>
          <w:p>
            <w:pPr>
              <w:spacing w:after="0"/>
              <w:rPr>
                <w:sz w:val="9"/>
                <w:szCs w:val="9"/>
                <w:color w:val="auto"/>
              </w:rPr>
            </w:pPr>
          </w:p>
        </w:tc>
        <w:tc>
          <w:tcPr>
            <w:tcW w:w="6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8,759</w:t>
            </w:r>
          </w:p>
        </w:tc>
        <w:tc>
          <w:tcPr>
            <w:tcW w:w="620" w:type="dxa"/>
            <w:vAlign w:val="bottom"/>
            <w:shd w:val="clear" w:color="auto" w:fill="CCEEFF"/>
          </w:tcPr>
          <w:p>
            <w:pPr>
              <w:jc w:val="right"/>
              <w:ind w:right="384"/>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(23,440)</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4, 2021 in accordance with the termination date, the Company settled a cross-currency swap designated as a cash flow hedge of an intercompany loan with an aggregate notional amount of $50.0 million.</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cross-currency swaps are carried on the consolidated balance sheet at fair value, and changes in the fair values are recorded as unrealized gains or losses in AOCL. For the three and nine months ended September 30, 2021, the Company recorded gains of $4.3 million and $34.3 million, respectively, in other income, net related to change in fair value related to the foreign currency rate translation to offset the losses recognized on the intercompany loans. For the three and nine months ended September 30, 2020, the Company recorded losses of $6.9 million and $12.0 million, respectively, in other income, net related to change in fair value related to the foreign currency rate translation to offset the gains recognized on the intercompany loans.</w:t>
      </w:r>
    </w:p>
    <w:p>
      <w:pPr>
        <w:spacing w:after="0" w:line="5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and nine months ended September 30, 2021, the Company recorded gains of $7.0 million and $36.3 million in AOCL, respectively, related to change in fair value of the cross-currency swaps. For the three and nine months ended September 30, 2020, the Company recorded a loss of $6.3 million and a gain of $2.7 million in AOCL, respectively, related to change in fair value of the cross-currency swaps.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2021, the Company recorded gains of $1.5 million and $4.1 million, respectively, in other income, net included in the consolidated statements of operations related to the interest rate differential of the cross-currency swaps. For the three and nine months ended September 30, 2020, the Company recorded gains of $1.5 million and $4.5 million, respectively, in other income, net included in the consolidated statements of operations related to the interest rate differential of the cross-currency swaps.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gain that is expected to be reclassified to other income (expense), net from AOCL as of September 30, 2021 within the next twelve months is $6.9 million. As of September 30, 2021, the Company does not expect any gains or losses will be reclassified into earnings as a result of the discontinuance of these cash flow hedges because the original forecasted transaction will not occur.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 On October 1, 2018 and December 16, 2020, the Company entered into cross-currency swap agreements designated as net investment hedges to partially offset the effects of foreign currency on foreign subsidiaries.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held the following cross-currency rate swaps designated as net investment hedges as of September 30, 2021 and December 31, 2020, respectively (dollar amounts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2021</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Effective Date</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00" w:type="dxa"/>
            <w:vAlign w:val="bottom"/>
          </w:tcPr>
          <w:p>
            <w:pPr>
              <w:spacing w:after="0"/>
              <w:rPr>
                <w:sz w:val="11"/>
                <w:szCs w:val="11"/>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Fixed Rate</w:t>
            </w:r>
          </w:p>
        </w:tc>
        <w:tc>
          <w:tcPr>
            <w:tcW w:w="16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Aggregate Notional</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60" w:type="dxa"/>
            <w:vAlign w:val="bottom"/>
            <w:gridSpan w:val="3"/>
          </w:tcPr>
          <w:p>
            <w:pPr>
              <w:jc w:val="right"/>
              <w:spacing w:after="0" w:line="135" w:lineRule="exact"/>
              <w:rPr>
                <w:sz w:val="20"/>
                <w:szCs w:val="20"/>
                <w:color w:val="auto"/>
              </w:rPr>
            </w:pPr>
            <w:r>
              <w:rPr>
                <w:rFonts w:ascii="Arial" w:cs="Arial" w:eastAsia="Arial" w:hAnsi="Arial"/>
                <w:sz w:val="14"/>
                <w:szCs w:val="14"/>
                <w:b w:val="1"/>
                <w:bCs w:val="1"/>
                <w:color w:val="auto"/>
              </w:rPr>
              <w:t>Fair Value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9"/>
                <w:szCs w:val="9"/>
                <w:color w:val="auto"/>
              </w:rPr>
            </w:pPr>
          </w:p>
        </w:tc>
        <w:tc>
          <w:tcPr>
            <w:tcW w:w="3440" w:type="dxa"/>
            <w:vAlign w:val="bottom"/>
            <w:gridSpan w:val="4"/>
            <w:vMerge w:val="restart"/>
          </w:tcPr>
          <w:p>
            <w:pPr>
              <w:jc w:val="right"/>
              <w:ind w:right="1241"/>
              <w:spacing w:after="0"/>
              <w:rPr>
                <w:sz w:val="20"/>
                <w:szCs w:val="20"/>
                <w:color w:val="auto"/>
              </w:rPr>
            </w:pPr>
            <w:r>
              <w:rPr>
                <w:rFonts w:ascii="Arial" w:cs="Arial" w:eastAsia="Arial" w:hAnsi="Arial"/>
                <w:sz w:val="14"/>
                <w:szCs w:val="14"/>
                <w:b w:val="1"/>
                <w:bCs w:val="1"/>
                <w:color w:val="auto"/>
              </w:rPr>
              <w:t>Asset (Liability)</w:t>
            </w:r>
          </w:p>
        </w:tc>
        <w:tc>
          <w:tcPr>
            <w:tcW w:w="0" w:type="dxa"/>
            <w:vAlign w:val="bottom"/>
          </w:tcPr>
          <w:p>
            <w:pPr>
              <w:spacing w:after="0"/>
              <w:rPr>
                <w:sz w:val="1"/>
                <w:szCs w:val="1"/>
                <w:color w:val="auto"/>
              </w:rPr>
            </w:pPr>
          </w:p>
        </w:tc>
      </w:tr>
      <w:tr>
        <w:trPr>
          <w:trHeight w:val="78"/>
        </w:trPr>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34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1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5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4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EUR</w:t>
            </w:r>
          </w:p>
        </w:tc>
        <w:tc>
          <w:tcPr>
            <w:tcW w:w="80" w:type="dxa"/>
            <w:vAlign w:val="bottom"/>
            <w:shd w:val="clear" w:color="auto" w:fill="CCEEFF"/>
          </w:tcPr>
          <w:p>
            <w:pPr>
              <w:spacing w:after="0"/>
              <w:rPr>
                <w:sz w:val="18"/>
                <w:szCs w:val="18"/>
                <w:color w:val="auto"/>
              </w:rPr>
            </w:pPr>
          </w:p>
        </w:tc>
        <w:tc>
          <w:tcPr>
            <w:tcW w:w="14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90"/>
              </w:rPr>
              <w:t>October 3, 2018</w:t>
            </w: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September 30, 2021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w:t>
            </w:r>
          </w:p>
        </w:tc>
        <w:tc>
          <w:tcPr>
            <w:tcW w:w="8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EUR</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44,859</w:t>
            </w:r>
          </w:p>
        </w:tc>
        <w:tc>
          <w:tcPr>
            <w:tcW w:w="8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(1,884)</w:t>
            </w:r>
          </w:p>
        </w:tc>
        <w:tc>
          <w:tcPr>
            <w:tcW w:w="0" w:type="dxa"/>
            <w:vAlign w:val="bottom"/>
          </w:tcPr>
          <w:p>
            <w:pPr>
              <w:spacing w:after="0"/>
              <w:rPr>
                <w:sz w:val="1"/>
                <w:szCs w:val="1"/>
                <w:color w:val="auto"/>
              </w:rPr>
            </w:pPr>
          </w:p>
        </w:tc>
      </w:tr>
      <w:tr>
        <w:trPr>
          <w:trHeight w:val="108"/>
        </w:trPr>
        <w:tc>
          <w:tcPr>
            <w:tcW w:w="17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80" w:type="dxa"/>
            <w:vAlign w:val="bottom"/>
            <w:shd w:val="clear" w:color="auto" w:fill="CCEEFF"/>
          </w:tcPr>
          <w:p>
            <w:pPr>
              <w:spacing w:after="0"/>
              <w:rPr>
                <w:sz w:val="9"/>
                <w:szCs w:val="9"/>
                <w:color w:val="auto"/>
              </w:rPr>
            </w:pPr>
          </w:p>
        </w:tc>
        <w:tc>
          <w:tcPr>
            <w:tcW w:w="144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8"/>
              </w:rPr>
              <w:t>3.01%</w:t>
            </w:r>
          </w:p>
        </w:tc>
        <w:tc>
          <w:tcPr>
            <w:tcW w:w="10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52,000</w:t>
            </w:r>
          </w:p>
        </w:tc>
        <w:tc>
          <w:tcPr>
            <w:tcW w:w="80" w:type="dxa"/>
            <w:vAlign w:val="bottom"/>
            <w:shd w:val="clear" w:color="auto" w:fill="CCEEFF"/>
          </w:tcPr>
          <w:p>
            <w:pPr>
              <w:spacing w:after="0"/>
              <w:rPr>
                <w:sz w:val="9"/>
                <w:szCs w:val="9"/>
                <w:color w:val="auto"/>
              </w:rPr>
            </w:pPr>
          </w:p>
        </w:tc>
        <w:tc>
          <w:tcPr>
            <w:tcW w:w="200" w:type="dxa"/>
            <w:vAlign w:val="bottom"/>
            <w:vMerge w:val="continue"/>
            <w:shd w:val="clear" w:color="auto" w:fill="CCEEFF"/>
          </w:tcPr>
          <w:p>
            <w:pPr>
              <w:spacing w:after="0"/>
              <w:rPr>
                <w:sz w:val="9"/>
                <w:szCs w:val="9"/>
                <w:color w:val="auto"/>
              </w:rPr>
            </w:pPr>
          </w:p>
        </w:tc>
        <w:tc>
          <w:tcPr>
            <w:tcW w:w="1680" w:type="dxa"/>
            <w:vAlign w:val="bottom"/>
            <w:gridSpan w:val="2"/>
            <w:vMerge w:val="continue"/>
            <w:shd w:val="clear" w:color="auto" w:fill="CCEEFF"/>
          </w:tcPr>
          <w:p>
            <w:pPr>
              <w:spacing w:after="0"/>
              <w:rPr>
                <w:sz w:val="9"/>
                <w:szCs w:val="9"/>
                <w:color w:val="auto"/>
              </w:rPr>
            </w:pPr>
          </w:p>
        </w:tc>
        <w:tc>
          <w:tcPr>
            <w:tcW w:w="280" w:type="dxa"/>
            <w:vAlign w:val="bottom"/>
            <w:vMerge w:val="continue"/>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80" w:type="dxa"/>
            <w:vAlign w:val="bottom"/>
            <w:gridSpan w:val="2"/>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EUR</w:t>
            </w:r>
          </w:p>
        </w:tc>
        <w:tc>
          <w:tcPr>
            <w:tcW w:w="80" w:type="dxa"/>
            <w:vAlign w:val="bottom"/>
            <w:shd w:val="clear" w:color="auto" w:fill="CCEEFF"/>
          </w:tcPr>
          <w:p>
            <w:pPr>
              <w:spacing w:after="0"/>
              <w:rPr>
                <w:sz w:val="18"/>
                <w:szCs w:val="18"/>
                <w:color w:val="auto"/>
              </w:rPr>
            </w:pPr>
          </w:p>
        </w:tc>
        <w:tc>
          <w:tcPr>
            <w:tcW w:w="14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90"/>
              </w:rPr>
              <w:t>October 3, 2018</w:t>
            </w: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September 30, 2023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w:t>
            </w:r>
          </w:p>
        </w:tc>
        <w:tc>
          <w:tcPr>
            <w:tcW w:w="8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EUR</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2,050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108"/>
        </w:trPr>
        <w:tc>
          <w:tcPr>
            <w:tcW w:w="17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80" w:type="dxa"/>
            <w:vAlign w:val="bottom"/>
            <w:shd w:val="clear" w:color="auto" w:fill="CCEEFF"/>
          </w:tcPr>
          <w:p>
            <w:pPr>
              <w:spacing w:after="0"/>
              <w:rPr>
                <w:sz w:val="9"/>
                <w:szCs w:val="9"/>
                <w:color w:val="auto"/>
              </w:rPr>
            </w:pPr>
          </w:p>
        </w:tc>
        <w:tc>
          <w:tcPr>
            <w:tcW w:w="144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8"/>
              </w:rPr>
              <w:t>2.57%</w:t>
            </w:r>
          </w:p>
        </w:tc>
        <w:tc>
          <w:tcPr>
            <w:tcW w:w="10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80" w:type="dxa"/>
            <w:vAlign w:val="bottom"/>
            <w:gridSpan w:val="2"/>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EUR</w:t>
            </w:r>
          </w:p>
        </w:tc>
        <w:tc>
          <w:tcPr>
            <w:tcW w:w="80" w:type="dxa"/>
            <w:vAlign w:val="bottom"/>
            <w:shd w:val="clear" w:color="auto" w:fill="CCEEFF"/>
          </w:tcPr>
          <w:p>
            <w:pPr>
              <w:spacing w:after="0"/>
              <w:rPr>
                <w:sz w:val="18"/>
                <w:szCs w:val="18"/>
                <w:color w:val="auto"/>
              </w:rPr>
            </w:pPr>
          </w:p>
        </w:tc>
        <w:tc>
          <w:tcPr>
            <w:tcW w:w="14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90"/>
              </w:rPr>
              <w:t>October 3, 2018</w:t>
            </w: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September 30, 2025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w:t>
            </w:r>
          </w:p>
        </w:tc>
        <w:tc>
          <w:tcPr>
            <w:tcW w:w="8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EUR</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1,723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08"/>
        </w:trPr>
        <w:tc>
          <w:tcPr>
            <w:tcW w:w="17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80" w:type="dxa"/>
            <w:vAlign w:val="bottom"/>
            <w:shd w:val="clear" w:color="auto" w:fill="CCEEFF"/>
          </w:tcPr>
          <w:p>
            <w:pPr>
              <w:spacing w:after="0"/>
              <w:rPr>
                <w:sz w:val="9"/>
                <w:szCs w:val="9"/>
                <w:color w:val="auto"/>
              </w:rPr>
            </w:pPr>
          </w:p>
        </w:tc>
        <w:tc>
          <w:tcPr>
            <w:tcW w:w="144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8"/>
              </w:rPr>
              <w:t>2.19%</w:t>
            </w:r>
          </w:p>
        </w:tc>
        <w:tc>
          <w:tcPr>
            <w:tcW w:w="10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45,000</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80" w:type="dxa"/>
            <w:vAlign w:val="bottom"/>
            <w:gridSpan w:val="2"/>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CHF</w:t>
            </w:r>
          </w:p>
        </w:tc>
        <w:tc>
          <w:tcPr>
            <w:tcW w:w="80" w:type="dxa"/>
            <w:vAlign w:val="bottom"/>
            <w:shd w:val="clear" w:color="auto" w:fill="CCEEFF"/>
          </w:tcPr>
          <w:p>
            <w:pPr>
              <w:spacing w:after="0"/>
              <w:rPr>
                <w:sz w:val="18"/>
                <w:szCs w:val="18"/>
                <w:color w:val="auto"/>
              </w:rPr>
            </w:pPr>
          </w:p>
        </w:tc>
        <w:tc>
          <w:tcPr>
            <w:tcW w:w="14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91"/>
              </w:rPr>
              <w:t>December 16, 2020</w:t>
            </w: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December 16, 2027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w:t>
            </w:r>
          </w:p>
        </w:tc>
        <w:tc>
          <w:tcPr>
            <w:tcW w:w="8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CHF</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80" w:type="dxa"/>
            <w:vAlign w:val="bottom"/>
            <w:shd w:val="clear" w:color="auto" w:fill="CCEEFF"/>
          </w:tcPr>
          <w:p>
            <w:pPr>
              <w:spacing w:after="0"/>
              <w:rPr>
                <w:sz w:val="9"/>
                <w:szCs w:val="9"/>
                <w:color w:val="auto"/>
              </w:rPr>
            </w:pPr>
          </w:p>
        </w:tc>
        <w:tc>
          <w:tcPr>
            <w:tcW w:w="144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8"/>
              </w:rPr>
              <w:t>1.10%</w:t>
            </w:r>
          </w:p>
        </w:tc>
        <w:tc>
          <w:tcPr>
            <w:tcW w:w="10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5,461</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(3,794)</w:t>
            </w:r>
          </w:p>
        </w:tc>
        <w:tc>
          <w:tcPr>
            <w:tcW w:w="0" w:type="dxa"/>
            <w:vAlign w:val="bottom"/>
          </w:tcPr>
          <w:p>
            <w:pPr>
              <w:spacing w:after="0"/>
              <w:rPr>
                <w:sz w:val="1"/>
                <w:szCs w:val="1"/>
                <w:color w:val="auto"/>
              </w:rPr>
            </w:pPr>
          </w:p>
        </w:tc>
      </w:tr>
      <w:tr>
        <w:trPr>
          <w:trHeight w:val="114"/>
        </w:trPr>
        <w:tc>
          <w:tcPr>
            <w:tcW w:w="17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80" w:type="dxa"/>
            <w:vAlign w:val="bottom"/>
            <w:tcBorders>
              <w:bottom w:val="single" w:sz="8" w:color="CCEEFF"/>
            </w:tcBorders>
            <w:gridSpan w:val="2"/>
          </w:tcPr>
          <w:p>
            <w:pPr>
              <w:spacing w:after="0"/>
              <w:rPr>
                <w:sz w:val="9"/>
                <w:szCs w:val="9"/>
                <w:color w:val="auto"/>
              </w:rPr>
            </w:pPr>
          </w:p>
        </w:tc>
        <w:tc>
          <w:tcPr>
            <w:tcW w:w="13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5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60" w:type="dxa"/>
            <w:vAlign w:val="bottom"/>
            <w:tcBorders>
              <w:bottom w:val="single" w:sz="8" w:color="CCEEFF"/>
            </w:tcBorders>
          </w:tcPr>
          <w:p>
            <w:pPr>
              <w:spacing w:after="0"/>
              <w:rPr>
                <w:sz w:val="9"/>
                <w:szCs w:val="9"/>
                <w:color w:val="auto"/>
              </w:rPr>
            </w:pPr>
          </w:p>
        </w:tc>
        <w:tc>
          <w:tcPr>
            <w:tcW w:w="8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9,234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(6,036)</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2021, the Company settled cross-currency swaps designated as net investment hedge with an aggregate notional amount of $52 million equivalent to 44.9 million Euros based on the termination date. As a result of the settlement, the Company recorded a gain of $0.1 million in AOCL.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cross-currency swaps were carried on the consolidated balance sheet at fair value and changes in the fair values were recorded as unrealized gains or losses in AOCL. For the three and nine months ended September 30, 2021, the Company recorded gains of $6.9 million and $20.5 million, respectively, in AOCL related to the change in fair value of the cross-currency swaps. For the three and nine months ended September 30, 2020, the Company recorded a loss of $11.3 million and a gain of $5.1 million, respectively, in AOCL related to the change in fair value of the cross-currency swaps.</w:t>
      </w:r>
    </w:p>
    <w:p>
      <w:pPr>
        <w:spacing w:after="0" w:line="4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For the three and nine months ended September 30, 2021, the Company recorded gains of $1.7 million and $5.2 million in interest income included in the consolidated statements of operations related to the interest rate differential of the cross-currency swaps. For the three and nine months ended September 30, 2020, the Company recorded gains of $2.2 million and $6.6 million in interest income included in the consolidated statements of operations related to the interest rate differential of the cross-currency swaps.</w:t>
      </w:r>
    </w:p>
    <w:p>
      <w:pPr>
        <w:spacing w:after="0" w:line="7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estimated gain that is expected to be reclassified to interest income from AOCL as of September 30, 2021 within the next twelve months is $5.3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for derivatives designated as hedging instruments in the condensed consolidated balance sheets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December 31, 2020:</w:t>
      </w:r>
    </w:p>
    <w:p>
      <w:pPr>
        <w:spacing w:after="0" w:line="202"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Fair Value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23495</wp:posOffset>
            </wp:positionV>
            <wp:extent cx="22371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2" w:lineRule="exact"/>
        <w:rPr>
          <w:sz w:val="20"/>
          <w:szCs w:val="20"/>
          <w:color w:val="auto"/>
        </w:rPr>
      </w:pPr>
    </w:p>
    <w:p>
      <w:pPr>
        <w:ind w:left="20"/>
        <w:spacing w:after="0"/>
        <w:tabs>
          <w:tab w:leader="none" w:pos="7940" w:val="left"/>
          <w:tab w:leader="none" w:pos="9780" w:val="left"/>
        </w:tabs>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9"/>
          <w:szCs w:val="9"/>
          <w:b w:val="1"/>
          <w:bCs w:val="1"/>
          <w:color w:val="auto"/>
        </w:rPr>
        <w:t>(1)</w:t>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September 30, 2021</w:t>
      </w:r>
      <w:r>
        <w:rPr>
          <w:sz w:val="20"/>
          <w:szCs w:val="20"/>
          <w:color w:val="auto"/>
        </w:rPr>
        <w:tab/>
      </w:r>
      <w:r>
        <w:rPr>
          <w:rFonts w:ascii="Arial" w:cs="Arial" w:eastAsia="Arial" w:hAnsi="Arial"/>
          <w:sz w:val="12"/>
          <w:szCs w:val="12"/>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Dollars in thousands</w:t>
      </w:r>
    </w:p>
    <w:p>
      <w:pPr>
        <w:sectPr>
          <w:pgSz w:w="11900" w:h="16838" w:orient="portrait"/>
          <w:cols w:equalWidth="0" w:num="1">
            <w:col w:w="11240"/>
          </w:cols>
          <w:pgMar w:left="320" w:top="121" w:right="339" w:bottom="1440" w:gutter="0" w:footer="0" w:header="0"/>
        </w:sectPr>
      </w:pPr>
    </w:p>
    <w:p>
      <w:pPr>
        <w:spacing w:after="0" w:line="3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Derivatives designated as hedges — Assets:</w:t>
      </w:r>
    </w:p>
    <w:p>
      <w:pPr>
        <w:spacing w:after="0" w:line="4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Prepaid expenses and other current 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u w:val="single" w:color="auto"/>
          <w:color w:val="auto"/>
        </w:rPr>
        <w:t>Cash Flow Hedges</w:t>
      </w:r>
    </w:p>
    <w:p>
      <w:pPr>
        <w:spacing w:after="0" w:line="32" w:lineRule="exact"/>
        <w:rPr>
          <w:sz w:val="20"/>
          <w:szCs w:val="20"/>
          <w:color w:val="auto"/>
        </w:rPr>
      </w:pPr>
    </w:p>
    <w:p>
      <w:pPr>
        <w:jc w:val="center"/>
        <w:ind w:right="4940"/>
        <w:spacing w:after="0"/>
        <w:rPr>
          <w:sz w:val="20"/>
          <w:szCs w:val="20"/>
          <w:color w:val="auto"/>
        </w:rPr>
      </w:pPr>
      <w:r>
        <w:rPr>
          <w:rFonts w:ascii="Arial" w:cs="Arial" w:eastAsia="Arial" w:hAnsi="Arial"/>
          <w:sz w:val="16"/>
          <w:szCs w:val="16"/>
          <w:color w:val="auto"/>
        </w:rPr>
        <w:t>Cross-currency swap</w:t>
      </w:r>
    </w:p>
    <w:p>
      <w:pPr>
        <w:spacing w:after="0" w:line="32" w:lineRule="exact"/>
        <w:rPr>
          <w:sz w:val="20"/>
          <w:szCs w:val="20"/>
          <w:color w:val="auto"/>
        </w:rPr>
      </w:pPr>
    </w:p>
    <w:p>
      <w:pPr>
        <w:jc w:val="center"/>
        <w:ind w:right="5020"/>
        <w:spacing w:after="0"/>
        <w:rPr>
          <w:sz w:val="20"/>
          <w:szCs w:val="20"/>
          <w:color w:val="auto"/>
        </w:rPr>
      </w:pPr>
      <w:r>
        <w:rPr>
          <w:rFonts w:ascii="Arial" w:cs="Arial" w:eastAsia="Arial" w:hAnsi="Arial"/>
          <w:sz w:val="16"/>
          <w:szCs w:val="16"/>
          <w:u w:val="single" w:color="auto"/>
          <w:color w:val="auto"/>
        </w:rPr>
        <w:t>Net Investment Hedges</w:t>
      </w:r>
    </w:p>
    <w:p>
      <w:pPr>
        <w:spacing w:after="0" w:line="32" w:lineRule="exact"/>
        <w:rPr>
          <w:sz w:val="20"/>
          <w:szCs w:val="20"/>
          <w:color w:val="auto"/>
        </w:rPr>
      </w:pPr>
    </w:p>
    <w:p>
      <w:pPr>
        <w:jc w:val="center"/>
        <w:ind w:right="4940"/>
        <w:spacing w:after="0"/>
        <w:rPr>
          <w:sz w:val="20"/>
          <w:szCs w:val="20"/>
          <w:color w:val="auto"/>
        </w:rPr>
      </w:pPr>
      <w:r>
        <w:rPr>
          <w:rFonts w:ascii="Arial" w:cs="Arial" w:eastAsia="Arial" w:hAnsi="Arial"/>
          <w:sz w:val="16"/>
          <w:szCs w:val="16"/>
          <w:color w:val="auto"/>
        </w:rPr>
        <w:t>Cross-currency swap</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u w:val="single" w:color="auto"/>
          <w:color w:val="auto"/>
        </w:rPr>
        <w:t>Cash Flow Hedges</w:t>
      </w:r>
    </w:p>
    <w:p>
      <w:pPr>
        <w:spacing w:after="0" w:line="21" w:lineRule="exact"/>
        <w:rPr>
          <w:sz w:val="20"/>
          <w:szCs w:val="20"/>
          <w:color w:val="auto"/>
        </w:rPr>
      </w:pPr>
    </w:p>
    <w:p>
      <w:pPr>
        <w:jc w:val="center"/>
        <w:ind w:right="5040"/>
        <w:spacing w:after="0"/>
        <w:rPr>
          <w:sz w:val="20"/>
          <w:szCs w:val="20"/>
          <w:color w:val="auto"/>
        </w:rPr>
      </w:pPr>
      <w:r>
        <w:rPr>
          <w:rFonts w:ascii="Arial" w:cs="Arial" w:eastAsia="Arial" w:hAnsi="Arial"/>
          <w:sz w:val="16"/>
          <w:szCs w:val="16"/>
          <w:color w:val="auto"/>
        </w:rPr>
        <w:t>Interest rate swap</w:t>
      </w:r>
      <w:r>
        <w:rPr>
          <w:rFonts w:ascii="Arial" w:cs="Arial" w:eastAsia="Arial" w:hAnsi="Arial"/>
          <w:sz w:val="21"/>
          <w:szCs w:val="21"/>
          <w:color w:val="auto"/>
          <w:vertAlign w:val="superscript"/>
        </w:rPr>
        <w:t>(2)</w:t>
      </w:r>
    </w:p>
    <w:p>
      <w:pPr>
        <w:jc w:val="center"/>
        <w:ind w:right="4940"/>
        <w:spacing w:after="0"/>
        <w:rPr>
          <w:sz w:val="20"/>
          <w:szCs w:val="20"/>
          <w:color w:val="auto"/>
        </w:rPr>
      </w:pPr>
      <w:r>
        <w:rPr>
          <w:rFonts w:ascii="Arial" w:cs="Arial" w:eastAsia="Arial" w:hAnsi="Arial"/>
          <w:sz w:val="16"/>
          <w:szCs w:val="16"/>
          <w:color w:val="auto"/>
        </w:rPr>
        <w:t>Cross-currency swap</w:t>
      </w:r>
    </w:p>
    <w:p>
      <w:pPr>
        <w:spacing w:after="0" w:line="18" w:lineRule="exact"/>
        <w:rPr>
          <w:sz w:val="20"/>
          <w:szCs w:val="20"/>
          <w:color w:val="auto"/>
        </w:rPr>
      </w:pPr>
    </w:p>
    <w:p>
      <w:pPr>
        <w:jc w:val="center"/>
        <w:ind w:right="5020"/>
        <w:spacing w:after="0"/>
        <w:rPr>
          <w:sz w:val="20"/>
          <w:szCs w:val="20"/>
          <w:color w:val="auto"/>
        </w:rPr>
      </w:pPr>
      <w:r>
        <w:rPr>
          <w:rFonts w:ascii="Arial" w:cs="Arial" w:eastAsia="Arial" w:hAnsi="Arial"/>
          <w:sz w:val="16"/>
          <w:szCs w:val="16"/>
          <w:u w:val="single" w:color="auto"/>
          <w:color w:val="auto"/>
        </w:rPr>
        <w:t>Net Investment Hedges</w:t>
      </w:r>
    </w:p>
    <w:p>
      <w:pPr>
        <w:spacing w:after="0" w:line="32" w:lineRule="exact"/>
        <w:rPr>
          <w:sz w:val="20"/>
          <w:szCs w:val="20"/>
          <w:color w:val="auto"/>
        </w:rPr>
      </w:pPr>
    </w:p>
    <w:p>
      <w:pPr>
        <w:jc w:val="center"/>
        <w:ind w:right="4940"/>
        <w:spacing w:after="0"/>
        <w:rPr>
          <w:sz w:val="20"/>
          <w:szCs w:val="20"/>
          <w:color w:val="auto"/>
        </w:rPr>
      </w:pPr>
      <w:r>
        <w:rPr>
          <w:rFonts w:ascii="Arial" w:cs="Arial" w:eastAsia="Arial" w:hAnsi="Arial"/>
          <w:sz w:val="16"/>
          <w:szCs w:val="16"/>
          <w:color w:val="auto"/>
        </w:rPr>
        <w:t>Cross-currency swap</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derivatives designated as hedges — Assets</w:t>
      </w:r>
    </w:p>
    <w:p>
      <w:pPr>
        <w:spacing w:after="0" w:line="3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Derivatives designated as hedges — Liabilities: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Accrued expenses and other current liabilities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6"/>
          <w:szCs w:val="16"/>
          <w:u w:val="single" w:color="auto"/>
          <w:color w:val="auto"/>
        </w:rPr>
        <w:t>Cash Flow Hedges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8,587</w:t>
            </w:r>
          </w:p>
        </w:tc>
        <w:tc>
          <w:tcPr>
            <w:tcW w:w="7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7,623</w:t>
            </w:r>
          </w:p>
        </w:tc>
      </w:tr>
      <w:tr>
        <w:trPr>
          <w:trHeight w:val="432"/>
        </w:trPr>
        <w:tc>
          <w:tcPr>
            <w:tcW w:w="6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5,345</w:t>
            </w:r>
          </w:p>
        </w:tc>
        <w:tc>
          <w:tcPr>
            <w:tcW w:w="7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5,297</w:t>
            </w:r>
          </w:p>
        </w:tc>
      </w:tr>
      <w:tr>
        <w:trPr>
          <w:trHeight w:val="648"/>
        </w:trPr>
        <w:tc>
          <w:tcPr>
            <w:tcW w:w="6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6,798</w:t>
            </w:r>
          </w:p>
        </w:tc>
        <w:tc>
          <w:tcPr>
            <w:tcW w:w="7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8,578</w:t>
            </w:r>
          </w:p>
        </w:tc>
        <w:tc>
          <w:tcPr>
            <w:tcW w:w="7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35"/>
        </w:trPr>
        <w:tc>
          <w:tcPr>
            <w:tcW w:w="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3,889</w:t>
            </w:r>
          </w:p>
        </w:tc>
        <w:tc>
          <w:tcPr>
            <w:tcW w:w="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33,197</w:t>
            </w:r>
          </w:p>
        </w:tc>
        <w:tc>
          <w:tcPr>
            <w:tcW w:w="7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12,920</w:t>
            </w:r>
          </w:p>
        </w:tc>
      </w:tr>
      <w:tr>
        <w:trPr>
          <w:trHeight w:val="23"/>
        </w:trPr>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-4896485</wp:posOffset>
            </wp:positionH>
            <wp:positionV relativeFrom="paragraph">
              <wp:posOffset>-1824990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-1550670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-1276350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-1002030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-728345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-453390</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-179070</wp:posOffset>
            </wp:positionV>
            <wp:extent cx="713232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146050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420370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52" w:lineRule="exact"/>
        <w:rPr>
          <w:sz w:val="20"/>
          <w:szCs w:val="20"/>
          <w:color w:val="auto"/>
        </w:rPr>
      </w:pPr>
    </w:p>
    <w:p>
      <w:pPr>
        <w:sectPr>
          <w:pgSz w:w="11900" w:h="16838" w:orient="portrait"/>
          <w:cols w:equalWidth="0" w:num="2">
            <w:col w:w="7000" w:space="720"/>
            <w:col w:w="35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220" w:type="dxa"/>
            <w:vAlign w:val="bottom"/>
          </w:tcPr>
          <w:p>
            <w:pPr>
              <w:spacing w:after="0"/>
              <w:rPr>
                <w:sz w:val="21"/>
                <w:szCs w:val="21"/>
                <w:color w:val="auto"/>
              </w:rPr>
            </w:pPr>
          </w:p>
        </w:tc>
        <w:tc>
          <w:tcPr>
            <w:tcW w:w="7500" w:type="dxa"/>
            <w:vAlign w:val="bottom"/>
            <w:gridSpan w:val="3"/>
          </w:tcPr>
          <w:p>
            <w:pPr>
              <w:ind w:left="140"/>
              <w:spacing w:after="0"/>
              <w:rPr>
                <w:sz w:val="20"/>
                <w:szCs w:val="20"/>
                <w:color w:val="auto"/>
              </w:rPr>
            </w:pPr>
            <w:r>
              <w:rPr>
                <w:rFonts w:ascii="Arial" w:cs="Arial" w:eastAsia="Arial" w:hAnsi="Arial"/>
                <w:sz w:val="16"/>
                <w:szCs w:val="16"/>
                <w:color w:val="auto"/>
              </w:rPr>
              <w:t>Interest rate swap</w:t>
            </w:r>
            <w:r>
              <w:rPr>
                <w:rFonts w:ascii="Arial" w:cs="Arial" w:eastAsia="Arial" w:hAnsi="Arial"/>
                <w:sz w:val="21"/>
                <w:szCs w:val="21"/>
                <w:color w:val="auto"/>
                <w:vertAlign w:val="superscript"/>
              </w:rPr>
              <w:t>(2)</w:t>
            </w: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21,095</w:t>
            </w:r>
          </w:p>
        </w:tc>
        <w:tc>
          <w:tcPr>
            <w:tcW w:w="7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22,033</w:t>
            </w:r>
          </w:p>
        </w:tc>
      </w:tr>
      <w:tr>
        <w:trPr>
          <w:trHeight w:val="216"/>
        </w:trPr>
        <w:tc>
          <w:tcPr>
            <w:tcW w:w="22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Cross-currency swap</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4,335</w:t>
            </w:r>
          </w:p>
        </w:tc>
      </w:tr>
      <w:tr>
        <w:trPr>
          <w:trHeight w:val="175"/>
        </w:trPr>
        <w:tc>
          <w:tcPr>
            <w:tcW w:w="7720" w:type="dxa"/>
            <w:vAlign w:val="bottom"/>
            <w:gridSpan w:val="4"/>
          </w:tcPr>
          <w:p>
            <w:pPr>
              <w:ind w:left="220"/>
              <w:spacing w:after="0" w:line="175" w:lineRule="exact"/>
              <w:rPr>
                <w:sz w:val="20"/>
                <w:szCs w:val="20"/>
                <w:color w:val="auto"/>
              </w:rPr>
            </w:pPr>
            <w:r>
              <w:rPr>
                <w:rFonts w:ascii="Arial" w:cs="Arial" w:eastAsia="Arial" w:hAnsi="Arial"/>
                <w:sz w:val="16"/>
                <w:szCs w:val="16"/>
                <w:color w:val="auto"/>
              </w:rPr>
              <w:t>Net Investment Hedges</w:t>
            </w: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2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Cross-currency swap</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w:t>
            </w:r>
          </w:p>
        </w:tc>
      </w:tr>
      <w:tr>
        <w:trPr>
          <w:trHeight w:val="213"/>
        </w:trPr>
        <w:tc>
          <w:tcPr>
            <w:tcW w:w="7720" w:type="dxa"/>
            <w:vAlign w:val="bottom"/>
            <w:gridSpan w:val="4"/>
          </w:tcPr>
          <w:p>
            <w:pPr>
              <w:ind w:left="140"/>
              <w:spacing w:after="0"/>
              <w:rPr>
                <w:sz w:val="20"/>
                <w:szCs w:val="20"/>
                <w:color w:val="auto"/>
              </w:rPr>
            </w:pPr>
            <w:r>
              <w:rPr>
                <w:rFonts w:ascii="Arial" w:cs="Arial" w:eastAsia="Arial" w:hAnsi="Arial"/>
                <w:sz w:val="16"/>
                <w:szCs w:val="16"/>
                <w:color w:val="auto"/>
              </w:rPr>
              <w:t>Other liabilities</w:t>
            </w: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9"/>
        </w:trPr>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w w:val="90"/>
              </w:rPr>
              <w:t>Cash Flow Hedges</w:t>
            </w:r>
          </w:p>
        </w:tc>
        <w:tc>
          <w:tcPr>
            <w:tcW w:w="626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216"/>
        </w:trPr>
        <w:tc>
          <w:tcPr>
            <w:tcW w:w="220" w:type="dxa"/>
            <w:vAlign w:val="bottom"/>
          </w:tcPr>
          <w:p>
            <w:pPr>
              <w:spacing w:after="0"/>
              <w:rPr>
                <w:sz w:val="18"/>
                <w:szCs w:val="18"/>
                <w:color w:val="auto"/>
              </w:rPr>
            </w:pPr>
          </w:p>
        </w:tc>
        <w:tc>
          <w:tcPr>
            <w:tcW w:w="7500" w:type="dxa"/>
            <w:vAlign w:val="bottom"/>
            <w:gridSpan w:val="3"/>
          </w:tcPr>
          <w:p>
            <w:pPr>
              <w:ind w:left="140"/>
              <w:spacing w:after="0" w:line="216" w:lineRule="exact"/>
              <w:rPr>
                <w:sz w:val="20"/>
                <w:szCs w:val="20"/>
                <w:color w:val="auto"/>
              </w:rPr>
            </w:pPr>
            <w:r>
              <w:rPr>
                <w:rFonts w:ascii="Arial" w:cs="Arial" w:eastAsia="Arial" w:hAnsi="Arial"/>
                <w:sz w:val="16"/>
                <w:szCs w:val="16"/>
                <w:color w:val="auto"/>
              </w:rPr>
              <w:t>Interest rate swap</w:t>
            </w:r>
            <w:r>
              <w:rPr>
                <w:rFonts w:ascii="Arial" w:cs="Arial" w:eastAsia="Arial" w:hAnsi="Arial"/>
                <w:sz w:val="21"/>
                <w:szCs w:val="21"/>
                <w:color w:val="auto"/>
                <w:vertAlign w:val="superscript"/>
              </w:rPr>
              <w:t>(2)</w:t>
            </w: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40,517</w:t>
            </w: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71,736</w:t>
            </w:r>
          </w:p>
        </w:tc>
      </w:tr>
      <w:tr>
        <w:trPr>
          <w:trHeight w:val="216"/>
        </w:trPr>
        <w:tc>
          <w:tcPr>
            <w:tcW w:w="22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Cross-currency swap</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6,680</w:t>
            </w: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26,728</w:t>
            </w:r>
          </w:p>
        </w:tc>
      </w:tr>
      <w:tr>
        <w:trPr>
          <w:trHeight w:val="176"/>
        </w:trPr>
        <w:tc>
          <w:tcPr>
            <w:tcW w:w="7720" w:type="dxa"/>
            <w:vAlign w:val="bottom"/>
            <w:gridSpan w:val="4"/>
          </w:tcPr>
          <w:p>
            <w:pPr>
              <w:ind w:left="220"/>
              <w:spacing w:after="0" w:line="175" w:lineRule="exact"/>
              <w:rPr>
                <w:sz w:val="20"/>
                <w:szCs w:val="20"/>
                <w:color w:val="auto"/>
              </w:rPr>
            </w:pPr>
            <w:r>
              <w:rPr>
                <w:rFonts w:ascii="Arial" w:cs="Arial" w:eastAsia="Arial" w:hAnsi="Arial"/>
                <w:sz w:val="16"/>
                <w:szCs w:val="16"/>
                <w:color w:val="auto"/>
              </w:rPr>
              <w:t>Net Investment Hedges</w:t>
            </w: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2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Cross-currency swap</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9,449</w:t>
            </w:r>
          </w:p>
        </w:tc>
      </w:tr>
      <w:tr>
        <w:trPr>
          <w:trHeight w:val="207"/>
        </w:trPr>
        <w:tc>
          <w:tcPr>
            <w:tcW w:w="7720" w:type="dxa"/>
            <w:vAlign w:val="bottom"/>
            <w:gridSpan w:val="4"/>
          </w:tcPr>
          <w:p>
            <w:pPr>
              <w:ind w:left="20"/>
              <w:spacing w:after="0"/>
              <w:rPr>
                <w:sz w:val="20"/>
                <w:szCs w:val="20"/>
                <w:color w:val="auto"/>
              </w:rPr>
            </w:pPr>
            <w:r>
              <w:rPr>
                <w:rFonts w:ascii="Arial" w:cs="Arial" w:eastAsia="Arial" w:hAnsi="Arial"/>
                <w:sz w:val="16"/>
                <w:szCs w:val="16"/>
                <w:b w:val="1"/>
                <w:bCs w:val="1"/>
                <w:color w:val="auto"/>
              </w:rPr>
              <w:t>Total derivatives designated as hedges — Liabilities</w:t>
            </w: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70,018</w:t>
            </w:r>
          </w:p>
        </w:tc>
        <w:tc>
          <w:tcPr>
            <w:tcW w:w="7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136,165</w:t>
            </w:r>
          </w:p>
        </w:tc>
      </w:tr>
      <w:tr>
        <w:trPr>
          <w:trHeight w:val="23"/>
        </w:trPr>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9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 Company classifies derivative assets and liabilities as current based on the cash flows expected to be incurred within the following 12 months.</w:t>
      </w:r>
    </w:p>
    <w:p>
      <w:pPr>
        <w:spacing w:after="0" w:line="63" w:lineRule="exact"/>
        <w:rPr>
          <w:rFonts w:ascii="Arial" w:cs="Arial" w:eastAsia="Arial" w:hAnsi="Arial"/>
          <w:sz w:val="18"/>
          <w:szCs w:val="18"/>
          <w:color w:val="auto"/>
          <w:vertAlign w:val="superscript"/>
        </w:rPr>
      </w:pPr>
    </w:p>
    <w:p>
      <w:pPr>
        <w:ind w:left="180" w:hanging="172"/>
        <w:spacing w:after="0"/>
        <w:tabs>
          <w:tab w:leader="none" w:pos="18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At September 30, 2021 and December 31, 2020, the total notional amounts related to the Company’s interest rate swaps were $1.8 billion and $1.9 billion, respectively.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condensed consolidated statement of operations during the three and nine months ended September 30, 2021 and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Balance in AOCL</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Amount of Gain (Loss)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Gain (Loss)</w:t>
            </w:r>
          </w:p>
        </w:tc>
        <w:tc>
          <w:tcPr>
            <w:tcW w:w="160" w:type="dxa"/>
            <w:vAlign w:val="bottom"/>
          </w:tcPr>
          <w:p>
            <w:pPr>
              <w:spacing w:after="0"/>
              <w:rPr>
                <w:sz w:val="5"/>
                <w:szCs w:val="5"/>
                <w:color w:val="auto"/>
              </w:rPr>
            </w:pPr>
          </w:p>
        </w:tc>
        <w:tc>
          <w:tcPr>
            <w:tcW w:w="140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Reclassified from</w:t>
            </w:r>
          </w:p>
        </w:tc>
        <w:tc>
          <w:tcPr>
            <w:tcW w:w="114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w w:val="95"/>
              </w:rPr>
              <w:t>Balance in AOCL</w:t>
            </w:r>
          </w:p>
        </w:tc>
        <w:tc>
          <w:tcPr>
            <w:tcW w:w="100" w:type="dxa"/>
            <w:vAlign w:val="bottom"/>
          </w:tcPr>
          <w:p>
            <w:pPr>
              <w:spacing w:after="0"/>
              <w:rPr>
                <w:sz w:val="5"/>
                <w:szCs w:val="5"/>
                <w:color w:val="auto"/>
              </w:rPr>
            </w:pPr>
          </w:p>
        </w:tc>
        <w:tc>
          <w:tcPr>
            <w:tcW w:w="2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1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Recognized in</w:t>
            </w:r>
          </w:p>
        </w:tc>
        <w:tc>
          <w:tcPr>
            <w:tcW w:w="160" w:type="dxa"/>
            <w:vAlign w:val="bottom"/>
          </w:tcPr>
          <w:p>
            <w:pPr>
              <w:spacing w:after="0"/>
              <w:rPr>
                <w:sz w:val="5"/>
                <w:szCs w:val="5"/>
                <w:color w:val="auto"/>
              </w:rPr>
            </w:pPr>
          </w:p>
        </w:tc>
        <w:tc>
          <w:tcPr>
            <w:tcW w:w="140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AOCL into</w:t>
            </w:r>
          </w:p>
        </w:tc>
        <w:tc>
          <w:tcPr>
            <w:tcW w:w="1140" w:type="dxa"/>
            <w:vAlign w:val="bottom"/>
            <w:gridSpan w:val="2"/>
            <w:vMerge w:val="restart"/>
          </w:tcPr>
          <w:p>
            <w:pPr>
              <w:ind w:left="100"/>
              <w:spacing w:after="0" w:line="135" w:lineRule="exact"/>
              <w:rPr>
                <w:sz w:val="20"/>
                <w:szCs w:val="20"/>
                <w:color w:val="auto"/>
              </w:rPr>
            </w:pPr>
            <w:r>
              <w:rPr>
                <w:rFonts w:ascii="Arial" w:cs="Arial" w:eastAsia="Arial" w:hAnsi="Arial"/>
                <w:sz w:val="14"/>
                <w:szCs w:val="14"/>
                <w:b w:val="1"/>
                <w:bCs w:val="1"/>
                <w:color w:val="auto"/>
              </w:rPr>
              <w:t>End of Quarter</w:t>
            </w:r>
          </w:p>
        </w:tc>
        <w:tc>
          <w:tcPr>
            <w:tcW w:w="100" w:type="dxa"/>
            <w:vAlign w:val="bottom"/>
          </w:tcPr>
          <w:p>
            <w:pPr>
              <w:spacing w:after="0"/>
              <w:rPr>
                <w:sz w:val="5"/>
                <w:szCs w:val="5"/>
                <w:color w:val="auto"/>
              </w:rPr>
            </w:pPr>
          </w:p>
        </w:tc>
        <w:tc>
          <w:tcPr>
            <w:tcW w:w="2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19"/>
        </w:trPr>
        <w:tc>
          <w:tcPr>
            <w:tcW w:w="3080" w:type="dxa"/>
            <w:vAlign w:val="bottom"/>
            <w:gridSpan w:val="4"/>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4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AOCL</w:t>
            </w:r>
          </w:p>
        </w:tc>
        <w:tc>
          <w:tcPr>
            <w:tcW w:w="160" w:type="dxa"/>
            <w:vAlign w:val="bottom"/>
          </w:tcPr>
          <w:p>
            <w:pPr>
              <w:spacing w:after="0"/>
              <w:rPr>
                <w:sz w:val="10"/>
                <w:szCs w:val="10"/>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08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308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b w:val="1"/>
                <w:bCs w:val="1"/>
                <w:color w:val="auto"/>
                <w:w w:val="97"/>
              </w:rPr>
              <w:t>Three Months Ended September 30, 2021</w:t>
            </w: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80" w:type="dxa"/>
            <w:vAlign w:val="bottom"/>
            <w:gridSpan w:val="4"/>
          </w:tcPr>
          <w:p>
            <w:pPr>
              <w:ind w:left="140"/>
              <w:spacing w:after="0" w:line="175" w:lineRule="exact"/>
              <w:rPr>
                <w:sz w:val="20"/>
                <w:szCs w:val="20"/>
                <w:color w:val="auto"/>
              </w:rPr>
            </w:pPr>
            <w:r>
              <w:rPr>
                <w:rFonts w:ascii="Arial" w:cs="Arial" w:eastAsia="Arial" w:hAnsi="Arial"/>
                <w:sz w:val="16"/>
                <w:szCs w:val="16"/>
                <w:color w:val="auto"/>
              </w:rPr>
              <w:t>Cash Flow Hedges</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Interest rate swap</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(54,814)</w:t>
            </w: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2940" w:type="dxa"/>
            <w:vAlign w:val="bottom"/>
            <w:gridSpan w:val="3"/>
          </w:tcPr>
          <w:p>
            <w:pPr>
              <w:ind w:left="80"/>
              <w:spacing w:after="0"/>
              <w:rPr>
                <w:sz w:val="20"/>
                <w:szCs w:val="20"/>
                <w:color w:val="auto"/>
              </w:rPr>
            </w:pPr>
            <w:r>
              <w:rPr>
                <w:rFonts w:ascii="Arial" w:cs="Arial" w:eastAsia="Arial" w:hAnsi="Arial"/>
                <w:sz w:val="16"/>
                <w:szCs w:val="16"/>
                <w:color w:val="auto"/>
              </w:rPr>
              <w:t>Cross-currency swap</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5,874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(3,192)</w:t>
            </w:r>
          </w:p>
        </w:tc>
        <w:tc>
          <w:tcPr>
            <w:tcW w:w="10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Other income (expense),net</w:t>
            </w:r>
          </w:p>
        </w:tc>
        <w:tc>
          <w:tcPr>
            <w:tcW w:w="0" w:type="dxa"/>
            <w:vAlign w:val="bottom"/>
          </w:tcPr>
          <w:p>
            <w:pPr>
              <w:spacing w:after="0"/>
              <w:rPr>
                <w:sz w:val="1"/>
                <w:szCs w:val="1"/>
                <w:color w:val="auto"/>
              </w:rPr>
            </w:pPr>
          </w:p>
        </w:tc>
      </w:tr>
      <w:tr>
        <w:trPr>
          <w:trHeight w:val="199"/>
        </w:trPr>
        <w:tc>
          <w:tcPr>
            <w:tcW w:w="140" w:type="dxa"/>
            <w:vAlign w:val="bottom"/>
            <w:shd w:val="clear" w:color="auto" w:fill="CCEEFF"/>
          </w:tcPr>
          <w:p>
            <w:pPr>
              <w:spacing w:after="0"/>
              <w:rPr>
                <w:sz w:val="17"/>
                <w:szCs w:val="17"/>
                <w:color w:val="auto"/>
              </w:rPr>
            </w:pPr>
          </w:p>
        </w:tc>
        <w:tc>
          <w:tcPr>
            <w:tcW w:w="2940" w:type="dxa"/>
            <w:vAlign w:val="bottom"/>
            <w:gridSpan w:val="3"/>
            <w:shd w:val="clear" w:color="auto" w:fill="CCEEFF"/>
          </w:tcPr>
          <w:p>
            <w:pPr>
              <w:spacing w:after="0" w:line="178" w:lineRule="exact"/>
              <w:rPr>
                <w:sz w:val="20"/>
                <w:szCs w:val="20"/>
                <w:color w:val="auto"/>
              </w:rPr>
            </w:pPr>
            <w:r>
              <w:rPr>
                <w:rFonts w:ascii="Arial" w:cs="Arial" w:eastAsia="Arial" w:hAnsi="Arial"/>
                <w:sz w:val="16"/>
                <w:szCs w:val="16"/>
                <w:color w:val="auto"/>
              </w:rPr>
              <w:t>Net Investment Hedges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0" w:type="dxa"/>
            <w:vAlign w:val="bottom"/>
            <w:tcBorders>
              <w:top w:val="single" w:sz="8" w:color="CCEEFF"/>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gridSpan w:val="2"/>
          </w:tcPr>
          <w:p>
            <w:pPr>
              <w:ind w:left="80"/>
              <w:spacing w:after="0"/>
              <w:rPr>
                <w:sz w:val="20"/>
                <w:szCs w:val="20"/>
                <w:color w:val="auto"/>
              </w:rPr>
            </w:pPr>
            <w:r>
              <w:rPr>
                <w:rFonts w:ascii="Arial" w:cs="Arial" w:eastAsia="Arial" w:hAnsi="Arial"/>
                <w:sz w:val="16"/>
                <w:szCs w:val="16"/>
                <w:color w:val="auto"/>
                <w:w w:val="94"/>
              </w:rPr>
              <w:t>Cross-currency swap</w:t>
            </w:r>
          </w:p>
        </w:tc>
        <w:tc>
          <w:tcPr>
            <w:tcW w:w="14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13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auto"/>
            </w:tcBorders>
          </w:tcPr>
          <w:p>
            <w:pPr>
              <w:spacing w:after="0"/>
              <w:rPr>
                <w:sz w:val="18"/>
                <w:szCs w:val="18"/>
                <w:color w:val="auto"/>
              </w:rPr>
            </w:pPr>
          </w:p>
        </w:tc>
        <w:tc>
          <w:tcPr>
            <w:tcW w:w="12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6,882</w:t>
            </w:r>
          </w:p>
        </w:tc>
        <w:tc>
          <w:tcPr>
            <w:tcW w:w="1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1320" w:type="dxa"/>
            <w:vAlign w:val="bottom"/>
            <w:tcBorders>
              <w:top w:val="single" w:sz="8" w:color="CCEEFF"/>
              <w:bottom w:val="single" w:sz="8" w:color="auto"/>
            </w:tcBorders>
          </w:tcPr>
          <w:p>
            <w:pPr>
              <w:jc w:val="right"/>
              <w:ind w:right="1"/>
              <w:spacing w:after="0"/>
              <w:rPr>
                <w:sz w:val="20"/>
                <w:szCs w:val="20"/>
                <w:color w:val="auto"/>
              </w:rPr>
            </w:pPr>
            <w:r>
              <w:rPr>
                <w:rFonts w:ascii="Arial" w:cs="Arial" w:eastAsia="Arial" w:hAnsi="Arial"/>
                <w:sz w:val="16"/>
                <w:szCs w:val="16"/>
                <w:color w:val="auto"/>
              </w:rPr>
              <w:t>1,749</w:t>
            </w:r>
          </w:p>
        </w:tc>
        <w:tc>
          <w:tcPr>
            <w:tcW w:w="8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CCEEFF"/>
              <w:bottom w:val="single" w:sz="8" w:color="auto"/>
            </w:tcBorders>
          </w:tcPr>
          <w:p>
            <w:pPr>
              <w:spacing w:after="0"/>
              <w:rPr>
                <w:sz w:val="18"/>
                <w:szCs w:val="18"/>
                <w:color w:val="auto"/>
              </w:rPr>
            </w:pPr>
          </w:p>
        </w:tc>
        <w:tc>
          <w:tcPr>
            <w:tcW w:w="840" w:type="dxa"/>
            <w:vAlign w:val="bottom"/>
            <w:tcBorders>
              <w:top w:val="single" w:sz="8" w:color="CCEEFF"/>
              <w:bottom w:val="single" w:sz="8" w:color="auto"/>
            </w:tcBorders>
          </w:tcPr>
          <w:p>
            <w:pPr>
              <w:ind w:left="420"/>
              <w:spacing w:after="0"/>
              <w:rPr>
                <w:sz w:val="20"/>
                <w:szCs w:val="20"/>
                <w:color w:val="auto"/>
              </w:rPr>
            </w:pPr>
            <w:r>
              <w:rPr>
                <w:rFonts w:ascii="Arial" w:cs="Arial" w:eastAsia="Arial" w:hAnsi="Arial"/>
                <w:sz w:val="16"/>
                <w:szCs w:val="16"/>
                <w:color w:val="auto"/>
                <w:w w:val="99"/>
              </w:rPr>
              <w:t>3,055</w:t>
            </w:r>
          </w:p>
        </w:tc>
        <w:tc>
          <w:tcPr>
            <w:tcW w:w="100" w:type="dxa"/>
            <w:vAlign w:val="bottom"/>
            <w:tcBorders>
              <w:top w:val="single" w:sz="8" w:color="CCEEFF"/>
              <w:bottom w:val="single" w:sz="8" w:color="CCEEFF"/>
            </w:tcBorders>
          </w:tcPr>
          <w:p>
            <w:pPr>
              <w:spacing w:after="0"/>
              <w:rPr>
                <w:sz w:val="18"/>
                <w:szCs w:val="18"/>
                <w:color w:val="auto"/>
              </w:rPr>
            </w:pPr>
          </w:p>
        </w:tc>
        <w:tc>
          <w:tcPr>
            <w:tcW w:w="232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34"/>
        </w:trPr>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(69,177)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2,189</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(54,951)</w:t>
            </w:r>
          </w:p>
        </w:tc>
        <w:tc>
          <w:tcPr>
            <w:tcW w:w="100" w:type="dxa"/>
            <w:vAlign w:val="bottom"/>
            <w:tcBorders>
              <w:bottom w:val="single" w:sz="8" w:color="CCEEFF"/>
            </w:tcBorders>
            <w:shd w:val="clear" w:color="auto" w:fill="CCEEFF"/>
          </w:tcPr>
          <w:p>
            <w:pPr>
              <w:spacing w:after="0"/>
              <w:rPr>
                <w:sz w:val="19"/>
                <w:szCs w:val="19"/>
                <w:color w:val="auto"/>
              </w:rPr>
            </w:pPr>
          </w:p>
        </w:tc>
        <w:tc>
          <w:tcPr>
            <w:tcW w:w="2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6"/>
                <w:szCs w:val="16"/>
                <w:b w:val="1"/>
                <w:bCs w:val="1"/>
                <w:color w:val="auto"/>
                <w:w w:val="97"/>
              </w:rPr>
              <w:t>Three Months Ended September 30, 2020</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0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w w:val="90"/>
              </w:rPr>
              <w:t>Cash Flow Hedges</w:t>
            </w:r>
          </w:p>
        </w:tc>
        <w:tc>
          <w:tcPr>
            <w:tcW w:w="170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2940" w:type="dxa"/>
            <w:vAlign w:val="bottom"/>
            <w:gridSpan w:val="3"/>
          </w:tcPr>
          <w:p>
            <w:pPr>
              <w:ind w:left="80"/>
              <w:spacing w:after="0"/>
              <w:rPr>
                <w:sz w:val="20"/>
                <w:szCs w:val="20"/>
                <w:color w:val="auto"/>
              </w:rPr>
            </w:pPr>
            <w:r>
              <w:rPr>
                <w:rFonts w:ascii="Arial" w:cs="Arial" w:eastAsia="Arial" w:hAnsi="Arial"/>
                <w:sz w:val="16"/>
                <w:szCs w:val="16"/>
                <w:color w:val="auto"/>
              </w:rPr>
              <w:t>Interest rate swap</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(102,128)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(3,971)</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(5,718)</w:t>
            </w:r>
          </w:p>
        </w:tc>
        <w:tc>
          <w:tcPr>
            <w:tcW w:w="8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(100,381)</w:t>
            </w:r>
          </w:p>
        </w:tc>
        <w:tc>
          <w:tcPr>
            <w:tcW w:w="10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29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Cross-currency swap</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420"/>
              <w:spacing w:after="0"/>
              <w:rPr>
                <w:sz w:val="20"/>
                <w:szCs w:val="20"/>
                <w:color w:val="auto"/>
              </w:rPr>
            </w:pPr>
            <w:r>
              <w:rPr>
                <w:rFonts w:ascii="Arial" w:cs="Arial" w:eastAsia="Arial" w:hAnsi="Arial"/>
                <w:sz w:val="16"/>
                <w:szCs w:val="16"/>
                <w:color w:val="auto"/>
                <w:w w:val="99"/>
              </w:rPr>
              <w:t>4,924</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(expense),net</w:t>
            </w:r>
          </w:p>
        </w:tc>
        <w:tc>
          <w:tcPr>
            <w:tcW w:w="0" w:type="dxa"/>
            <w:vAlign w:val="bottom"/>
          </w:tcPr>
          <w:p>
            <w:pPr>
              <w:spacing w:after="0"/>
              <w:rPr>
                <w:sz w:val="1"/>
                <w:szCs w:val="1"/>
                <w:color w:val="auto"/>
              </w:rPr>
            </w:pPr>
          </w:p>
        </w:tc>
      </w:tr>
      <w:tr>
        <w:trPr>
          <w:trHeight w:val="175"/>
        </w:trPr>
        <w:tc>
          <w:tcPr>
            <w:tcW w:w="3080" w:type="dxa"/>
            <w:vAlign w:val="bottom"/>
            <w:gridSpan w:val="4"/>
          </w:tcPr>
          <w:p>
            <w:pPr>
              <w:ind w:left="140"/>
              <w:spacing w:after="0" w:line="175" w:lineRule="exact"/>
              <w:rPr>
                <w:sz w:val="20"/>
                <w:szCs w:val="20"/>
                <w:color w:val="auto"/>
              </w:rPr>
            </w:pPr>
            <w:r>
              <w:rPr>
                <w:rFonts w:ascii="Arial" w:cs="Arial" w:eastAsia="Arial" w:hAnsi="Arial"/>
                <w:sz w:val="16"/>
                <w:szCs w:val="16"/>
                <w:color w:val="auto"/>
              </w:rPr>
              <w:t>Net Investment Hedges</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Cross-currency swap</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22,223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2,202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w w:val="99"/>
              </w:rPr>
              <w:t>8,767</w:t>
            </w: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(74,062)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(21,497)</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(8,869)</w:t>
            </w:r>
          </w:p>
        </w:tc>
        <w:tc>
          <w:tcPr>
            <w:tcW w:w="8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(86,690)</w:t>
            </w: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Balance in AOCL</w:t>
            </w:r>
          </w:p>
        </w:tc>
        <w:tc>
          <w:tcPr>
            <w:tcW w:w="18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Amount of Gain (Loss)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Gain (Loss)</w:t>
            </w:r>
          </w:p>
        </w:tc>
        <w:tc>
          <w:tcPr>
            <w:tcW w:w="160" w:type="dxa"/>
            <w:vAlign w:val="bottom"/>
          </w:tcPr>
          <w:p>
            <w:pPr>
              <w:spacing w:after="0"/>
              <w:rPr>
                <w:sz w:val="5"/>
                <w:szCs w:val="5"/>
                <w:color w:val="auto"/>
              </w:rPr>
            </w:pPr>
          </w:p>
        </w:tc>
        <w:tc>
          <w:tcPr>
            <w:tcW w:w="140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Reclassified from</w:t>
            </w:r>
          </w:p>
        </w:tc>
        <w:tc>
          <w:tcPr>
            <w:tcW w:w="114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w w:val="95"/>
              </w:rPr>
              <w:t>Balance in AOCL</w:t>
            </w:r>
          </w:p>
        </w:tc>
        <w:tc>
          <w:tcPr>
            <w:tcW w:w="100" w:type="dxa"/>
            <w:vAlign w:val="bottom"/>
          </w:tcPr>
          <w:p>
            <w:pPr>
              <w:spacing w:after="0"/>
              <w:rPr>
                <w:sz w:val="5"/>
                <w:szCs w:val="5"/>
                <w:color w:val="auto"/>
              </w:rPr>
            </w:pPr>
          </w:p>
        </w:tc>
        <w:tc>
          <w:tcPr>
            <w:tcW w:w="2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1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67"/>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Recognized in</w:t>
            </w:r>
          </w:p>
        </w:tc>
        <w:tc>
          <w:tcPr>
            <w:tcW w:w="160" w:type="dxa"/>
            <w:vAlign w:val="bottom"/>
          </w:tcPr>
          <w:p>
            <w:pPr>
              <w:spacing w:after="0"/>
              <w:rPr>
                <w:sz w:val="5"/>
                <w:szCs w:val="5"/>
                <w:color w:val="auto"/>
              </w:rPr>
            </w:pPr>
          </w:p>
        </w:tc>
        <w:tc>
          <w:tcPr>
            <w:tcW w:w="140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AOCL into</w:t>
            </w:r>
          </w:p>
        </w:tc>
        <w:tc>
          <w:tcPr>
            <w:tcW w:w="1140" w:type="dxa"/>
            <w:vAlign w:val="bottom"/>
            <w:gridSpan w:val="2"/>
            <w:vMerge w:val="restart"/>
          </w:tcPr>
          <w:p>
            <w:pPr>
              <w:ind w:left="100"/>
              <w:spacing w:after="0" w:line="135" w:lineRule="exact"/>
              <w:rPr>
                <w:sz w:val="20"/>
                <w:szCs w:val="20"/>
                <w:color w:val="auto"/>
              </w:rPr>
            </w:pPr>
            <w:r>
              <w:rPr>
                <w:rFonts w:ascii="Arial" w:cs="Arial" w:eastAsia="Arial" w:hAnsi="Arial"/>
                <w:sz w:val="14"/>
                <w:szCs w:val="14"/>
                <w:b w:val="1"/>
                <w:bCs w:val="1"/>
                <w:color w:val="auto"/>
              </w:rPr>
              <w:t>End of Quarter</w:t>
            </w:r>
          </w:p>
        </w:tc>
        <w:tc>
          <w:tcPr>
            <w:tcW w:w="100" w:type="dxa"/>
            <w:vAlign w:val="bottom"/>
          </w:tcPr>
          <w:p>
            <w:pPr>
              <w:spacing w:after="0"/>
              <w:rPr>
                <w:sz w:val="5"/>
                <w:szCs w:val="5"/>
                <w:color w:val="auto"/>
              </w:rPr>
            </w:pPr>
          </w:p>
        </w:tc>
        <w:tc>
          <w:tcPr>
            <w:tcW w:w="2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1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19"/>
        </w:trPr>
        <w:tc>
          <w:tcPr>
            <w:tcW w:w="3080" w:type="dxa"/>
            <w:vAlign w:val="bottom"/>
            <w:gridSpan w:val="4"/>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4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AOCL</w:t>
            </w:r>
          </w:p>
        </w:tc>
        <w:tc>
          <w:tcPr>
            <w:tcW w:w="160" w:type="dxa"/>
            <w:vAlign w:val="bottom"/>
          </w:tcPr>
          <w:p>
            <w:pPr>
              <w:spacing w:after="0"/>
              <w:rPr>
                <w:sz w:val="10"/>
                <w:szCs w:val="10"/>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08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308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2021</w:t>
            </w: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80" w:type="dxa"/>
            <w:vAlign w:val="bottom"/>
            <w:gridSpan w:val="4"/>
          </w:tcPr>
          <w:p>
            <w:pPr>
              <w:ind w:left="140"/>
              <w:spacing w:after="0" w:line="175" w:lineRule="exact"/>
              <w:rPr>
                <w:sz w:val="20"/>
                <w:szCs w:val="20"/>
                <w:color w:val="auto"/>
              </w:rPr>
            </w:pPr>
            <w:r>
              <w:rPr>
                <w:rFonts w:ascii="Arial" w:cs="Arial" w:eastAsia="Arial" w:hAnsi="Arial"/>
                <w:sz w:val="16"/>
                <w:szCs w:val="16"/>
                <w:color w:val="auto"/>
              </w:rPr>
              <w:t>Cash Flow Hedges</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Interest rate swap</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(54,814)</w:t>
            </w: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2940" w:type="dxa"/>
            <w:vAlign w:val="bottom"/>
            <w:gridSpan w:val="3"/>
          </w:tcPr>
          <w:p>
            <w:pPr>
              <w:ind w:left="80"/>
              <w:spacing w:after="0"/>
              <w:rPr>
                <w:sz w:val="20"/>
                <w:szCs w:val="20"/>
                <w:color w:val="auto"/>
              </w:rPr>
            </w:pPr>
            <w:r>
              <w:rPr>
                <w:rFonts w:ascii="Arial" w:cs="Arial" w:eastAsia="Arial" w:hAnsi="Arial"/>
                <w:sz w:val="16"/>
                <w:szCs w:val="16"/>
                <w:color w:val="auto"/>
              </w:rPr>
              <w:t>Cross-currency swap</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36,270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38,389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(3,192)</w:t>
            </w:r>
          </w:p>
        </w:tc>
        <w:tc>
          <w:tcPr>
            <w:tcW w:w="10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Other income (expense),net</w:t>
            </w:r>
          </w:p>
        </w:tc>
        <w:tc>
          <w:tcPr>
            <w:tcW w:w="0" w:type="dxa"/>
            <w:vAlign w:val="bottom"/>
          </w:tcPr>
          <w:p>
            <w:pPr>
              <w:spacing w:after="0"/>
              <w:rPr>
                <w:sz w:val="1"/>
                <w:szCs w:val="1"/>
                <w:color w:val="auto"/>
              </w:rPr>
            </w:pPr>
          </w:p>
        </w:tc>
      </w:tr>
      <w:tr>
        <w:trPr>
          <w:trHeight w:val="199"/>
        </w:trPr>
        <w:tc>
          <w:tcPr>
            <w:tcW w:w="140" w:type="dxa"/>
            <w:vAlign w:val="bottom"/>
            <w:shd w:val="clear" w:color="auto" w:fill="CCEEFF"/>
          </w:tcPr>
          <w:p>
            <w:pPr>
              <w:spacing w:after="0"/>
              <w:rPr>
                <w:sz w:val="17"/>
                <w:szCs w:val="17"/>
                <w:color w:val="auto"/>
              </w:rPr>
            </w:pPr>
          </w:p>
        </w:tc>
        <w:tc>
          <w:tcPr>
            <w:tcW w:w="2940" w:type="dxa"/>
            <w:vAlign w:val="bottom"/>
            <w:gridSpan w:val="3"/>
            <w:shd w:val="clear" w:color="auto" w:fill="CCEEFF"/>
          </w:tcPr>
          <w:p>
            <w:pPr>
              <w:spacing w:after="0" w:line="178" w:lineRule="exact"/>
              <w:rPr>
                <w:sz w:val="20"/>
                <w:szCs w:val="20"/>
                <w:color w:val="auto"/>
              </w:rPr>
            </w:pPr>
            <w:r>
              <w:rPr>
                <w:rFonts w:ascii="Arial" w:cs="Arial" w:eastAsia="Arial" w:hAnsi="Arial"/>
                <w:sz w:val="16"/>
                <w:szCs w:val="16"/>
                <w:color w:val="auto"/>
              </w:rPr>
              <w:t>Net Investment Hedges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0" w:type="dxa"/>
            <w:vAlign w:val="bottom"/>
            <w:tcBorders>
              <w:top w:val="single" w:sz="8" w:color="CCEEFF"/>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gridSpan w:val="2"/>
          </w:tcPr>
          <w:p>
            <w:pPr>
              <w:ind w:left="80"/>
              <w:spacing w:after="0"/>
              <w:rPr>
                <w:sz w:val="20"/>
                <w:szCs w:val="20"/>
                <w:color w:val="auto"/>
              </w:rPr>
            </w:pPr>
            <w:r>
              <w:rPr>
                <w:rFonts w:ascii="Arial" w:cs="Arial" w:eastAsia="Arial" w:hAnsi="Arial"/>
                <w:sz w:val="16"/>
                <w:szCs w:val="16"/>
                <w:color w:val="auto"/>
                <w:w w:val="94"/>
              </w:rPr>
              <w:t>Cross-currency swap</w:t>
            </w:r>
          </w:p>
        </w:tc>
        <w:tc>
          <w:tcPr>
            <w:tcW w:w="14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13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(12,291)</w:t>
            </w:r>
          </w:p>
        </w:tc>
        <w:tc>
          <w:tcPr>
            <w:tcW w:w="1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auto"/>
            </w:tcBorders>
          </w:tcPr>
          <w:p>
            <w:pPr>
              <w:spacing w:after="0"/>
              <w:rPr>
                <w:sz w:val="18"/>
                <w:szCs w:val="18"/>
                <w:color w:val="auto"/>
              </w:rPr>
            </w:pPr>
          </w:p>
        </w:tc>
        <w:tc>
          <w:tcPr>
            <w:tcW w:w="12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20,543</w:t>
            </w:r>
          </w:p>
        </w:tc>
        <w:tc>
          <w:tcPr>
            <w:tcW w:w="1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1320" w:type="dxa"/>
            <w:vAlign w:val="bottom"/>
            <w:tcBorders>
              <w:top w:val="single" w:sz="8" w:color="CCEEFF"/>
              <w:bottom w:val="single" w:sz="8" w:color="auto"/>
            </w:tcBorders>
          </w:tcPr>
          <w:p>
            <w:pPr>
              <w:jc w:val="right"/>
              <w:ind w:right="1"/>
              <w:spacing w:after="0"/>
              <w:rPr>
                <w:sz w:val="20"/>
                <w:szCs w:val="20"/>
                <w:color w:val="auto"/>
              </w:rPr>
            </w:pPr>
            <w:r>
              <w:rPr>
                <w:rFonts w:ascii="Arial" w:cs="Arial" w:eastAsia="Arial" w:hAnsi="Arial"/>
                <w:sz w:val="16"/>
                <w:szCs w:val="16"/>
                <w:color w:val="auto"/>
              </w:rPr>
              <w:t>5,197</w:t>
            </w:r>
          </w:p>
        </w:tc>
        <w:tc>
          <w:tcPr>
            <w:tcW w:w="8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CCEEFF"/>
              <w:bottom w:val="single" w:sz="8" w:color="auto"/>
            </w:tcBorders>
          </w:tcPr>
          <w:p>
            <w:pPr>
              <w:spacing w:after="0"/>
              <w:rPr>
                <w:sz w:val="18"/>
                <w:szCs w:val="18"/>
                <w:color w:val="auto"/>
              </w:rPr>
            </w:pPr>
          </w:p>
        </w:tc>
        <w:tc>
          <w:tcPr>
            <w:tcW w:w="840" w:type="dxa"/>
            <w:vAlign w:val="bottom"/>
            <w:tcBorders>
              <w:top w:val="single" w:sz="8" w:color="CCEEFF"/>
              <w:bottom w:val="single" w:sz="8" w:color="auto"/>
            </w:tcBorders>
          </w:tcPr>
          <w:p>
            <w:pPr>
              <w:ind w:left="420"/>
              <w:spacing w:after="0"/>
              <w:rPr>
                <w:sz w:val="20"/>
                <w:szCs w:val="20"/>
                <w:color w:val="auto"/>
              </w:rPr>
            </w:pPr>
            <w:r>
              <w:rPr>
                <w:rFonts w:ascii="Arial" w:cs="Arial" w:eastAsia="Arial" w:hAnsi="Arial"/>
                <w:sz w:val="16"/>
                <w:szCs w:val="16"/>
                <w:color w:val="auto"/>
                <w:w w:val="99"/>
              </w:rPr>
              <w:t>3,055</w:t>
            </w:r>
          </w:p>
        </w:tc>
        <w:tc>
          <w:tcPr>
            <w:tcW w:w="100" w:type="dxa"/>
            <w:vAlign w:val="bottom"/>
            <w:tcBorders>
              <w:top w:val="single" w:sz="8" w:color="CCEEFF"/>
              <w:bottom w:val="single" w:sz="8" w:color="CCEEFF"/>
            </w:tcBorders>
          </w:tcPr>
          <w:p>
            <w:pPr>
              <w:spacing w:after="0"/>
              <w:rPr>
                <w:sz w:val="18"/>
                <w:szCs w:val="18"/>
                <w:color w:val="auto"/>
              </w:rPr>
            </w:pPr>
          </w:p>
        </w:tc>
        <w:tc>
          <w:tcPr>
            <w:tcW w:w="232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34"/>
        </w:trPr>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(107,133)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78,806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26,624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(54,951)</w:t>
            </w:r>
          </w:p>
        </w:tc>
        <w:tc>
          <w:tcPr>
            <w:tcW w:w="100" w:type="dxa"/>
            <w:vAlign w:val="bottom"/>
            <w:tcBorders>
              <w:bottom w:val="single" w:sz="8" w:color="CCEEFF"/>
            </w:tcBorders>
            <w:shd w:val="clear" w:color="auto" w:fill="CCEEFF"/>
          </w:tcPr>
          <w:p>
            <w:pPr>
              <w:spacing w:after="0"/>
              <w:rPr>
                <w:sz w:val="19"/>
                <w:szCs w:val="19"/>
                <w:color w:val="auto"/>
              </w:rPr>
            </w:pPr>
          </w:p>
        </w:tc>
        <w:tc>
          <w:tcPr>
            <w:tcW w:w="2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6"/>
                <w:szCs w:val="16"/>
                <w:b w:val="1"/>
                <w:bCs w:val="1"/>
                <w:color w:val="auto"/>
              </w:rPr>
              <w:t>Nine Months Ended September 30, 2020</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0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w w:val="90"/>
              </w:rPr>
              <w:t>Cash Flow Hedges</w:t>
            </w:r>
          </w:p>
        </w:tc>
        <w:tc>
          <w:tcPr>
            <w:tcW w:w="170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2940" w:type="dxa"/>
            <w:vAlign w:val="bottom"/>
            <w:gridSpan w:val="3"/>
          </w:tcPr>
          <w:p>
            <w:pPr>
              <w:ind w:left="80"/>
              <w:spacing w:after="0"/>
              <w:rPr>
                <w:sz w:val="20"/>
                <w:szCs w:val="20"/>
                <w:color w:val="auto"/>
              </w:rPr>
            </w:pPr>
            <w:r>
              <w:rPr>
                <w:rFonts w:ascii="Arial" w:cs="Arial" w:eastAsia="Arial" w:hAnsi="Arial"/>
                <w:sz w:val="16"/>
                <w:szCs w:val="16"/>
                <w:color w:val="auto"/>
              </w:rPr>
              <w:t>Interest rate swap</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(45,146)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(65,608)</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(10,373)</w:t>
            </w:r>
          </w:p>
        </w:tc>
        <w:tc>
          <w:tcPr>
            <w:tcW w:w="8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(100,381)</w:t>
            </w:r>
          </w:p>
        </w:tc>
        <w:tc>
          <w:tcPr>
            <w:tcW w:w="10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29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Cross-currency swap</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60" w:type="dxa"/>
            <w:vAlign w:val="bottom"/>
            <w:gridSpan w:val="3"/>
            <w:shd w:val="clear" w:color="auto" w:fill="CCEEFF"/>
          </w:tcPr>
          <w:p>
            <w:pPr>
              <w:ind w:left="420"/>
              <w:spacing w:after="0"/>
              <w:rPr>
                <w:sz w:val="20"/>
                <w:szCs w:val="20"/>
                <w:color w:val="auto"/>
              </w:rPr>
            </w:pPr>
            <w:r>
              <w:rPr>
                <w:rFonts w:ascii="Arial" w:cs="Arial" w:eastAsia="Arial" w:hAnsi="Arial"/>
                <w:sz w:val="16"/>
                <w:szCs w:val="16"/>
                <w:color w:val="auto"/>
              </w:rPr>
              <w:t>4,924  Other income (expense), net</w:t>
            </w:r>
          </w:p>
        </w:tc>
        <w:tc>
          <w:tcPr>
            <w:tcW w:w="0" w:type="dxa"/>
            <w:vAlign w:val="bottom"/>
          </w:tcPr>
          <w:p>
            <w:pPr>
              <w:spacing w:after="0"/>
              <w:rPr>
                <w:sz w:val="1"/>
                <w:szCs w:val="1"/>
                <w:color w:val="auto"/>
              </w:rPr>
            </w:pPr>
          </w:p>
        </w:tc>
      </w:tr>
      <w:tr>
        <w:trPr>
          <w:trHeight w:val="175"/>
        </w:trPr>
        <w:tc>
          <w:tcPr>
            <w:tcW w:w="3080" w:type="dxa"/>
            <w:vAlign w:val="bottom"/>
            <w:gridSpan w:val="4"/>
          </w:tcPr>
          <w:p>
            <w:pPr>
              <w:ind w:left="140"/>
              <w:spacing w:after="0" w:line="175" w:lineRule="exact"/>
              <w:rPr>
                <w:sz w:val="20"/>
                <w:szCs w:val="20"/>
                <w:color w:val="auto"/>
              </w:rPr>
            </w:pPr>
            <w:r>
              <w:rPr>
                <w:rFonts w:ascii="Arial" w:cs="Arial" w:eastAsia="Arial" w:hAnsi="Arial"/>
                <w:sz w:val="16"/>
                <w:szCs w:val="16"/>
                <w:color w:val="auto"/>
              </w:rPr>
              <w:t>Net Investment Hedges</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Cross-currency swap</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6,564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w w:val="99"/>
              </w:rPr>
              <w:t>8,767</w:t>
            </w: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(34,740)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(63,194)</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(11,244)</w:t>
            </w:r>
          </w:p>
        </w:tc>
        <w:tc>
          <w:tcPr>
            <w:tcW w:w="8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(86,690)</w:t>
            </w: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September 30, 2021, the Company had stock options, restricted stock awards, performance stock awards, contract stock awards and restricted stock unit awards outstanding under the Integra LifeSciences Holdings Corporation Fifth Amended and Restated 2003 Equity Incentive Plan (the “2003 Plan”). The 2000 and 2001 Equity Incentive Plans were terminated as of February 19, 2021, and no further awards may be issued under the plans.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 options issued under the 2003 Plan become exercisable over specified periods, generally within four years from the date of grant for officers and employees, within one year from date of grant for directors which generally expire eight years from the grant date for employees, and from six to ten years for directors and certain executive officers, except in certain instances that result in accelerated vesting due to death, disability, retirement age or change in-control provisions within their grant agreements. The Company values stock option grants using the binomial distribution model. Restricted stock issued under the Plans vests over specified periods, generally three years after the date of grant. The vesting of performance stock issued under the Plans is subject to service and performance conditions.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there were approximately $3.7 million of total unrecognized compensation costs related to unvested stock options. These costs are expected to be recognized over a weighted-average period of approximately two years. There were 149,558 stock options granted during the nine months ended September 30, 2021. For the nine months ended September 30, 2021, the weighted average grant date fair value for stock options was $22.59 per option.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and Performance Stock</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Performance stock and restricted stock awards generally have requisite service periods of three years, except in certain instances that result in accelerated vesting due to death, disability, retirement age provision or change in-control provisions in their grant agreements. Performance stock units are subject to graded vesting conditions based on revenue goals of the Company. The Company expenses the fair value of restricted stock awards on a straight-line basis over the requisite service period. As of September 30, 2021, there was approximately $26.8 million of total unrecognized compensation costs related to these unvested awards. The Company expects to recognize these costs over a weighted-average period of approximately two years. The Company granted 258,265 restricted stock awards and 176,147 performance stock awards during the nine months ended September 30, 2021. For the nine months ended September 30, 2021, the weighted average grant date fair value for restricted stock awards and performance stock units was $68.41 and $68.10 per award, respectively.</w:t>
      </w:r>
    </w:p>
    <w:p>
      <w:pPr>
        <w:spacing w:after="0" w:line="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defined benefit pension plans that cover certain employees in France, Japan, Germany and Switzerland.</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periodic benefit costs for the Company’s defined benefit pension plans for three and the nine months ended September 30, 2021 were $0.5 million and $1.8 million. The components of the net periodic benefit costs other than the service cost component of $0.8 million and $2.4 million for the three and nine months ended September 30, 2021, are included in other income, net in the consolidated statements of operations.</w:t>
      </w:r>
    </w:p>
    <w:p>
      <w:pPr>
        <w:spacing w:after="0" w:line="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periodic benefit costs for the Company’s defined benefit pension plans for the three and nine months ended September 30, 2020 were $1.0 million and $3.0 million, respectively. The components of the net periodic benefit costs other than the service cost component of $1.0 million and $2.9 million for the three and nine months ended September 30, 2020 respectively, are included in other income, net in the consolidated statements of operations.</w:t>
      </w:r>
    </w:p>
    <w:p>
      <w:pPr>
        <w:spacing w:after="0" w:line="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estimated fair values of plan assets were $34.0 million and $37.8 million as of September 30, 2021 and December 31, 2020, respectively. The net plan assets of the pension plans are invested in common trusts as of September 30, 2021 and December 31, 2020.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maintains a Deferred Compensation Plan in which certain employees of the Company may defer the payment and taxation of up to 75% of their base salary and up to 100% of bonus amounts and other eligible cash compensation.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first quarter of 2020, employees participating in the Company's deferred compensation plan began to defer their compensation. This deferred compensation is invested in funds offered under this plan and is valued based on Level 1 measurements in the fair value hierarchy. Assets of the Company's deferred compensation plan are included in other current assets and recorded at fair value based on their quoted market prices. The fair value of these assets at September 30, 2021 were $3.4 million and $2.0 million as of September 30, 2021and December 31, 2020. Offsetting liabilities relating to the deferred compensation plan are included in Other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 AND RELATED PARTY LEASES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leases administrative, manufacturing, research and distribution facilities and vehicles through operating lease agreements. The Company has no finance leases as of September 30, 2021. Many of the Company's leases include both lease (e.g., fixed payments including rent) and non-lease components (e.g., common-area or other maintenance costs). For vehicles, the Company has elected the practical expedient to group lease and non-lease components.</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Most facility leases include one or more options to renew. The exercise of lease renewal options is typically at the Company's sole discretion, therefore, the majority of renewals to extend the lease terms are not included in the Right of Use ("ROU") assets and lease liabilities as they are not reasonably certain of exercise. The Company regularly evaluates renewal options and when they are reasonably certain of exercise, the renewal period is included in the lease term.</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most of the Company's leases do not provide an implicit rate, the Company uses a collateralized incremental borrowing rate based on the information available at the lease commencement date in determining the present value of the lease payments.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operating lease expense for the nine months ended September 30, 2021 and September 30, 2020 was $15.7 million and $14.6 million respectively, which includes $0.2 million, in related party operating lease expense.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were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ind w:left="20"/>
              <w:spacing w:after="0"/>
              <w:rPr>
                <w:sz w:val="20"/>
                <w:szCs w:val="20"/>
                <w:color w:val="auto"/>
              </w:rPr>
            </w:pPr>
            <w:r>
              <w:rPr>
                <w:rFonts w:ascii="Arial" w:cs="Arial" w:eastAsia="Arial" w:hAnsi="Arial"/>
                <w:sz w:val="14"/>
                <w:szCs w:val="14"/>
                <w:color w:val="auto"/>
              </w:rPr>
              <w:t>Dollars in thousands, except lease term and discount rate</w:t>
            </w:r>
          </w:p>
        </w:tc>
        <w:tc>
          <w:tcPr>
            <w:tcW w:w="320" w:type="dxa"/>
            <w:vAlign w:val="bottom"/>
          </w:tcPr>
          <w:p>
            <w:pPr>
              <w:spacing w:after="0"/>
              <w:rPr>
                <w:sz w:val="16"/>
                <w:szCs w:val="16"/>
                <w:color w:val="auto"/>
              </w:rPr>
            </w:pPr>
          </w:p>
        </w:tc>
        <w:tc>
          <w:tcPr>
            <w:tcW w:w="206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2021</w:t>
            </w:r>
          </w:p>
        </w:tc>
        <w:tc>
          <w:tcPr>
            <w:tcW w:w="320" w:type="dxa"/>
            <w:vAlign w:val="bottom"/>
          </w:tcPr>
          <w:p>
            <w:pPr>
              <w:spacing w:after="0"/>
              <w:rPr>
                <w:sz w:val="16"/>
                <w:szCs w:val="16"/>
                <w:color w:val="auto"/>
              </w:rPr>
            </w:pPr>
          </w:p>
        </w:tc>
        <w:tc>
          <w:tcPr>
            <w:tcW w:w="1940" w:type="dxa"/>
            <w:vAlign w:val="bottom"/>
          </w:tcPr>
          <w:p>
            <w:pPr>
              <w:jc w:val="right"/>
              <w:ind w:right="480"/>
              <w:spacing w:after="0"/>
              <w:rPr>
                <w:sz w:val="20"/>
                <w:szCs w:val="20"/>
                <w:color w:val="auto"/>
              </w:rPr>
            </w:pPr>
            <w:r>
              <w:rPr>
                <w:rFonts w:ascii="Arial" w:cs="Arial" w:eastAsia="Arial" w:hAnsi="Arial"/>
                <w:sz w:val="14"/>
                <w:szCs w:val="14"/>
                <w:b w:val="1"/>
                <w:bCs w:val="1"/>
                <w:color w:val="auto"/>
              </w:rPr>
              <w:t>December 31, 2020</w:t>
            </w:r>
          </w:p>
        </w:tc>
      </w:tr>
      <w:tr>
        <w:trPr>
          <w:trHeight w:val="215"/>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ROU assets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87,600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83,635</w:t>
            </w:r>
          </w:p>
        </w:tc>
      </w:tr>
      <w:tr>
        <w:trPr>
          <w:trHeight w:val="270"/>
        </w:trPr>
        <w:tc>
          <w:tcPr>
            <w:tcW w:w="6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lease liabilities</w:t>
            </w: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13,526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12,818</w:t>
            </w:r>
          </w:p>
        </w:tc>
      </w:tr>
      <w:tr>
        <w:trPr>
          <w:trHeight w:val="213"/>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 lease liabilities</w:t>
            </w: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94,840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88,118</w:t>
            </w:r>
          </w:p>
        </w:tc>
      </w:tr>
      <w:tr>
        <w:trPr>
          <w:trHeight w:val="238"/>
        </w:trPr>
        <w:tc>
          <w:tcPr>
            <w:tcW w:w="6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lease liabilities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108,366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100,936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3"/>
        </w:trPr>
        <w:tc>
          <w:tcPr>
            <w:tcW w:w="6600" w:type="dxa"/>
            <w:vAlign w:val="bottom"/>
          </w:tcPr>
          <w:p>
            <w:pPr>
              <w:ind w:left="220"/>
              <w:spacing w:after="0"/>
              <w:rPr>
                <w:sz w:val="20"/>
                <w:szCs w:val="20"/>
                <w:color w:val="auto"/>
              </w:rPr>
            </w:pPr>
            <w:r>
              <w:rPr>
                <w:rFonts w:ascii="Arial" w:cs="Arial" w:eastAsia="Arial" w:hAnsi="Arial"/>
                <w:sz w:val="16"/>
                <w:szCs w:val="16"/>
                <w:color w:val="auto"/>
              </w:rPr>
              <w:t>Leased facilities</w:t>
            </w:r>
          </w:p>
        </w:tc>
        <w:tc>
          <w:tcPr>
            <w:tcW w:w="320" w:type="dxa"/>
            <w:vAlign w:val="bottom"/>
          </w:tcPr>
          <w:p>
            <w:pPr>
              <w:spacing w:after="0"/>
              <w:rPr>
                <w:sz w:val="18"/>
                <w:szCs w:val="18"/>
                <w:color w:val="auto"/>
              </w:rPr>
            </w:pPr>
          </w:p>
        </w:tc>
        <w:tc>
          <w:tcPr>
            <w:tcW w:w="2060" w:type="dxa"/>
            <w:vAlign w:val="bottom"/>
            <w:gridSpan w:val="2"/>
          </w:tcPr>
          <w:p>
            <w:pPr>
              <w:jc w:val="right"/>
              <w:ind w:right="120"/>
              <w:spacing w:after="0"/>
              <w:rPr>
                <w:sz w:val="20"/>
                <w:szCs w:val="20"/>
                <w:color w:val="auto"/>
              </w:rPr>
            </w:pPr>
            <w:r>
              <w:rPr>
                <w:rFonts w:ascii="Arial" w:cs="Arial" w:eastAsia="Arial" w:hAnsi="Arial"/>
                <w:sz w:val="16"/>
                <w:szCs w:val="16"/>
                <w:color w:val="auto"/>
              </w:rPr>
              <w:t>11.0 years</w:t>
            </w: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11.6 years</w:t>
            </w:r>
          </w:p>
        </w:tc>
      </w:tr>
      <w:tr>
        <w:trPr>
          <w:trHeight w:val="219"/>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Leased vehicles</w:t>
            </w:r>
          </w:p>
        </w:tc>
        <w:tc>
          <w:tcPr>
            <w:tcW w:w="3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 years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years</w:t>
            </w:r>
          </w:p>
        </w:tc>
      </w:tr>
      <w:tr>
        <w:trPr>
          <w:trHeight w:val="270"/>
        </w:trPr>
        <w:tc>
          <w:tcPr>
            <w:tcW w:w="6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discount rate:</w:t>
            </w: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3"/>
        </w:trPr>
        <w:tc>
          <w:tcPr>
            <w:tcW w:w="6600" w:type="dxa"/>
            <w:vAlign w:val="bottom"/>
          </w:tcPr>
          <w:p>
            <w:pPr>
              <w:ind w:left="220"/>
              <w:spacing w:after="0"/>
              <w:rPr>
                <w:sz w:val="20"/>
                <w:szCs w:val="20"/>
                <w:color w:val="auto"/>
              </w:rPr>
            </w:pPr>
            <w:r>
              <w:rPr>
                <w:rFonts w:ascii="Arial" w:cs="Arial" w:eastAsia="Arial" w:hAnsi="Arial"/>
                <w:sz w:val="16"/>
                <w:szCs w:val="16"/>
                <w:color w:val="auto"/>
              </w:rPr>
              <w:t>Leased facilities</w:t>
            </w:r>
          </w:p>
        </w:tc>
        <w:tc>
          <w:tcPr>
            <w:tcW w:w="3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4.6 %</w:t>
            </w:r>
          </w:p>
        </w:tc>
      </w:tr>
      <w:tr>
        <w:trPr>
          <w:trHeight w:val="219"/>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Leased vehicles</w:t>
            </w: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for the nine months ended September 30, 2021 and 2020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48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w w:val="94"/>
              </w:rPr>
              <w:t>September 30, 2020</w:t>
            </w:r>
          </w:p>
        </w:tc>
        <w:tc>
          <w:tcPr>
            <w:tcW w:w="0" w:type="dxa"/>
            <w:vAlign w:val="bottom"/>
          </w:tcPr>
          <w:p>
            <w:pPr>
              <w:spacing w:after="0"/>
              <w:rPr>
                <w:sz w:val="1"/>
                <w:szCs w:val="1"/>
                <w:color w:val="auto"/>
              </w:rPr>
            </w:pPr>
          </w:p>
        </w:tc>
      </w:tr>
      <w:tr>
        <w:trPr>
          <w:trHeight w:val="60"/>
        </w:trPr>
        <w:tc>
          <w:tcPr>
            <w:tcW w:w="7860" w:type="dxa"/>
            <w:vAlign w:val="bottom"/>
            <w:tcBorders>
              <w:bottom w:val="single" w:sz="8" w:color="CCEEFF"/>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Operating cash flows from operating leases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10,942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10,976</w:t>
            </w:r>
          </w:p>
        </w:tc>
        <w:tc>
          <w:tcPr>
            <w:tcW w:w="0" w:type="dxa"/>
            <w:vAlign w:val="bottom"/>
          </w:tcPr>
          <w:p>
            <w:pPr>
              <w:spacing w:after="0"/>
              <w:rPr>
                <w:sz w:val="1"/>
                <w:szCs w:val="1"/>
                <w:color w:val="auto"/>
              </w:rPr>
            </w:pPr>
          </w:p>
        </w:tc>
      </w:tr>
      <w:tr>
        <w:trPr>
          <w:trHeight w:val="273"/>
        </w:trPr>
        <w:tc>
          <w:tcPr>
            <w:tcW w:w="78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ROU assets obtained in exchange for lease liabilities: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operating leases at September 30, 2021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Related Parties</w:t>
            </w:r>
          </w:p>
        </w:tc>
        <w:tc>
          <w:tcPr>
            <w:tcW w:w="22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 Parties</w:t>
            </w:r>
          </w:p>
        </w:tc>
        <w:tc>
          <w:tcPr>
            <w:tcW w:w="360" w:type="dxa"/>
            <w:vAlign w:val="bottom"/>
          </w:tcPr>
          <w:p>
            <w:pPr>
              <w:spacing w:after="0"/>
              <w:rPr>
                <w:sz w:val="16"/>
                <w:szCs w:val="16"/>
                <w:color w:val="auto"/>
              </w:rPr>
            </w:pPr>
          </w:p>
        </w:tc>
        <w:tc>
          <w:tcPr>
            <w:tcW w:w="1180" w:type="dxa"/>
            <w:vAlign w:val="bottom"/>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216"/>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4,168</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4,242</w:t>
            </w: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17,219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17,515</w:t>
            </w: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14,585</w:t>
            </w: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12,331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12,627</w:t>
            </w: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11,154</w:t>
            </w: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2026</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9,818</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72,824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73,661</w:t>
            </w: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Total minimum lease payments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141,211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143,602</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Imputed interest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35,236</w:t>
            </w: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Total lease liabilities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108,366</w:t>
            </w: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lease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13,526</w:t>
            </w:r>
          </w:p>
        </w:tc>
      </w:tr>
      <w:tr>
        <w:trPr>
          <w:trHeight w:val="210"/>
        </w:trPr>
        <w:tc>
          <w:tcPr>
            <w:tcW w:w="6460" w:type="dxa"/>
            <w:vAlign w:val="bottom"/>
          </w:tcPr>
          <w:p>
            <w:pPr>
              <w:ind w:left="20"/>
              <w:spacing w:after="0"/>
              <w:rPr>
                <w:sz w:val="20"/>
                <w:szCs w:val="20"/>
                <w:color w:val="auto"/>
              </w:rPr>
            </w:pPr>
            <w:r>
              <w:rPr>
                <w:rFonts w:ascii="Arial" w:cs="Arial" w:eastAsia="Arial" w:hAnsi="Arial"/>
                <w:sz w:val="16"/>
                <w:szCs w:val="16"/>
                <w:color w:val="auto"/>
              </w:rPr>
              <w:t>Long-term lease liabilities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94,840</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leases its manufacturing facility in Plainsboro, New Jersey, from a general partnership that is 50% owned by a corporation whose shareholders are trusts, whose beneficiaries include family members of the Company’s principal stockholder and former director. The term of the current lease agreement is through October 31, 2029 at an annual rate of approximately $0.3 million per year. The current lease agreement also provides (i) a 5-year renewal option for the Company to extend the lease from November 1, 2029 through October 31, 2034 at the fair market rental rate of the premises, and (ii) another 5-year renewal option to extend the lease from November 1, 2034 through October 31, 2039 at the fair market rental rate of the premises.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TREASURY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and December 31, 2020, there were 4.9 million shares of treasury stock outstanding with a cost of $234.4 million and $235.1 million, respectively, at a weighted average cost per share of $47.86.</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7, 2020, the Board of Directors of the Company (the "Board") authorized the Company to repurchase up to $225.0 million of the Company’s common stock. The program allows the Company to repurchase its shares opportunistically from time to time. The repurchase authorization expires in December 2022. The Company has $225.0 million remaining under the share repurchase of its common stock. The price and timing of any future purchases under the share repurchase program will depend on factors such as levels of cash generation from operations, the volume of stock option exercises by employees, cash requirements for acquisitions, dividends, economic and market conditions and stock price, and such repurchases may be discontinued at any time.</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twelve months ended December 31, 2020, the Company repurchased 2.1 million shares of Integra’s common stock as part of the previous share repurchase authorization. The Company utilized $100.0 million of net proceeds from the offering of the Convertible Senior Notes to execute the share repurchase transactions. This included $7.6 million from certain purchasers of the convertible notes in conjunction with the closing of the offering. On February 5, 2020, the Company entered into a $92.4 million accelerated share repurchase ("ASR") to complete the remaining $100.0 million of share repurchase. The Company received 1.3 million shares at inception of the ASR, which represented approximately 80% of the expected total shares. Upon settlement of the ASR in June 2020, the Company received an additional 0.6 million shares determined using the volume-weighted average price of the Company's common stock during the term of the transaction.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tcBorders>
              <w:bottom w:val="single" w:sz="8" w:color="auto"/>
            </w:tcBorders>
            <w:gridSpan w:val="3"/>
          </w:tcPr>
          <w:p>
            <w:pPr>
              <w:jc w:val="right"/>
              <w:ind w:right="604"/>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41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1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right"/>
              <w:ind w:right="62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700" w:type="dxa"/>
            <w:vAlign w:val="bottom"/>
          </w:tcPr>
          <w:p>
            <w:pPr>
              <w:jc w:val="right"/>
              <w:ind w:right="624"/>
              <w:spacing w:after="0"/>
              <w:rPr>
                <w:sz w:val="20"/>
                <w:szCs w:val="20"/>
                <w:color w:val="auto"/>
              </w:rPr>
            </w:pPr>
            <w:r>
              <w:rPr>
                <w:rFonts w:ascii="Arial" w:cs="Arial" w:eastAsia="Arial" w:hAnsi="Arial"/>
                <w:sz w:val="14"/>
                <w:szCs w:val="14"/>
                <w:b w:val="1"/>
                <w:bCs w:val="1"/>
                <w:color w:val="auto"/>
              </w:rPr>
              <w:t>2020</w:t>
            </w:r>
          </w:p>
        </w:tc>
      </w:tr>
      <w:tr>
        <w:trPr>
          <w:trHeight w:val="233"/>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Reported tax rate</w:t>
            </w: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24.6 %</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Company’s effective income tax rates for the three months ended September 30, 2021 and 2020 were 14.9% and 22.1%, respectively. For the three months ended September 30, 2021, the primary drivers of the tax rate are due to the jurisdictional mix of income and a benefit related to excess tax benefits from stock compensation. For the three months ended September 30, 2020, the primary drivers of the tax rate are due to the jurisdictional mix of income and a $4.2 million recognition of a deferred tax liability related to an outside tax basis from the sale of the Extremity Orthopedics business, offset by the reversal of $3.2 million valuation allowance on certain foreign deferred tax assets as the Company determined that it was more likely than not that these foreign deferred tax assets would be realized.</w:t>
      </w:r>
    </w:p>
    <w:p>
      <w:pPr>
        <w:spacing w:after="0" w:line="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effective income tax rates for the nine months ended September 30, 2021 and 2020 were 24.1% and 24.6%, respectively. For the nine months ended September 30, 2021, the primary drivers of the tax rate are due to the jurisdictional mix of income and a benefit related to excess tax benefits from stock compensation, offset by the tax impact of the gain on the sale of the Extremity and Orthopedics business which was completed during the first quarter of 2021. For the nine months ended September 30, 2020, the primary drivers of the tax rate are the jurisdictional mix of income and a $4.2 million recognition of a deferred tax liability related to an outside tax basis from the sale of the Extremity Orthopedics business.</w:t>
      </w:r>
    </w:p>
    <w:p>
      <w:pPr>
        <w:spacing w:after="0" w:line="40" w:lineRule="exact"/>
        <w:rPr>
          <w:sz w:val="20"/>
          <w:szCs w:val="20"/>
          <w:color w:val="auto"/>
        </w:rPr>
      </w:pPr>
    </w:p>
    <w:p>
      <w:pPr>
        <w:jc w:val="both"/>
        <w:spacing w:after="0"/>
        <w:rPr>
          <w:sz w:val="20"/>
          <w:szCs w:val="20"/>
          <w:color w:val="auto"/>
        </w:rPr>
      </w:pPr>
      <w:r>
        <w:rPr>
          <w:rFonts w:ascii="Arial" w:cs="Arial" w:eastAsia="Arial" w:hAnsi="Arial"/>
          <w:sz w:val="17"/>
          <w:szCs w:val="17"/>
          <w:color w:val="auto"/>
        </w:rPr>
        <w:t>Additionally, changes to income tax laws and regulations, in any of the tax jurisdictions in which the Company operates, could impact the effective tax rate. Various governments, both U.S. and non-U.S., are increasingly focused on tax reform and revenue-raising legislation. The current U.S. administration has proposed tax reform which, if enacted, would increase the Company’s U.S. federal income tax liability. Further, legislation in foreign jurisdictions may be enacted, in response to the base erosion and profit-shifting (BEPS) project begun by the Organization for Economic Cooperation and Development (OECD). The OECD recently finalized major reform of the international tax system with respect to a minimum tax rate. Such changes in U.S. and Non-U.S. jurisdictions could have an adverse effect on the Company’s effective tax rate.</w:t>
      </w:r>
    </w:p>
    <w:p>
      <w:pPr>
        <w:spacing w:after="0" w:line="69"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As of September 30, 2021, the Company has not provided deferred income taxes on unrepatriated earnings from foreign subsidiaries as they are deemed indefinitely reinvested unless there is a manner under which to remit the earnings with no material tax cost. Material taxes would primarily be attributable to foreign withholding taxes and local income taxes when such earnings are distributed. The Company will repatriate foreign earnings when there is no need for reinvestment overseas and no material tax cost to bring the earnings back to the United States. Reinvestment considerations would include future acquisitions, transactions, and capital expenditure plans. The Company does not anticipate the need to repatriate earnings from foreign subsidiaries as a result of the impact of the COVID-19 pandemic.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80" w:type="dxa"/>
            <w:vAlign w:val="bottom"/>
            <w:gridSpan w:val="4"/>
          </w:tcPr>
          <w:p>
            <w:pPr>
              <w:jc w:val="right"/>
              <w:ind w:right="318"/>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8"/>
        </w:trPr>
        <w:tc>
          <w:tcPr>
            <w:tcW w:w="20" w:type="dxa"/>
            <w:vAlign w:val="bottom"/>
            <w:tcBorders>
              <w:bottom w:val="single" w:sz="8" w:color="CCEEFF"/>
            </w:tcBorders>
          </w:tcPr>
          <w:p>
            <w:pPr>
              <w:spacing w:after="0"/>
              <w:rPr>
                <w:sz w:val="16"/>
                <w:szCs w:val="16"/>
                <w:color w:val="auto"/>
              </w:rPr>
            </w:pPr>
          </w:p>
        </w:tc>
        <w:tc>
          <w:tcPr>
            <w:tcW w:w="52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Dollars in thousands, except per share amounts</w:t>
            </w:r>
          </w:p>
        </w:tc>
        <w:tc>
          <w:tcPr>
            <w:tcW w:w="2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2020</w:t>
            </w: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spacing w:after="0" w:line="157" w:lineRule="exact"/>
              <w:rPr>
                <w:sz w:val="20"/>
                <w:szCs w:val="20"/>
                <w:color w:val="auto"/>
              </w:rPr>
            </w:pPr>
            <w:r>
              <w:rPr>
                <w:rFonts w:ascii="Arial" w:cs="Arial" w:eastAsia="Arial" w:hAnsi="Arial"/>
                <w:sz w:val="16"/>
                <w:szCs w:val="16"/>
                <w:b w:val="1"/>
                <w:bCs w:val="1"/>
                <w:color w:val="auto"/>
                <w:w w:val="89"/>
              </w:rPr>
              <w:t>Basic net income per share:</w:t>
            </w:r>
          </w:p>
        </w:tc>
        <w:tc>
          <w:tcPr>
            <w:tcW w:w="3340" w:type="dxa"/>
            <w:vAlign w:val="bottom"/>
            <w:tcBorders>
              <w:bottom w:val="single" w:sz="8" w:color="CCEEFF"/>
            </w:tcBorders>
            <w:gridSpan w:val="2"/>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43,229</w:t>
            </w:r>
          </w:p>
        </w:tc>
        <w:tc>
          <w:tcPr>
            <w:tcW w:w="10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32,337</w:t>
            </w:r>
          </w:p>
        </w:tc>
        <w:tc>
          <w:tcPr>
            <w:tcW w:w="1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123,691</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41,148</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84,325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84,745</w:t>
            </w:r>
          </w:p>
        </w:tc>
      </w:tr>
      <w:tr>
        <w:trPr>
          <w:trHeight w:val="257"/>
        </w:trPr>
        <w:tc>
          <w:tcPr>
            <w:tcW w:w="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w:t>
            </w:r>
          </w:p>
        </w:tc>
      </w:tr>
      <w:tr>
        <w:trPr>
          <w:trHeight w:val="257"/>
        </w:trPr>
        <w:tc>
          <w:tcPr>
            <w:tcW w:w="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0"/>
              </w:rPr>
              <w:t>Diluted net income per share:</w:t>
            </w:r>
          </w:p>
        </w:tc>
        <w:tc>
          <w:tcPr>
            <w:tcW w:w="3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43,229</w:t>
            </w:r>
          </w:p>
        </w:tc>
        <w:tc>
          <w:tcPr>
            <w:tcW w:w="1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32,337</w:t>
            </w:r>
          </w:p>
        </w:tc>
        <w:tc>
          <w:tcPr>
            <w:tcW w:w="1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123,691</w:t>
            </w:r>
          </w:p>
        </w:tc>
        <w:tc>
          <w:tcPr>
            <w:tcW w:w="10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41,148</w:t>
            </w:r>
          </w:p>
        </w:tc>
      </w:tr>
      <w:tr>
        <w:trPr>
          <w:trHeight w:val="259"/>
        </w:trPr>
        <w:tc>
          <w:tcPr>
            <w:tcW w:w="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6"/>
                <w:szCs w:val="16"/>
                <w:color w:val="auto"/>
              </w:rPr>
              <w:t>Weighted average common shares outstanding — Basic</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84,754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84,325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84,647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84,745</w:t>
            </w:r>
          </w:p>
        </w:tc>
      </w:tr>
      <w:tr>
        <w:trPr>
          <w:trHeight w:val="219"/>
        </w:trPr>
        <w:tc>
          <w:tcPr>
            <w:tcW w:w="20" w:type="dxa"/>
            <w:vAlign w:val="bottom"/>
            <w:shd w:val="clear" w:color="auto" w:fill="CCEEFF"/>
          </w:tcPr>
          <w:p>
            <w:pPr>
              <w:spacing w:after="0"/>
              <w:rPr>
                <w:sz w:val="19"/>
                <w:szCs w:val="19"/>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Effect of dilutive securities: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26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Stock options and restricted stock</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r>
      <w:tr>
        <w:trPr>
          <w:trHeight w:val="213"/>
        </w:trPr>
        <w:tc>
          <w:tcPr>
            <w:tcW w:w="20" w:type="dxa"/>
            <w:vAlign w:val="bottom"/>
            <w:shd w:val="clear" w:color="auto" w:fill="CCEEFF"/>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Weighted average common shares for diluted earnings per share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84,752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85,303</w:t>
            </w:r>
          </w:p>
        </w:tc>
      </w:tr>
      <w:tr>
        <w:trPr>
          <w:trHeight w:val="257"/>
        </w:trPr>
        <w:tc>
          <w:tcPr>
            <w:tcW w:w="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0.48</w:t>
            </w:r>
          </w:p>
        </w:tc>
      </w:tr>
    </w:tbl>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Common stock of approximately 0.1 million and 0.6 million shares at September 30, 2021, and 2020, respectively that are issuable through exercise of dilutive securities were not included in the computation of diluted net income per share because their effect would have been anti-dilutive.</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Performance Shares and Restricted Units that entitle the holders to approximately 0.5 million shares of common stock are included in the basic and diluted weighted average shares outstanding calculation from their date of issuance because no further consideration is due related to the issuance of the underlying common shares.</w:t>
      </w:r>
    </w:p>
    <w:p>
      <w:pPr>
        <w:spacing w:after="0" w:line="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adoption of ASU 2020-06, as the principal amount of the 2025 Notes will be paid in cash and only the conversion spread is settled in shares, the Company will be utilizing the if-converted method and only includes the net number of incremental shares that would be issued upon conversion.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nine months ended September 30, 2021 and 2020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860" w:type="dxa"/>
            <w:vAlign w:val="bottom"/>
            <w:gridSpan w:val="4"/>
          </w:tcPr>
          <w:p>
            <w:pPr>
              <w:jc w:val="right"/>
              <w:ind w:right="421"/>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2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r>
      <w:tr>
        <w:trPr>
          <w:trHeight w:val="211"/>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41,148</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(7,815)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21,181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(13,058)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24,801</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unrealized loss on derivatives, net of tax</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(39,814)</w:t>
            </w:r>
          </w:p>
        </w:tc>
      </w:tr>
      <w:tr>
        <w:trPr>
          <w:trHeight w:val="21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Pension liability adjustment, net of tax</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r>
      <w:tr>
        <w:trPr>
          <w:trHeight w:val="23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46,417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43,548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150,975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25,637</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Changes in accumulated other comprehensive loss by component between December 31, 2020 and September 30, 2021 are presented in the table below, net of tax:</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Gains and Losses</w:t>
            </w: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Defined Benefit</w:t>
            </w:r>
          </w:p>
        </w:tc>
        <w:tc>
          <w:tcPr>
            <w:tcW w:w="1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80" w:type="dxa"/>
            <w:vAlign w:val="bottom"/>
          </w:tcPr>
          <w:p>
            <w:pPr>
              <w:spacing w:after="0"/>
              <w:rPr>
                <w:sz w:val="14"/>
                <w:szCs w:val="14"/>
                <w:color w:val="auto"/>
              </w:rPr>
            </w:pPr>
          </w:p>
        </w:tc>
        <w:tc>
          <w:tcPr>
            <w:tcW w:w="9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628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9"/>
                <w:szCs w:val="9"/>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on Derivatives</w:t>
            </w:r>
          </w:p>
        </w:tc>
        <w:tc>
          <w:tcPr>
            <w:tcW w:w="120" w:type="dxa"/>
            <w:vAlign w:val="bottom"/>
          </w:tcPr>
          <w:p>
            <w:pPr>
              <w:spacing w:after="0"/>
              <w:rPr>
                <w:sz w:val="9"/>
                <w:szCs w:val="9"/>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Pension Items</w:t>
            </w: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Currency Items</w:t>
            </w:r>
          </w:p>
        </w:tc>
        <w:tc>
          <w:tcPr>
            <w:tcW w:w="2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6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January 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center"/>
              <w:ind w:left="381"/>
              <w:spacing w:after="0"/>
              <w:rPr>
                <w:sz w:val="20"/>
                <w:szCs w:val="20"/>
                <w:color w:val="auto"/>
              </w:rPr>
            </w:pPr>
            <w:r>
              <w:rPr>
                <w:rFonts w:ascii="Arial" w:cs="Arial" w:eastAsia="Arial" w:hAnsi="Arial"/>
                <w:sz w:val="16"/>
                <w:szCs w:val="16"/>
                <w:color w:val="auto"/>
                <w:w w:val="90"/>
              </w:rPr>
              <w:t>(82,249)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center"/>
              <w:ind w:left="221"/>
              <w:spacing w:after="0"/>
              <w:rPr>
                <w:sz w:val="20"/>
                <w:szCs w:val="20"/>
                <w:color w:val="auto"/>
              </w:rPr>
            </w:pPr>
            <w:r>
              <w:rPr>
                <w:rFonts w:ascii="Arial" w:cs="Arial" w:eastAsia="Arial" w:hAnsi="Arial"/>
                <w:sz w:val="16"/>
                <w:szCs w:val="16"/>
                <w:color w:val="auto"/>
                <w:w w:val="93"/>
              </w:rPr>
              <w:t>(74,059)</w:t>
            </w:r>
          </w:p>
        </w:tc>
        <w:tc>
          <w:tcPr>
            <w:tcW w:w="0" w:type="dxa"/>
            <w:vAlign w:val="bottom"/>
          </w:tcPr>
          <w:p>
            <w:pPr>
              <w:spacing w:after="0"/>
              <w:rPr>
                <w:sz w:val="1"/>
                <w:szCs w:val="1"/>
                <w:color w:val="auto"/>
              </w:rPr>
            </w:pPr>
          </w:p>
        </w:tc>
      </w:tr>
      <w:tr>
        <w:trPr>
          <w:trHeight w:val="213"/>
        </w:trPr>
        <w:tc>
          <w:tcPr>
            <w:tcW w:w="6280" w:type="dxa"/>
            <w:vAlign w:val="bottom"/>
          </w:tcPr>
          <w:p>
            <w:pPr>
              <w:ind w:left="220"/>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Pr>
          <w:p>
            <w:pPr>
              <w:spacing w:after="0"/>
              <w:rPr>
                <w:sz w:val="18"/>
                <w:szCs w:val="18"/>
                <w:color w:val="auto"/>
              </w:rPr>
            </w:pPr>
          </w:p>
        </w:tc>
        <w:tc>
          <w:tcPr>
            <w:tcW w:w="1080" w:type="dxa"/>
            <w:vAlign w:val="bottom"/>
          </w:tcPr>
          <w:p>
            <w:pPr>
              <w:jc w:val="center"/>
              <w:ind w:left="401"/>
              <w:spacing w:after="0"/>
              <w:rPr>
                <w:sz w:val="20"/>
                <w:szCs w:val="20"/>
                <w:color w:val="auto"/>
              </w:rPr>
            </w:pPr>
            <w:r>
              <w:rPr>
                <w:rFonts w:ascii="Arial" w:cs="Arial" w:eastAsia="Arial" w:hAnsi="Arial"/>
                <w:sz w:val="16"/>
                <w:szCs w:val="16"/>
                <w:color w:val="auto"/>
                <w:w w:val="89"/>
              </w:rPr>
              <w:t>60,497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center"/>
              <w:ind w:left="241"/>
              <w:spacing w:after="0"/>
              <w:rPr>
                <w:sz w:val="20"/>
                <w:szCs w:val="20"/>
                <w:color w:val="auto"/>
              </w:rPr>
            </w:pPr>
            <w:r>
              <w:rPr>
                <w:rFonts w:ascii="Arial" w:cs="Arial" w:eastAsia="Arial" w:hAnsi="Arial"/>
                <w:sz w:val="16"/>
                <w:szCs w:val="16"/>
                <w:color w:val="auto"/>
                <w:w w:val="93"/>
              </w:rPr>
              <w:t>47,706</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Less: Amounts reclassified from accumulated other comprehensive loss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01"/>
              <w:spacing w:after="0"/>
              <w:rPr>
                <w:sz w:val="20"/>
                <w:szCs w:val="20"/>
                <w:color w:val="auto"/>
              </w:rPr>
            </w:pPr>
            <w:r>
              <w:rPr>
                <w:rFonts w:ascii="Arial" w:cs="Arial" w:eastAsia="Arial" w:hAnsi="Arial"/>
                <w:sz w:val="16"/>
                <w:szCs w:val="16"/>
                <w:color w:val="auto"/>
                <w:w w:val="89"/>
              </w:rPr>
              <w:t>20,421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241"/>
              <w:spacing w:after="0"/>
              <w:rPr>
                <w:sz w:val="20"/>
                <w:szCs w:val="20"/>
                <w:color w:val="auto"/>
              </w:rPr>
            </w:pPr>
            <w:r>
              <w:rPr>
                <w:rFonts w:ascii="Arial" w:cs="Arial" w:eastAsia="Arial" w:hAnsi="Arial"/>
                <w:sz w:val="16"/>
                <w:szCs w:val="16"/>
                <w:color w:val="auto"/>
                <w:w w:val="93"/>
              </w:rPr>
              <w:t>20,421</w:t>
            </w: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Net current-period other comprehensive income (loss)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401"/>
              <w:spacing w:after="0"/>
              <w:rPr>
                <w:sz w:val="20"/>
                <w:szCs w:val="20"/>
                <w:color w:val="auto"/>
              </w:rPr>
            </w:pPr>
            <w:r>
              <w:rPr>
                <w:rFonts w:ascii="Arial" w:cs="Arial" w:eastAsia="Arial" w:hAnsi="Arial"/>
                <w:sz w:val="16"/>
                <w:szCs w:val="16"/>
                <w:color w:val="auto"/>
                <w:w w:val="89"/>
              </w:rPr>
              <w:t>40,076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241"/>
              <w:spacing w:after="0"/>
              <w:rPr>
                <w:sz w:val="20"/>
                <w:szCs w:val="20"/>
                <w:color w:val="auto"/>
              </w:rPr>
            </w:pPr>
            <w:r>
              <w:rPr>
                <w:rFonts w:ascii="Arial" w:cs="Arial" w:eastAsia="Arial" w:hAnsi="Arial"/>
                <w:sz w:val="16"/>
                <w:szCs w:val="16"/>
                <w:color w:val="auto"/>
                <w:w w:val="93"/>
              </w:rPr>
              <w:t>27,285</w:t>
            </w:r>
          </w:p>
        </w:tc>
        <w:tc>
          <w:tcPr>
            <w:tcW w:w="0" w:type="dxa"/>
            <w:vAlign w:val="bottom"/>
          </w:tcPr>
          <w:p>
            <w:pPr>
              <w:spacing w:after="0"/>
              <w:rPr>
                <w:sz w:val="1"/>
                <w:szCs w:val="1"/>
                <w:color w:val="auto"/>
              </w:rPr>
            </w:pPr>
          </w:p>
        </w:tc>
      </w:tr>
      <w:tr>
        <w:trPr>
          <w:trHeight w:val="23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center"/>
              <w:ind w:left="381"/>
              <w:spacing w:after="0"/>
              <w:rPr>
                <w:sz w:val="20"/>
                <w:szCs w:val="20"/>
                <w:color w:val="auto"/>
              </w:rPr>
            </w:pPr>
            <w:r>
              <w:rPr>
                <w:rFonts w:ascii="Arial" w:cs="Arial" w:eastAsia="Arial" w:hAnsi="Arial"/>
                <w:sz w:val="16"/>
                <w:szCs w:val="16"/>
                <w:color w:val="auto"/>
                <w:w w:val="90"/>
              </w:rPr>
              <w:t>(42,173)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center"/>
              <w:ind w:left="221"/>
              <w:spacing w:after="0"/>
              <w:rPr>
                <w:sz w:val="20"/>
                <w:szCs w:val="20"/>
                <w:color w:val="auto"/>
              </w:rPr>
            </w:pPr>
            <w:r>
              <w:rPr>
                <w:rFonts w:ascii="Arial" w:cs="Arial" w:eastAsia="Arial" w:hAnsi="Arial"/>
                <w:sz w:val="16"/>
                <w:szCs w:val="16"/>
                <w:color w:val="auto"/>
                <w:w w:val="93"/>
              </w:rPr>
              <w:t>(46,774)</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nine months ended September 30, 2021, the Company reclassified a gain of $29.5 million and a loss of $9.1 million from accumulated other comprehensive loss to other income, net and interest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AND GEOGRAPHIC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internally manages two global reportable segments and reports the results of its businesses to its chief operating decision maker.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two reportable segments and their activities are described below.</w:t>
      </w:r>
    </w:p>
    <w:p>
      <w:pPr>
        <w:spacing w:after="0" w:line="103" w:lineRule="exact"/>
        <w:rPr>
          <w:sz w:val="20"/>
          <w:szCs w:val="20"/>
          <w:color w:val="auto"/>
        </w:rPr>
      </w:pPr>
    </w:p>
    <w:p>
      <w:pPr>
        <w:ind w:left="660" w:right="2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instruments business, which sells more than 40,000 instrument patterns and surgical and lighting products to hospitals, surgery centers, dental, podiatry, and veterinary offices.</w:t>
      </w:r>
    </w:p>
    <w:p>
      <w:pPr>
        <w:spacing w:after="0" w:line="78" w:lineRule="exact"/>
        <w:rPr>
          <w:rFonts w:ascii="Arial" w:cs="Arial" w:eastAsia="Arial" w:hAnsi="Arial"/>
          <w:sz w:val="18"/>
          <w:szCs w:val="18"/>
          <w:color w:val="auto"/>
        </w:rPr>
      </w:pPr>
    </w:p>
    <w:p>
      <w:pPr>
        <w:ind w:left="660" w:right="32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Tissue Technologies segment includes such offerings as skin and wound repair, bone grafts, and nerve and tendon repair products. In conjunction with the sale of the Extremity Orthopedics business, the Company rebranded the Orthopedics and Tissue Technologies segment as Tissue Technologies in the first quarter of 2021.</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Corporate and other category includes (i) various executive, finance, human resource, information systems and legal functions, (ii) brand management, and (iii) share-based compensation costs.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each reportable segment for the three and nine months ended September 30, 2021 and 2020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32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42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2020</w:t>
            </w:r>
          </w:p>
        </w:tc>
      </w:tr>
      <w:tr>
        <w:trPr>
          <w:trHeight w:val="197"/>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Segment Net Sales</w:t>
            </w: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3"/>
        </w:trPr>
        <w:tc>
          <w:tcPr>
            <w:tcW w:w="3720" w:type="dxa"/>
            <w:vAlign w:val="bottom"/>
          </w:tcPr>
          <w:p>
            <w:pPr>
              <w:ind w:left="360"/>
              <w:spacing w:after="0"/>
              <w:rPr>
                <w:sz w:val="20"/>
                <w:szCs w:val="20"/>
                <w:color w:val="auto"/>
              </w:rPr>
            </w:pPr>
            <w:r>
              <w:rPr>
                <w:rFonts w:ascii="Arial" w:cs="Arial" w:eastAsia="Arial" w:hAnsi="Arial"/>
                <w:sz w:val="16"/>
                <w:szCs w:val="16"/>
                <w:color w:val="auto"/>
              </w:rPr>
              <w:t>Codman Specialty Surgical</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256,497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239,323</w:t>
            </w:r>
          </w:p>
        </w:tc>
        <w:tc>
          <w:tcPr>
            <w:tcW w:w="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754,575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640,541</w:t>
            </w:r>
          </w:p>
        </w:tc>
      </w:tr>
      <w:tr>
        <w:trPr>
          <w:trHeight w:val="219"/>
        </w:trPr>
        <w:tc>
          <w:tcPr>
            <w:tcW w:w="3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Tissue Technologies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130,364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130,909</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382,349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342,680</w:t>
            </w:r>
          </w:p>
        </w:tc>
      </w:tr>
      <w:tr>
        <w:trPr>
          <w:trHeight w:val="207"/>
        </w:trPr>
        <w:tc>
          <w:tcPr>
            <w:tcW w:w="3720" w:type="dxa"/>
            <w:vAlign w:val="bottom"/>
          </w:tcPr>
          <w:p>
            <w:pPr>
              <w:ind w:left="360"/>
              <w:spacing w:after="0"/>
              <w:rPr>
                <w:sz w:val="20"/>
                <w:szCs w:val="20"/>
                <w:color w:val="auto"/>
              </w:rPr>
            </w:pPr>
            <w:r>
              <w:rPr>
                <w:rFonts w:ascii="Arial" w:cs="Arial" w:eastAsia="Arial" w:hAnsi="Arial"/>
                <w:sz w:val="16"/>
                <w:szCs w:val="16"/>
                <w:color w:val="auto"/>
              </w:rPr>
              <w:t>Total revenues</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386,861</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370,232</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1,136,924</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983,221</w:t>
            </w: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6"/>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Segment Profit</w:t>
            </w: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13"/>
        </w:trPr>
        <w:tc>
          <w:tcPr>
            <w:tcW w:w="3720" w:type="dxa"/>
            <w:vAlign w:val="bottom"/>
          </w:tcPr>
          <w:p>
            <w:pPr>
              <w:ind w:left="360"/>
              <w:spacing w:after="0"/>
              <w:rPr>
                <w:sz w:val="20"/>
                <w:szCs w:val="20"/>
                <w:color w:val="auto"/>
              </w:rPr>
            </w:pPr>
            <w:r>
              <w:rPr>
                <w:rFonts w:ascii="Arial" w:cs="Arial" w:eastAsia="Arial" w:hAnsi="Arial"/>
                <w:sz w:val="16"/>
                <w:szCs w:val="16"/>
                <w:color w:val="auto"/>
              </w:rPr>
              <w:t>Codman Specialty Surgical</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110,686</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97,061</w:t>
            </w:r>
          </w:p>
        </w:tc>
        <w:tc>
          <w:tcPr>
            <w:tcW w:w="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331,460</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249,552</w:t>
            </w:r>
          </w:p>
        </w:tc>
      </w:tr>
      <w:tr>
        <w:trPr>
          <w:trHeight w:val="219"/>
        </w:trPr>
        <w:tc>
          <w:tcPr>
            <w:tcW w:w="3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Tissue Technologies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57,730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50,132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172,154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110,091</w:t>
            </w:r>
          </w:p>
        </w:tc>
      </w:tr>
      <w:tr>
        <w:trPr>
          <w:trHeight w:val="206"/>
        </w:trPr>
        <w:tc>
          <w:tcPr>
            <w:tcW w:w="3720" w:type="dxa"/>
            <w:vAlign w:val="bottom"/>
          </w:tcPr>
          <w:p>
            <w:pPr>
              <w:ind w:left="360"/>
              <w:spacing w:after="0"/>
              <w:rPr>
                <w:sz w:val="20"/>
                <w:szCs w:val="20"/>
                <w:color w:val="auto"/>
              </w:rPr>
            </w:pPr>
            <w:r>
              <w:rPr>
                <w:rFonts w:ascii="Arial" w:cs="Arial" w:eastAsia="Arial" w:hAnsi="Arial"/>
                <w:sz w:val="16"/>
                <w:szCs w:val="16"/>
                <w:color w:val="auto"/>
              </w:rPr>
              <w:t>Segment profit</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168,416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147,193</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503,614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359,643</w:t>
            </w:r>
          </w:p>
        </w:tc>
      </w:tr>
      <w:tr>
        <w:trPr>
          <w:trHeight w:val="219"/>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(23,393)</w:t>
            </w:r>
          </w:p>
        </w:tc>
      </w:tr>
      <w:tr>
        <w:trPr>
          <w:trHeight w:val="213"/>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and other</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(107,864)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(81,308)</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(351,769)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(237,525)</w:t>
            </w:r>
          </w:p>
        </w:tc>
      </w:tr>
      <w:tr>
        <w:trPr>
          <w:trHeight w:val="235"/>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56,439</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57,542</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139,007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98,725</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allocate any assets to the reportable segments. No asset information is reported to the chief operating decision maker and disclosed in the financial information for each segment.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attributes revenues to geographic areas based on the location of the customer. Total revenue by major geographic area consisted of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Three Months Ended September 30,</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2020</w:t>
            </w:r>
          </w:p>
        </w:tc>
      </w:tr>
      <w:tr>
        <w:trPr>
          <w:trHeight w:val="211"/>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160" w:type="dxa"/>
            <w:vAlign w:val="bottom"/>
            <w:shd w:val="clear" w:color="auto" w:fill="CCEEFF"/>
          </w:tcPr>
          <w:p>
            <w:pPr>
              <w:jc w:val="right"/>
              <w:ind w:right="984"/>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275,775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266,477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801,754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695,179</w:t>
            </w:r>
          </w:p>
        </w:tc>
      </w:tr>
      <w:tr>
        <w:trPr>
          <w:trHeight w:val="213"/>
        </w:trPr>
        <w:tc>
          <w:tcPr>
            <w:tcW w:w="3560" w:type="dxa"/>
            <w:vAlign w:val="bottom"/>
          </w:tcPr>
          <w:p>
            <w:pPr>
              <w:ind w:left="20"/>
              <w:spacing w:after="0"/>
              <w:rPr>
                <w:sz w:val="20"/>
                <w:szCs w:val="20"/>
                <w:color w:val="auto"/>
              </w:rPr>
            </w:pPr>
            <w:r>
              <w:rPr>
                <w:rFonts w:ascii="Arial" w:cs="Arial" w:eastAsia="Arial" w:hAnsi="Arial"/>
                <w:sz w:val="16"/>
                <w:szCs w:val="16"/>
                <w:color w:val="auto"/>
              </w:rPr>
              <w:t>Europe</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46,458</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45,995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140,714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123,917</w:t>
            </w:r>
          </w:p>
        </w:tc>
      </w:tr>
      <w:tr>
        <w:trPr>
          <w:trHeight w:val="219"/>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45,015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40,473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136,616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113,934</w:t>
            </w:r>
          </w:p>
        </w:tc>
      </w:tr>
      <w:tr>
        <w:trPr>
          <w:trHeight w:val="213"/>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 of World</w:t>
            </w:r>
          </w:p>
        </w:tc>
        <w:tc>
          <w:tcPr>
            <w:tcW w:w="1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19,613</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17,287</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57,840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50,191</w:t>
            </w:r>
          </w:p>
        </w:tc>
      </w:tr>
      <w:tr>
        <w:trPr>
          <w:trHeight w:val="234"/>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160" w:type="dxa"/>
            <w:vAlign w:val="bottom"/>
            <w:tcBorders>
              <w:bottom w:val="single" w:sz="8" w:color="auto"/>
            </w:tcBorders>
            <w:shd w:val="clear" w:color="auto" w:fill="CCEEFF"/>
          </w:tcPr>
          <w:p>
            <w:pPr>
              <w:jc w:val="right"/>
              <w:ind w:right="984"/>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386,861</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8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370,232</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1,136,924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983,221</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consideration for certain technology, manufacturing, distribution,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determined the fair value of contingent consideration during the nine month period ended September 30, 2021 and September 30, 2020 to reflect the change in estimates, additions, payments, transfers and the time value of money during the period.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opening balances to the closing balances of these Level 3 measurements for the nine months ended September 30,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is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80" w:type="dxa"/>
            <w:vAlign w:val="bottom"/>
            <w:gridSpan w:val="9"/>
          </w:tcPr>
          <w:p>
            <w:pPr>
              <w:jc w:val="center"/>
              <w:spacing w:after="0"/>
              <w:rPr>
                <w:sz w:val="20"/>
                <w:szCs w:val="20"/>
                <w:color w:val="auto"/>
              </w:rPr>
            </w:pPr>
            <w:r>
              <w:rPr>
                <w:rFonts w:ascii="Arial" w:cs="Arial" w:eastAsia="Arial" w:hAnsi="Arial"/>
                <w:sz w:val="14"/>
                <w:szCs w:val="14"/>
                <w:b w:val="1"/>
                <w:bCs w:val="1"/>
                <w:color w:val="auto"/>
                <w:w w:val="93"/>
              </w:rPr>
              <w:t>Contingent Consideration Liability Related to Acquisition of:</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Location in</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Location in Financial</w:t>
            </w:r>
          </w:p>
        </w:tc>
        <w:tc>
          <w:tcPr>
            <w:tcW w:w="0" w:type="dxa"/>
            <w:vAlign w:val="bottom"/>
          </w:tcPr>
          <w:p>
            <w:pPr>
              <w:spacing w:after="0"/>
              <w:rPr>
                <w:sz w:val="1"/>
                <w:szCs w:val="1"/>
                <w:color w:val="auto"/>
              </w:rPr>
            </w:pPr>
          </w:p>
        </w:tc>
      </w:tr>
      <w:tr>
        <w:trPr>
          <w:trHeight w:val="68"/>
        </w:trPr>
        <w:tc>
          <w:tcPr>
            <w:tcW w:w="3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Arkis</w:t>
            </w: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Financial</w:t>
            </w:r>
          </w:p>
        </w:tc>
        <w:tc>
          <w:tcPr>
            <w:tcW w:w="11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Derma Sciences</w:t>
            </w:r>
          </w:p>
        </w:tc>
        <w:tc>
          <w:tcPr>
            <w:tcW w:w="140" w:type="dxa"/>
            <w:vAlign w:val="bottom"/>
          </w:tcPr>
          <w:p>
            <w:pPr>
              <w:spacing w:after="0"/>
              <w:rPr>
                <w:sz w:val="5"/>
                <w:szCs w:val="5"/>
                <w:color w:val="auto"/>
              </w:rPr>
            </w:pPr>
          </w:p>
        </w:tc>
        <w:tc>
          <w:tcPr>
            <w:tcW w:w="96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7"/>
              </w:rPr>
              <w:t>ACell Inc.</w:t>
            </w:r>
          </w:p>
        </w:tc>
        <w:tc>
          <w:tcPr>
            <w:tcW w:w="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2021</w:t>
            </w:r>
          </w:p>
        </w:tc>
        <w:tc>
          <w:tcPr>
            <w:tcW w:w="14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Statements</w:t>
            </w:r>
          </w:p>
        </w:tc>
        <w:tc>
          <w:tcPr>
            <w:tcW w:w="0" w:type="dxa"/>
            <w:vAlign w:val="bottom"/>
          </w:tcPr>
          <w:p>
            <w:pPr>
              <w:spacing w:after="0"/>
              <w:rPr>
                <w:sz w:val="1"/>
                <w:szCs w:val="1"/>
                <w:color w:val="auto"/>
              </w:rPr>
            </w:pPr>
          </w:p>
        </w:tc>
      </w:tr>
      <w:tr>
        <w:trPr>
          <w:trHeight w:val="162"/>
        </w:trPr>
        <w:tc>
          <w:tcPr>
            <w:tcW w:w="3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Statements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22"/>
              <w:spacing w:after="0"/>
              <w:rPr>
                <w:sz w:val="20"/>
                <w:szCs w:val="20"/>
                <w:color w:val="auto"/>
              </w:rPr>
            </w:pPr>
            <w:r>
              <w:rPr>
                <w:rFonts w:ascii="Arial" w:cs="Arial" w:eastAsia="Arial" w:hAnsi="Arial"/>
                <w:sz w:val="14"/>
                <w:szCs w:val="14"/>
                <w:b w:val="1"/>
                <w:bCs w:val="1"/>
                <w:color w:val="auto"/>
                <w:w w:val="91"/>
              </w:rPr>
              <w:t>(See Note 2)</w:t>
            </w: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4"/>
                <w:szCs w:val="14"/>
                <w:b w:val="1"/>
                <w:bCs w:val="1"/>
                <w:color w:val="auto"/>
              </w:rPr>
              <w:t>Short-term</w:t>
            </w: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4"/>
                <w:szCs w:val="14"/>
                <w:b w:val="1"/>
                <w:bCs w:val="1"/>
                <w:color w:val="auto"/>
              </w:rPr>
              <w:t>Long-term</w:t>
            </w:r>
          </w:p>
        </w:tc>
        <w:tc>
          <w:tcPr>
            <w:tcW w:w="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4"/>
                <w:szCs w:val="14"/>
                <w:b w:val="1"/>
                <w:bCs w:val="1"/>
                <w:color w:val="auto"/>
              </w:rPr>
              <w:t>Long-term</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center"/>
              <w:ind w:right="62"/>
              <w:spacing w:after="0"/>
              <w:rPr>
                <w:sz w:val="20"/>
                <w:szCs w:val="20"/>
                <w:color w:val="auto"/>
              </w:rPr>
            </w:pPr>
            <w:r>
              <w:rPr>
                <w:rFonts w:ascii="Arial" w:cs="Arial" w:eastAsia="Arial" w:hAnsi="Arial"/>
                <w:sz w:val="14"/>
                <w:szCs w:val="14"/>
                <w:b w:val="1"/>
                <w:bCs w:val="1"/>
                <w:color w:val="auto"/>
                <w:w w:val="95"/>
              </w:rPr>
              <w:t>Long-term</w:t>
            </w:r>
          </w:p>
        </w:tc>
        <w:tc>
          <w:tcPr>
            <w:tcW w:w="8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Balance as of January 1, 2021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3,415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11,746</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Additions from acquisition of ACell</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23,900</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Transfers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3,415</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Change in fair value of contingent consideration</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Research and</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Selling, general and</w:t>
            </w:r>
          </w:p>
        </w:tc>
        <w:tc>
          <w:tcPr>
            <w:tcW w:w="0" w:type="dxa"/>
            <w:vAlign w:val="bottom"/>
          </w:tcPr>
          <w:p>
            <w:pPr>
              <w:spacing w:after="0"/>
              <w:rPr>
                <w:sz w:val="1"/>
                <w:szCs w:val="1"/>
                <w:color w:val="auto"/>
              </w:rPr>
            </w:pPr>
          </w:p>
        </w:tc>
      </w:tr>
      <w:tr>
        <w:trPr>
          <w:trHeight w:val="209"/>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development</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administrative</w:t>
            </w:r>
          </w:p>
        </w:tc>
        <w:tc>
          <w:tcPr>
            <w:tcW w:w="0" w:type="dxa"/>
            <w:vAlign w:val="bottom"/>
          </w:tcPr>
          <w:p>
            <w:pPr>
              <w:spacing w:after="0"/>
              <w:rPr>
                <w:sz w:val="1"/>
                <w:szCs w:val="1"/>
                <w:color w:val="auto"/>
              </w:rPr>
            </w:pPr>
          </w:p>
        </w:tc>
      </w:tr>
      <w:tr>
        <w:trPr>
          <w:trHeight w:val="213"/>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Balance as of September 30, 2021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14,617</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23,000</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00" w:type="dxa"/>
            <w:vAlign w:val="bottom"/>
            <w:gridSpan w:val="4"/>
          </w:tcPr>
          <w:p>
            <w:pPr>
              <w:jc w:val="right"/>
              <w:spacing w:after="0"/>
              <w:rPr>
                <w:sz w:val="20"/>
                <w:szCs w:val="20"/>
                <w:color w:val="auto"/>
              </w:rPr>
            </w:pPr>
            <w:r>
              <w:rPr>
                <w:rFonts w:ascii="Arial" w:cs="Arial" w:eastAsia="Arial" w:hAnsi="Arial"/>
                <w:sz w:val="14"/>
                <w:szCs w:val="14"/>
                <w:b w:val="1"/>
                <w:bCs w:val="1"/>
                <w:color w:val="auto"/>
              </w:rPr>
              <w:t>Contingent Consideration Liability Related to Acquisition of:</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88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 September 30, 2020</w:t>
            </w:r>
          </w:p>
        </w:tc>
        <w:tc>
          <w:tcPr>
            <w:tcW w:w="1540" w:type="dxa"/>
            <w:vAlign w:val="bottom"/>
          </w:tcPr>
          <w:p>
            <w:pPr>
              <w:jc w:val="right"/>
              <w:ind w:right="204"/>
              <w:spacing w:after="0"/>
              <w:rPr>
                <w:sz w:val="20"/>
                <w:szCs w:val="20"/>
                <w:color w:val="auto"/>
              </w:rPr>
            </w:pPr>
            <w:r>
              <w:rPr>
                <w:rFonts w:ascii="Arial" w:cs="Arial" w:eastAsia="Arial" w:hAnsi="Arial"/>
                <w:sz w:val="14"/>
                <w:szCs w:val="14"/>
                <w:b w:val="1"/>
                <w:bCs w:val="1"/>
                <w:color w:val="auto"/>
              </w:rPr>
              <w:t>Arkis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jc w:val="right"/>
              <w:ind w:right="204"/>
              <w:spacing w:after="0"/>
              <w:rPr>
                <w:sz w:val="20"/>
                <w:szCs w:val="20"/>
                <w:color w:val="auto"/>
              </w:rPr>
            </w:pPr>
            <w:r>
              <w:rPr>
                <w:rFonts w:ascii="Arial" w:cs="Arial" w:eastAsia="Arial" w:hAnsi="Arial"/>
                <w:sz w:val="14"/>
                <w:szCs w:val="14"/>
                <w:b w:val="1"/>
                <w:bCs w:val="1"/>
                <w:color w:val="auto"/>
              </w:rPr>
              <w:t>Derma Sciences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ind w:left="400"/>
              <w:spacing w:after="0"/>
              <w:rPr>
                <w:sz w:val="20"/>
                <w:szCs w:val="20"/>
                <w:color w:val="auto"/>
              </w:rPr>
            </w:pPr>
            <w:r>
              <w:rPr>
                <w:rFonts w:ascii="Arial" w:cs="Arial" w:eastAsia="Arial" w:hAnsi="Arial"/>
                <w:sz w:val="14"/>
                <w:szCs w:val="14"/>
                <w:b w:val="1"/>
                <w:bCs w:val="1"/>
                <w:color w:val="auto"/>
              </w:rPr>
              <w:t>Location in Financial Statements</w:t>
            </w:r>
          </w:p>
        </w:tc>
        <w:tc>
          <w:tcPr>
            <w:tcW w:w="0" w:type="dxa"/>
            <w:vAlign w:val="bottom"/>
          </w:tcPr>
          <w:p>
            <w:pPr>
              <w:spacing w:after="0"/>
              <w:rPr>
                <w:sz w:val="1"/>
                <w:szCs w:val="1"/>
                <w:color w:val="auto"/>
              </w:rPr>
            </w:pPr>
          </w:p>
        </w:tc>
      </w:tr>
      <w:tr>
        <w:trPr>
          <w:trHeight w:val="188"/>
        </w:trPr>
        <w:tc>
          <w:tcPr>
            <w:tcW w:w="3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4"/>
                <w:szCs w:val="14"/>
                <w:b w:val="1"/>
                <w:bCs w:val="1"/>
                <w:color w:val="auto"/>
              </w:rPr>
              <w:t>Long-term</w:t>
            </w:r>
          </w:p>
        </w:tc>
        <w:tc>
          <w:tcPr>
            <w:tcW w:w="6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bottom w:val="single" w:sz="8" w:color="auto"/>
            </w:tcBorders>
            <w:shd w:val="clear" w:color="auto" w:fill="CCEEFF"/>
          </w:tcPr>
          <w:p>
            <w:pPr>
              <w:jc w:val="right"/>
              <w:ind w:right="344"/>
              <w:spacing w:after="0"/>
              <w:rPr>
                <w:sz w:val="20"/>
                <w:szCs w:val="20"/>
                <w:color w:val="auto"/>
              </w:rPr>
            </w:pPr>
            <w:r>
              <w:rPr>
                <w:rFonts w:ascii="Arial" w:cs="Arial" w:eastAsia="Arial" w:hAnsi="Arial"/>
                <w:sz w:val="14"/>
                <w:szCs w:val="14"/>
                <w:b w:val="1"/>
                <w:bCs w:val="1"/>
                <w:color w:val="auto"/>
              </w:rPr>
              <w:t>Long-term</w:t>
            </w: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880" w:type="dxa"/>
            <w:vAlign w:val="bottom"/>
            <w:gridSpan w:val="2"/>
          </w:tcPr>
          <w:p>
            <w:pPr>
              <w:ind w:left="20"/>
              <w:spacing w:after="0"/>
              <w:rPr>
                <w:sz w:val="20"/>
                <w:szCs w:val="20"/>
                <w:color w:val="auto"/>
              </w:rPr>
            </w:pPr>
            <w:r>
              <w:rPr>
                <w:rFonts w:ascii="Arial" w:cs="Arial" w:eastAsia="Arial" w:hAnsi="Arial"/>
                <w:sz w:val="16"/>
                <w:szCs w:val="16"/>
                <w:color w:val="auto"/>
              </w:rPr>
              <w:t>Balance as of January 1, 2020</w:t>
            </w:r>
          </w:p>
        </w:tc>
        <w:tc>
          <w:tcPr>
            <w:tcW w:w="1540" w:type="dxa"/>
            <w:vAlign w:val="bottom"/>
          </w:tcPr>
          <w:p>
            <w:pPr>
              <w:jc w:val="right"/>
              <w:ind w:right="1364"/>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14,210</w:t>
            </w:r>
          </w:p>
        </w:tc>
        <w:tc>
          <w:tcPr>
            <w:tcW w:w="100" w:type="dxa"/>
            <w:vAlign w:val="bottom"/>
          </w:tcPr>
          <w:p>
            <w:pPr>
              <w:spacing w:after="0"/>
              <w:rPr>
                <w:sz w:val="17"/>
                <w:szCs w:val="17"/>
                <w:color w:val="auto"/>
              </w:rPr>
            </w:pPr>
          </w:p>
        </w:tc>
        <w:tc>
          <w:tcPr>
            <w:tcW w:w="1840" w:type="dxa"/>
            <w:vAlign w:val="bottom"/>
          </w:tcPr>
          <w:p>
            <w:pPr>
              <w:jc w:val="right"/>
              <w:ind w:right="1664"/>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w w:val="89"/>
              </w:rPr>
              <w:t>230</w:t>
            </w:r>
          </w:p>
        </w:tc>
        <w:tc>
          <w:tcPr>
            <w:tcW w:w="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8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Change in fair value of contingent consideration</w:t>
            </w:r>
          </w:p>
        </w:tc>
        <w:tc>
          <w:tcPr>
            <w:tcW w:w="15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260" w:type="dxa"/>
            <w:vAlign w:val="bottom"/>
            <w:gridSpan w:val="3"/>
            <w:vMerge w:val="restart"/>
            <w:shd w:val="clear" w:color="auto" w:fill="CCEEFF"/>
          </w:tcPr>
          <w:p>
            <w:pPr>
              <w:ind w:left="100"/>
              <w:spacing w:after="0"/>
              <w:rPr>
                <w:sz w:val="20"/>
                <w:szCs w:val="20"/>
                <w:color w:val="auto"/>
              </w:rPr>
            </w:pPr>
            <w:r>
              <w:rPr>
                <w:rFonts w:ascii="Arial" w:cs="Arial" w:eastAsia="Arial" w:hAnsi="Arial"/>
                <w:sz w:val="16"/>
                <w:szCs w:val="16"/>
                <w:color w:val="auto"/>
              </w:rPr>
              <w:t>—  Research and development</w:t>
            </w:r>
          </w:p>
        </w:tc>
        <w:tc>
          <w:tcPr>
            <w:tcW w:w="0" w:type="dxa"/>
            <w:vAlign w:val="bottom"/>
          </w:tcPr>
          <w:p>
            <w:pPr>
              <w:spacing w:after="0"/>
              <w:rPr>
                <w:sz w:val="1"/>
                <w:szCs w:val="1"/>
                <w:color w:val="auto"/>
              </w:rPr>
            </w:pPr>
          </w:p>
        </w:tc>
      </w:tr>
      <w:tr>
        <w:trPr>
          <w:trHeight w:val="209"/>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5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26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80" w:type="dxa"/>
            <w:vAlign w:val="bottom"/>
            <w:gridSpan w:val="2"/>
          </w:tcPr>
          <w:p>
            <w:pPr>
              <w:ind w:left="20"/>
              <w:spacing w:after="0"/>
              <w:rPr>
                <w:sz w:val="20"/>
                <w:szCs w:val="20"/>
                <w:color w:val="auto"/>
              </w:rPr>
            </w:pPr>
            <w:r>
              <w:rPr>
                <w:rFonts w:ascii="Arial" w:cs="Arial" w:eastAsia="Arial" w:hAnsi="Arial"/>
                <w:sz w:val="16"/>
                <w:szCs w:val="16"/>
                <w:color w:val="auto"/>
              </w:rPr>
              <w:t>Balance as of September 30, 2020</w:t>
            </w:r>
          </w:p>
        </w:tc>
        <w:tc>
          <w:tcPr>
            <w:tcW w:w="1540" w:type="dxa"/>
            <w:vAlign w:val="bottom"/>
            <w:tcBorders>
              <w:top w:val="single" w:sz="8" w:color="auto"/>
              <w:bottom w:val="single" w:sz="8" w:color="auto"/>
            </w:tcBorders>
          </w:tcPr>
          <w:p>
            <w:pPr>
              <w:jc w:val="right"/>
              <w:ind w:right="1364"/>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14,165</w:t>
            </w:r>
          </w:p>
        </w:tc>
        <w:tc>
          <w:tcPr>
            <w:tcW w:w="100" w:type="dxa"/>
            <w:vAlign w:val="bottom"/>
          </w:tcPr>
          <w:p>
            <w:pPr>
              <w:spacing w:after="0"/>
              <w:rPr>
                <w:sz w:val="18"/>
                <w:szCs w:val="18"/>
                <w:color w:val="auto"/>
              </w:rPr>
            </w:pPr>
          </w:p>
        </w:tc>
        <w:tc>
          <w:tcPr>
            <w:tcW w:w="1840" w:type="dxa"/>
            <w:vAlign w:val="bottom"/>
            <w:tcBorders>
              <w:top w:val="single" w:sz="8" w:color="auto"/>
              <w:bottom w:val="single" w:sz="8" w:color="auto"/>
            </w:tcBorders>
          </w:tcPr>
          <w:p>
            <w:pPr>
              <w:jc w:val="right"/>
              <w:ind w:right="1664"/>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230</w:t>
            </w: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Arkis BioSciences Inc.</w:t>
      </w:r>
    </w:p>
    <w:p>
      <w:pPr>
        <w:spacing w:after="0" w:line="1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July 29, 2019, the Company acquired Arkis BioSciences Inc. ("Arkis") for an acquisition purchase price of $30.6 million (the "Arkis Acquisition") plus contingent consideration of up to $25.5 million, that may be payable based on the successful completion of certain development and commercial milestones. Arkis was a privately-held company that marketed the CerebroFlo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external ventricular drainage catheter with Endexo® technology, a permanent additive designed to reduce the potential for catheter obstruction due to thrombus formation.</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part of the acquisition, the Company is required to pay the former shareholders of Arkis up to $25.5 million based on the timing of certain development milestones of $10.0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 The estimated fair value as of September 30, 2021 and September 30, 2020 was $14.6 million and $14.2 million, respectively. The Company recorded $14.6 million and $14.2 million in other liabilities at September 30, 2021 and September 30, 2020, respectively, in the consolidated balance sheet of the Company.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Derma Sciences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assumed contingent consideration incurred by Derma Sciences, Inc. ("Derma Sciences") related to its acquisitions of BioD and the intellectual property related to Medihoney products. The Company accounted for the contingent liabilities by recording their fair value on the date of the acquisition based on a probability weighted income approach. The Company has already paid $33.3 million related to the aforementioned contingent liabilities. One contingent liability remains which relates to net sales of Medihoney™ products exceeding certain amounts defined in the agreement between the Company and Derma Sciences. The potential maximum undiscounted payment amounts to $3.0 million. The estimated fair value as of September 30, 2021 and September 30, 2020 was $0.2 million.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and analysis of the Company's financial condition and results of operations should be read in conjunction with our condensed consolidated financial statements and the related notes thereto appearing elsewhere in this report and our consolidated financial statements for the year ended December 31, 2020 included in our Annual Report on Form 10-K.</w:t>
      </w:r>
    </w:p>
    <w:p>
      <w:pPr>
        <w:spacing w:after="0" w:line="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made statements in this report which constitute forward-looking statements within the meaning of Section 27A of the Securities Act of 1933, as amended and Section 21E of the Securities Exchange Act of 1934 (the “Exchange Act”). These forward-looking statements are subject to a number of risks, uncertainties and assumptions about the Company and other matters. These forward-looking statements include, but are not limited to, statements related to the Company's expectations regarding the potential impacts of the COVID-19 pandemic on our business, financial condition, and results of operations. These statements should, therefore, be considered in light of various important factors, including, but not limited to, the following: the Company's ability to recover to normalized procedure volume in the midst of the COVID-19 pandemic; the risk that the COVID-19 pandemic could lead to further material delays and cancellations of, or reduced demand for, procedures; delayed capital spending by the Company's customers; disruption and/or higher costs to the Company’s supply chain; staffing shortages in hospitals; labor impacts in our facilities; delays in gathering clinical evidence; diversion of management and other resources to respond to the COVID-19 outbreak; the impact of global and regional economic and credit market conditions on healthcare spending; the risk that the COVID-19 virus disrupts local economies and causes economies in our key markets to enter prolonged recessions. The Company's actual results could differ materially from those anticipated in these forward-looking statements as a result of many factors, including but not limited to those set forth under the heading “Risk Factors” in our Annual Report on Form 10-K for the year ended December 31, 2020, under the heading "Risk Factors" in this report, and in other filings with the SEC. We undertake no obligation to publicly update or revise any forward-looking statements, whether as a result of new information, future events or otherwise, except to the extent required by applicable law.</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“might,” “could,” “will,” “estimate,” “continue,” “anticipate,” “intend,” “seek,” “plan,” “expect,” “should,” “would” and similar expressions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Integra, headquartered in Princeton, New Jersey, is a world leader in medical technology. The Company was founded in 1989 with the acquisition of an engineered collagen technology platform used to repair and regenerate tissue. Since then, Integra has developed numerous product lines from this technology for applications ranging from burn and deep tissue wounds, to the repair of dura mater in the brain, as well as nerves and tendons. The Company has expanded its base regenerative technology business to include surgical instruments, neurosurgical products and advanced wound care through a combination of several global acquisitions and development of products internally to further meet the needs of its customers and impact patient care.</w:t>
      </w:r>
    </w:p>
    <w:p>
      <w:pPr>
        <w:spacing w:after="0" w:line="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Integra manufactures and sells products in two reportable business segments: Codman Specialty Surgical and Tissue Technologies. Following the sale of the Extremity and Orthopedics business in the first quarter of 2021, the Company rebranded the Orthopedics and Tissue Technologies segment as Tissue Technologies. See Note 2. </w:t>
      </w:r>
      <w:r>
        <w:rPr>
          <w:rFonts w:ascii="Arial" w:cs="Arial" w:eastAsia="Arial" w:hAnsi="Arial"/>
          <w:sz w:val="17"/>
          <w:szCs w:val="17"/>
          <w:i w:val="1"/>
          <w:iCs w:val="1"/>
          <w:color w:val="auto"/>
        </w:rPr>
        <w:t>Acquisitions and Divestitures,</w:t>
      </w:r>
      <w:r>
        <w:rPr>
          <w:rFonts w:ascii="Arial" w:cs="Arial" w:eastAsia="Arial" w:hAnsi="Arial"/>
          <w:sz w:val="17"/>
          <w:szCs w:val="17"/>
          <w:color w:val="auto"/>
        </w:rPr>
        <w:t xml:space="preserve"> for details. Our Codman Specialty Surgical products comprise of specialty surgical implants and instrumentation for a broad range of specialties. This segment includes products and solutions for dural access and repair, instruments, advanced energy, cerebral spinal fluid management and neuro monitoring including market leading product portfolios used in neurosurgery operation suites and critical care units. Codman Specialty Surgical products are sold through a combination of directly employed sales representatives, distributors and wholesalers, depending on the customer call point. Our Tissue Technologies product portfolios consist of differentiated regenerative technology products for soft tissue repair and tissue regeneration products, and surgical reconstruction. This business also includes private label sales of a broad set of our regenerative and wound care medicine technologies. Tissue Technologies products are sold through directly employed sales representatives and distributors focused on their respective surgical specialties, and strategic partners.</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key manufacturing and research facilities located in California, Indiana, Maryland, Massachusetts, New Jersey, Ohio, Tennessee, Canada, France, Germany, Ireland, Puerto Rico and Switzerland. We also source most of our handheld surgical instruments, and dural sealant products through specialized third-party vendors.</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Integra is committed to delivering high quality products that positively impact the lives of millions of patients and their families. We focus on four key pillars of our strategy: 1) enabling an execution-focused culture, 2) optimizing relevant scale, 3) advancing innovation and agility, and 4) leading in customer experience. We believe that by sharpening our focus on these areas through improved planning and communication, optimization of our infrastructure, and strategically aligned tuck-in acquisitions, we can build scale, increase competitiveness and achieve our long-term goals.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To this end, the executive leadership team has established the following key priorities aligned to the following areas of focus: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Strategic Acquisitions. </w:t>
      </w:r>
      <w:r>
        <w:rPr>
          <w:rFonts w:ascii="Arial" w:cs="Arial" w:eastAsia="Arial" w:hAnsi="Arial"/>
          <w:sz w:val="16"/>
          <w:szCs w:val="16"/>
          <w:color w:val="auto"/>
        </w:rPr>
        <w:t>An important part of the Company's strategy is pursuing strategic transactions and licensing agreements that increase relevant scale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the clinical areas in which Integra competes. In December 2020, Integra entered into a merger agreement to acquire ACell, Inc., an innovative regenerative medicine company specializing in the manufacture of porcine urinary bladder extracellular matrices. This acquisition, which closed on January 20, 2021, expands our product offering of regenerative technology and is complementary to Integra’s existing tissue technologies portfolio. The acquisition also supports our long-term growth and profitability strategy with a financial profile similar to Integra’s tissue products. To date, all critical components of ACell Inc. integrating into our Tissue Technologies business have been completed ahead of schedule. See Note 2, </w:t>
      </w:r>
      <w:r>
        <w:rPr>
          <w:rFonts w:ascii="Arial" w:cs="Arial" w:eastAsia="Arial" w:hAnsi="Arial"/>
          <w:sz w:val="16"/>
          <w:szCs w:val="16"/>
          <w:i w:val="1"/>
          <w:iCs w:val="1"/>
          <w:color w:val="auto"/>
        </w:rPr>
        <w:t>Acquisitions and Divestitures</w:t>
      </w:r>
      <w:r>
        <w:rPr>
          <w:rFonts w:ascii="Arial" w:cs="Arial" w:eastAsia="Arial" w:hAnsi="Arial"/>
          <w:sz w:val="16"/>
          <w:szCs w:val="16"/>
          <w:color w:val="auto"/>
        </w:rPr>
        <w:t>, for details.</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Portfolio Optimization and New Product Introductions. </w:t>
      </w:r>
      <w:r>
        <w:rPr>
          <w:rFonts w:ascii="Arial" w:cs="Arial" w:eastAsia="Arial" w:hAnsi="Arial"/>
          <w:sz w:val="18"/>
          <w:szCs w:val="18"/>
          <w:color w:val="auto"/>
        </w:rPr>
        <w:t>We are investing in innovative product development to drive a multi-generational pipeline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key product franchises. Our product development efforts span across our key global franchises focused on potential for significant returns on investment. We continue to advance the development of pioneering technologies from our 2019 acquisitions, Arkis Biosciences, Inc. and Rebound Therapeutics Corporation. In addition to new product development, we are funding studies to gather clinical evidence to support launches, ensure market access and improve reimbursement for existing products. We continue to identify ways of optimizing our portfolio including identifying low-growth, low-margin products and product franchises for discontinuation.</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January 2021, we completed the sale of our Extremity Orthopedics business for approximately $240 million in cash. The Company finalized the net working capital and paid an additional $1.3 million to Smith &amp; Nephew as of September 30, 2021. This transaction enables us to increase our investments in our core Neurosurgery and Tissue Technology businesses that will strengthen our existing leadership positions in both areas and fund pipeline opportunities to drive future growth and expand our addressable markets. See Note 2, </w:t>
      </w:r>
      <w:r>
        <w:rPr>
          <w:rFonts w:ascii="Arial" w:cs="Arial" w:eastAsia="Arial" w:hAnsi="Arial"/>
          <w:sz w:val="17"/>
          <w:szCs w:val="17"/>
          <w:i w:val="1"/>
          <w:iCs w:val="1"/>
          <w:color w:val="auto"/>
        </w:rPr>
        <w:t>Acquisitions and Divestitures</w:t>
      </w:r>
      <w:r>
        <w:rPr>
          <w:rFonts w:ascii="Arial" w:cs="Arial" w:eastAsia="Arial" w:hAnsi="Arial"/>
          <w:sz w:val="17"/>
          <w:szCs w:val="17"/>
          <w:color w:val="auto"/>
        </w:rPr>
        <w:t xml:space="preserve"> for details.</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Commercial Channel Investments. </w:t>
      </w:r>
      <w:r>
        <w:rPr>
          <w:rFonts w:ascii="Arial" w:cs="Arial" w:eastAsia="Arial" w:hAnsi="Arial"/>
          <w:sz w:val="17"/>
          <w:szCs w:val="17"/>
          <w:color w:val="auto"/>
        </w:rPr>
        <w:t>With acquisitions, new product introductions and a broad portfolio of products, investing in our sales channels is a core</w:t>
      </w:r>
      <w:r>
        <w:rPr>
          <w:rFonts w:ascii="Arial" w:cs="Arial" w:eastAsia="Arial" w:hAnsi="Arial"/>
          <w:sz w:val="17"/>
          <w:szCs w:val="17"/>
          <w:i w:val="1"/>
          <w:iCs w:val="1"/>
          <w:color w:val="auto"/>
        </w:rPr>
        <w:t xml:space="preserve"> </w:t>
      </w:r>
      <w:r>
        <w:rPr>
          <w:rFonts w:ascii="Arial" w:cs="Arial" w:eastAsia="Arial" w:hAnsi="Arial"/>
          <w:sz w:val="17"/>
          <w:szCs w:val="17"/>
          <w:color w:val="auto"/>
        </w:rPr>
        <w:t>part of our strategy to create specialization and greater focus on reaching new and existing customers and addressing their needs. To support our commercial efforts in Tissue Technologies, we expanded our two-tier specialist model to increase our presence in focused segments. We created a virtual selling organization to help serve the evolving needs of our customers. Internationally, we have increased our commercial resources significantly in key emerging markets and are making investments to support our sales organization and maximize our commercial opportunities. These investments in our international sales channel position us well for expansion and long-term growth. In addition, we continue to build upon our leadership brands across our product franchises to enable us to engage customers through enterprise-wide contracts.</w:t>
      </w:r>
    </w:p>
    <w:p>
      <w:pPr>
        <w:spacing w:after="0" w:line="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Customer Experience. </w:t>
      </w:r>
      <w:r>
        <w:rPr>
          <w:rFonts w:ascii="Arial" w:cs="Arial" w:eastAsia="Arial" w:hAnsi="Arial"/>
          <w:sz w:val="17"/>
          <w:szCs w:val="17"/>
          <w:color w:val="auto"/>
        </w:rPr>
        <w:t>We aspire to be ranked as a best-in-class provider and are committed to strengthen our relationships with all customers. We continue</w:t>
      </w:r>
      <w:r>
        <w:rPr>
          <w:rFonts w:ascii="Arial" w:cs="Arial" w:eastAsia="Arial" w:hAnsi="Arial"/>
          <w:sz w:val="17"/>
          <w:szCs w:val="17"/>
          <w:i w:val="1"/>
          <w:iCs w:val="1"/>
          <w:color w:val="auto"/>
        </w:rPr>
        <w:t xml:space="preserve"> </w:t>
      </w:r>
      <w:r>
        <w:rPr>
          <w:rFonts w:ascii="Arial" w:cs="Arial" w:eastAsia="Arial" w:hAnsi="Arial"/>
          <w:sz w:val="17"/>
          <w:szCs w:val="17"/>
          <w:color w:val="auto"/>
        </w:rPr>
        <w:t>to invest in technologies, systems and processes to enhance the customer experience. Additionally, we launched new digital tools and programs, resources and virtual product training to drive continued customer familiarity with our growing portfolio of medical technologies globally.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Product Development Activities</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continue to invest in collecting clinical evidence to support the Company's existing products and new product launches, and to ensure that we obtain market access for broader and more cost-effective solutions. In each area, we continue to benefit from products launched over the past several years.</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Within our Codman Specialty Surgical segment, the Company received U.S. Food and Drug Administration ("FDA") clearance in 2020 to treat malignant and benign tumors, but not limited to meningiomas and gliomas, for its CUSA® Clarity Ultrasonic Surgical Aspirator System, the first and only ultrasonic tissue ablation system with this specific indication. The FDA clearance is based on a wealth of peer-reviewed clinical publications and 40 years of surgical cases involving resection of brain and spinal tumors.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the Company continued to reap the benefits of our product launches from the prior year from the Codman Specialty Surgical segment, including our new electrosurgery generator and irrigator system, an innovative customer-centric toolkit for our Certas™ Plus Programmable Valve along with additional shunt configurations. In Japan, we are experiencing strong growth as a result of the successful launch of DuraGen® in mid-2019, which is the first and only collagen xenograft approved for use as a dural substitute in the country. We are focused on the development of core clinical applications in our electromechanical technologies portfolio. Also, we updated our CUSA Clarity platform to incorporate a new ultrasonic handpiece, surgical tips and integrated electrosurgical capabilities. We continue to work with several instrument partners to bring new surgical instrument platforms to the market. This enables us to add new instruments with minimal expense and invest in ongoing development, such as our next generation of LED technology with our DUO LED Surgical Headlight System.</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advanced the early-stage technology platforms we acquired during 2019. Through the Arkis Acquisition, we added a platform technology, CerebroFlo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external ventricular drainage catheter with Endexo technology, a permanent additive designed to reduce the potential for catheter obstruction due to thrombus formation. The CerebroFlo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EVD Catheter has demonstrated an average of 99% less thrombus accumulation onto its surface, in vitro, compared to a market leading EVD catheter.</w:t>
      </w:r>
    </w:p>
    <w:p>
      <w:pPr>
        <w:spacing w:after="0" w:line="8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acquired Rebound Therapeutics, a Company that specialized in single-use medical device, known as Aurora® Surgiscope®, which is the only tubular retractor system designed for cranial surgery with an integrated access channel, camera and lighting. In the third quarter of 2021, we conducted a limited clinical launch of the Aurora® Surgiscope® for use in minimally invasive neurosurgery as well as initiated a registry called MIRROR to collect data on early surgical intervention using Aurora for the treatment of intracerebral hemorrhage (ICH).</w:t>
      </w:r>
    </w:p>
    <w:p>
      <w:pPr>
        <w:spacing w:after="0" w:line="197" w:lineRule="exact"/>
        <w:rPr>
          <w:sz w:val="20"/>
          <w:szCs w:val="20"/>
          <w:color w:val="auto"/>
        </w:rPr>
      </w:pPr>
    </w:p>
    <w:p>
      <w:pPr>
        <w:ind w:right="100"/>
        <w:spacing w:after="0" w:line="200" w:lineRule="auto"/>
        <w:rPr>
          <w:sz w:val="20"/>
          <w:szCs w:val="20"/>
          <w:color w:val="auto"/>
        </w:rPr>
      </w:pPr>
      <w:r>
        <w:rPr>
          <w:rFonts w:ascii="Arial" w:cs="Arial" w:eastAsia="Arial" w:hAnsi="Arial"/>
          <w:sz w:val="18"/>
          <w:szCs w:val="18"/>
          <w:color w:val="auto"/>
        </w:rPr>
        <w:t>In the third quarter of 2021, the CereLink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ICP Monitor System was launched in the U.S. and Europe to gather user data and feedback. CereLink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provides clinicians with uncompromised, advanced continuous ICP monitoring that until now, has not been available when treating patients with traumatic brain injuries.</w:t>
      </w:r>
    </w:p>
    <w:p>
      <w:pPr>
        <w:spacing w:after="0" w:line="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Within our Tissue Technologies segment, we recently completed one of the largest diabetic foot ulcers (DFU) randomized controlled trials (RCTs) of the PriMatrix® Dermal Repair Scaffold for the management of DFU. This multi-center study enrolled more than 225 patients with chronic DFU's over the course of 12-week treatments and 4-week follow-up phases. The results of this study, which was published in the Journal of Wound Care, demonstrated that PriMatrix® plus standard of care (SOC) consisting of sharp debridement, infection elimination, use of dressings and offloading was significantly more likely to achieve complete wound closure compared with SOC alone, with a median number of one application of the product. In 2020, we announced positive clinical and economic data on Integra® Bilayer Wound Matrix ("IBWM") in complex lower extremity reconstruction based on two retrospective studies recently published in Plastic and Reconstructive Surgery, the official journal of the American Society of Plastic Surgeons. As surgeons look for ways to efficiently and effectively repair and close wounds during these challenging times, IBWM helps address the efficiency needed in operating rooms by reducing both the operating time and costs to hospitals and patients.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this global crisis, the Company's focus remained on supporting patients, providing customers with life-saving products, and protecting the well-being of our employees. The rapid and evolving spread of the virus has resulted in an unprecedented challenge to the global healthcare industry, as medical resources were reallocated to fight COVID-19. During the first half of 2020, in response to the pandemic, we acted swiftly by implementing protocols to ensure continuity of our manufacturing and distribution sites around the world and to provide for the safety of our employees. During the second half of 2020, the Company's revenues were still impacted due to COVID-19 resurgences, though not to the levels seen in the first half of 2020.</w:t>
      </w:r>
    </w:p>
    <w:p>
      <w:pPr>
        <w:spacing w:after="0" w:line="40"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During 2021, our business segments have benefited from the improving demand compared to 2020, driven by the ongoing global market recovery. We have seen improving order activity in products used in neurosurgery, instruments, burn and trauma as markets continue to recovery from 2020 levels.</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However, the COVID-19 Delta variant has impacted the pace of recovery in our business as we experienced regional variability driven in part by vaccination rates and local re-opening policies. The pace of recovery has also been more recently impacted by staffing shortages in hospitals and surgical centers. As a result, the Company has continued to manage its operating costs in this environment. We remain confident that the underlying markets in which the Company competes remain attractive. We also remain focused on managing the business for the long-term, including preserving full time jobs needed to support the rebound in surgical procedure volumes. The Company's adaptability and resiliency in the face of this unprecedented crisis is made possible in part by prior investments in technology infrastructure and operations, as well as our talented and committed global workforce.</w:t>
      </w:r>
    </w:p>
    <w:p>
      <w:pPr>
        <w:spacing w:after="0" w:line="5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Capital markets and worldwide economies have also been significantly impacted by the COVID-19 pandemic, and it is possible that it could cause a local and/or global economic recession. Any such economic recession could have a material adverse effect on the Company's long-term business as hospitals curtail and reduce capital as well as overall spending. The COVID-19 pandemic and local actions, such as “shelter-in-place” orders and restrictions on travel and access to our customers or temporary closures of our facilities or the facilities of our suppliers and their contract manufacturers, disruption and/or higher costs to the Company’s supply chain, staffing shortages in hospitals and labor constraints in our facilities, could further impact our sales and our ability to ship our products and supply our customers. Any of these events could negatively impact the number of surgical and medical intervention procedures performed and have a material adverse effect on our business, financial condition, results of operations, or cash flows.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Matters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manufacture and distribute products derived from human tissue for which FDA has specific regulations governing human cells, tissues and cellular and tissue-based products, or HCT/Ps. An HCT/P is a product containing or consisting of human cells or tissue intended for transplantation into a human patient.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22, 2015, the FDA issued an Untitled Letter (the "Untitled Letter") alleging that BioD's morselized amniotic membrane tissue-based products do not meet the criteria for regulation as HCT/Ps solely under Section 361 of the Public Health Services Act ("Section 361") and that, as a result, BioD would need a biologics license to lawfully market those morselized products. Since the issuance of the Untitled Letter, BioD and the Company have made known to the FDA their disagreement with the FDA’s assertion that certain products are more than minimally manipulated. The FDA has not changed its position that certain of the BioD acquired products are not eligible for marketing solely under Section 361. In July, 2020, the FDA issued the final guidance document related to human tissue titled, “Regulatory Considerations for Human Cells, Tissues, and Cellular and Tissue-Based Products: Minimal Manipulation and Homologous Use” (the “HCT/P Final Guidance”). This Guidance document supersedes the November 2017 guidance by the same title.</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HCT/P Final Guidance maintains the FDA’s position that products such as the Company’s morselized amniotic membrane tissue-based products do not meet the criteria for regulation solely as HCT/Ps. In addition, in the November 2017 guidance, the FDA articulated a risk-based approach to enforcement and, while some uses for amniotic membrane tissue-based products would have as much as thirty-six months of enforcement discretion, other high risk uses could be subject to immediate enforcement action. The revised final guidance of July 2020 maintained this approach and extended the discretionary enforcement period to May 31, 2021.</w:t>
      </w:r>
    </w:p>
    <w:p>
      <w:pPr>
        <w:spacing w:after="0" w:line="6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Considering the risk of enforcement action, the Company discontinued the manufacturing of all morselized amniotic membrane tissue-based products prior to May 31, 2021. We no longer distribute these products. As of September 30, 2021, the Company has not received any further notice of enforcement action from the FDA regarding its morselized amniotic membrane tissue-based products.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from the now discontinued BioD morselized amniotic membrane-based products for the nine months ended September 30, 2021 were less than 1.0% of consolidated revenues.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March 7, 2019, TEI Biosciences, Inc. ("TEI"), a subsidiary of the Company received a Warning Letter (the “Warning Letter”), dated March 6, 2019, from the FDA. The warning letter relates to quality systems issues at TEI's manufacturing facility located in Boston, Massachusetts. The letter resulted from an inspection held at that facility in October and November 2018 and did not identify any new observations that were not already provided in the Form 483 that followed the inspection. The Company submitted its initial response to the FDA Warning Letter on March 28, 2019 and provides regular progress reports to the FDA as to its corrective actions and, since the conclusion of the inspection, has undertaken significant efforts to remediate the observations and continues to do so. The warning letter does not restrict the Company’s ability to manufacture or ship products or require the recall of any products. Nor does it restrict our ability to seek FDA 510(k) clearance of products. The letter states that requests for Certificates to Foreign Governments would not be granted. However, due to our monthly progress reports, the FDA agreed to issue Certificates to Foreign Governments for the products manufactured at TEI due to substantial progress and the length of time it takes to resolve the Warning Letter. Additionally, premarket approval applications for Class III devices to which the Quality System regulation violations are reasonably related will not be approved until the violations have been corrected. The TEI Boston facility manufactures extracellular bovine matrix products. The Company does not expect to incur material incremental expense for remediation activities. We cannot, however, give any assurances that the FDA will be satisfied with our response to the Warning Letter or as to the expected date of the resolution of the matters included in the letter. Until the issues cited in the letter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spacing w:after="0" w:line="5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Revenues of products manufactured in the TEI Boston facility for the nine months ended September 30, 2021 were approximately 4.6% of consolidated revenues.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&amp; 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January 4, 2021, the Company completed its previously announced sale of its Extremity Orthopedics business to Smith &amp; Nephew USD Limited. The transaction included the sale of the Company's upper and lower Extremity Orthopedics product portfolio, including ankle and shoulder arthroplasty and hand and wrist product lines. The Company received an aggregate purchase price of $240.0 million from Smith and Nephew and concurrently paid $41.5 million to the Consortium of Focused Orthopedists, LLC ("CFO") effectively terminating the licensing agreement between Integra and CFO relating to the development of shoulder arthroplasty products. The Company recognized a gain of $42.0 million in connection with the sale that is presented in Gain from the sale of business in the consolidated statement of operations for the year ended September 30, 2021. See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details.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20, 2021, the Company acquired ACell, Inc. for an acquisition purchase price of $306.9 million plus contingent consideration obligations of up to $100 million, that may be payable upon achieving certain revenue-based performance milestones in 2022, 2023 and 2025</w:t>
      </w:r>
      <w:r>
        <w:rPr>
          <w:rFonts w:ascii="Arial" w:cs="Arial" w:eastAsia="Arial" w:hAnsi="Arial"/>
          <w:sz w:val="18"/>
          <w:szCs w:val="18"/>
          <w:i w:val="1"/>
          <w:iCs w:val="1"/>
          <w:color w:val="auto"/>
        </w:rPr>
        <w:t>.</w:t>
      </w:r>
      <w:r>
        <w:rPr>
          <w:rFonts w:ascii="Arial" w:cs="Arial" w:eastAsia="Arial" w:hAnsi="Arial"/>
          <w:sz w:val="18"/>
          <w:szCs w:val="18"/>
          <w:color w:val="auto"/>
        </w:rPr>
        <w:t xml:space="preserve"> ACell was a privately-held company that offered a portfolio of regenerative products for complex wound management, including developing and commercializing products based on MatriStem Urinary Bladder Matrix ("UBM"), a technology platform derived from porcine urinary bladder extracellular matrix. See Note 2-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Divestitures </w:t>
      </w:r>
      <w:r>
        <w:rPr>
          <w:rFonts w:ascii="Arial" w:cs="Arial" w:eastAsia="Arial" w:hAnsi="Arial"/>
          <w:sz w:val="18"/>
          <w:szCs w:val="18"/>
          <w:color w:val="auto"/>
        </w:rPr>
        <w:t>for details.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OPTIMIZATION AND INTEGRATION ACTIVITIES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a result of our ongoing acquisition strategy and significant growth in recent years, we have undertaken cost-saving initiatives to consolidate manufacturing operations, distribution facilities and transfer activities, implement a common ERP system, eliminate duplicative positions, realign various sales and marketing activities, and expand and upgrade production capacity for our regenerative technology products. These efforts are expected to continue and while we expect a positive impact from ongoing restructuring, integration, and manufacturing transfer and expansion activities, such results remain uncertain.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08"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Net income for the three months ended September 30, 2021 was $43.2 million, or $0.51 per diluted share, as compared to $32.3 million or $0.38 per diluted share for the three months ended September 30, 2020. The increase in net income for the three months ended September 30, 2021, was primarily driven by higher revenues across most franchises compared to the prior year due to continuing recovery in surgical procedure volumes experienced from the COVID-19 pandemic, partially offset by higher operating expenses as costs continued to normalized after 2020 cost reduction actions. Within non-operating income and expense, the Company benefited from lower interest expense and higher other income.</w:t>
      </w:r>
    </w:p>
    <w:p>
      <w:pPr>
        <w:spacing w:after="0" w:line="6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Net income for the nine months ended September 30, 2021 was $123.7 million, or $1.45 per diluted share, as compared to $41.1 million or $0.48 per diluted share for the nine months ended September 30, 2020. The increase in net income for the nine months ended September 30, 2021 was primarily driven by higher revenue relating to surgical procedure recovery and increase in non-operating income due to the gain of $42.0 million recognized in the first quarter of 2021 as a result of the sale of the Extremity Orthopedics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r>
        <w:rPr>
          <w:rFonts w:ascii="Arial" w:cs="Arial" w:eastAsia="Arial" w:hAnsi="Arial"/>
          <w:sz w:val="18"/>
          <w:szCs w:val="18"/>
          <w:b w:val="1"/>
          <w:bCs w:val="1"/>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8"/>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r>
      <w:tr>
        <w:trPr>
          <w:trHeight w:val="211"/>
        </w:trPr>
        <w:tc>
          <w:tcPr>
            <w:tcW w:w="5240" w:type="dxa"/>
            <w:vAlign w:val="bottom"/>
            <w:shd w:val="clear" w:color="auto" w:fill="CCEEFF"/>
          </w:tcPr>
          <w:p>
            <w:pPr>
              <w:ind w:left="20"/>
              <w:spacing w:after="0" w:line="211" w:lineRule="exact"/>
              <w:rPr>
                <w:sz w:val="20"/>
                <w:szCs w:val="20"/>
                <w:color w:val="auto"/>
              </w:rPr>
            </w:pPr>
            <w:r>
              <w:rPr>
                <w:rFonts w:ascii="Arial" w:cs="Arial" w:eastAsia="Arial" w:hAnsi="Arial"/>
                <w:sz w:val="16"/>
                <w:szCs w:val="16"/>
                <w:color w:val="auto"/>
              </w:rPr>
              <w:t>Acquisition, divestiture and integration-related charges</w:t>
            </w:r>
            <w:r>
              <w:rPr>
                <w:rFonts w:ascii="Arial" w:cs="Arial" w:eastAsia="Arial" w:hAnsi="Arial"/>
                <w:sz w:val="21"/>
                <w:szCs w:val="21"/>
                <w:color w:val="auto"/>
                <w:vertAlign w:val="superscript"/>
              </w:rPr>
              <w:t>(1)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19,856</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Structural optimization charges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15,051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9,015</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 medical device regulation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16,240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5,470</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Discontinued product lines charges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359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5,486</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debt non-cash interest expense</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11,075</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Expenses related to debt refinancing</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6,168</w:t>
            </w:r>
          </w:p>
        </w:tc>
      </w:tr>
      <w:tr>
        <w:trPr>
          <w:trHeight w:val="219"/>
        </w:trPr>
        <w:tc>
          <w:tcPr>
            <w:tcW w:w="52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COVID-19 pandemic related charges</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3,644</w:t>
            </w:r>
          </w:p>
        </w:tc>
      </w:tr>
      <w:tr>
        <w:trPr>
          <w:trHeight w:val="207"/>
        </w:trPr>
        <w:tc>
          <w:tcPr>
            <w:tcW w:w="5240" w:type="dxa"/>
            <w:vAlign w:val="bottom"/>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16,433</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22,620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18,062</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60,714</w:t>
            </w:r>
          </w:p>
        </w:tc>
      </w:tr>
      <w:tr>
        <w:trPr>
          <w:trHeight w:val="23"/>
        </w:trPr>
        <w:tc>
          <w:tcPr>
            <w:tcW w:w="5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ind w:right="20" w:firstLine="8"/>
        <w:spacing w:after="0" w:line="246" w:lineRule="auto"/>
        <w:tabs>
          <w:tab w:leader="none" w:pos="163"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 xml:space="preserve">The Company completed its sale of its Extremity Orthopedics business and recognized a gain of $42.0 million for the nine months ended September 30, 2021 which was partially offset by other acquisition, divestiture and integration-related charges. See Note 2- </w:t>
      </w:r>
      <w:r>
        <w:rPr>
          <w:rFonts w:ascii="Arial" w:cs="Arial" w:eastAsia="Arial" w:hAnsi="Arial"/>
          <w:sz w:val="15"/>
          <w:szCs w:val="15"/>
          <w:i w:val="1"/>
          <w:iCs w:val="1"/>
          <w:color w:val="auto"/>
        </w:rPr>
        <w:t>Acquisitions and Divestitures</w:t>
      </w:r>
      <w:r>
        <w:rPr>
          <w:rFonts w:ascii="Arial" w:cs="Arial" w:eastAsia="Arial" w:hAnsi="Arial"/>
          <w:sz w:val="15"/>
          <w:szCs w:val="15"/>
          <w:color w:val="auto"/>
        </w:rPr>
        <w:t xml:space="preserve"> for details.</w:t>
      </w:r>
    </w:p>
    <w:p>
      <w:pPr>
        <w:spacing w:after="0" w:line="58" w:lineRule="exact"/>
        <w:rPr>
          <w:rFonts w:ascii="Arial" w:cs="Arial" w:eastAsia="Arial" w:hAnsi="Arial"/>
          <w:sz w:val="19"/>
          <w:szCs w:val="19"/>
          <w:color w:val="auto"/>
          <w:vertAlign w:val="superscript"/>
        </w:rPr>
      </w:pPr>
    </w:p>
    <w:p>
      <w:pPr>
        <w:ind w:firstLine="8"/>
        <w:spacing w:after="0" w:line="223" w:lineRule="auto"/>
        <w:tabs>
          <w:tab w:leader="none" w:pos="19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Charges relate to business interruptions and costs associated with the COVID-19 pandemic which impacted the Company's operations globally, partially offset by Coronavirus government relief programs in the prior year.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w w:val="98"/>
              </w:rPr>
              <w:t>Nine Months Ended September 30, 2021</w:t>
            </w:r>
          </w:p>
        </w:tc>
      </w:tr>
      <w:tr>
        <w:trPr>
          <w:trHeight w:val="188"/>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r>
      <w:tr>
        <w:trPr>
          <w:trHeight w:val="211"/>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1020" w:type="dxa"/>
            <w:vAlign w:val="bottom"/>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5,517</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13,140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432</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24,443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20,539</w:t>
            </w:r>
          </w:p>
        </w:tc>
      </w:tr>
      <w:tr>
        <w:trPr>
          <w:trHeight w:val="216"/>
        </w:trPr>
        <w:tc>
          <w:tcPr>
            <w:tcW w:w="4420" w:type="dxa"/>
            <w:vAlign w:val="bottom"/>
          </w:tcPr>
          <w:p>
            <w:pPr>
              <w:ind w:left="20"/>
              <w:spacing w:after="0" w:line="216" w:lineRule="exact"/>
              <w:rPr>
                <w:sz w:val="20"/>
                <w:szCs w:val="20"/>
                <w:color w:val="auto"/>
              </w:rPr>
            </w:pPr>
            <w:r>
              <w:rPr>
                <w:rFonts w:ascii="Arial" w:cs="Arial" w:eastAsia="Arial" w:hAnsi="Arial"/>
                <w:sz w:val="16"/>
                <w:szCs w:val="16"/>
                <w:color w:val="auto"/>
              </w:rPr>
              <w:t>Interest expense</w:t>
            </w:r>
            <w:r>
              <w:rPr>
                <w:rFonts w:ascii="Arial" w:cs="Arial" w:eastAsia="Arial" w:hAnsi="Arial"/>
                <w:sz w:val="21"/>
                <w:szCs w:val="21"/>
                <w:color w:val="auto"/>
                <w:vertAlign w:val="superscript"/>
              </w:rPr>
              <w:t>(1)</w:t>
            </w:r>
          </w:p>
        </w:tc>
        <w:tc>
          <w:tcPr>
            <w:tcW w:w="10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7,723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17,243</w:t>
            </w: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from the sale of business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(41,967)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42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(1,554)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(4,311)</w:t>
            </w:r>
          </w:p>
        </w:tc>
        <w:tc>
          <w:tcPr>
            <w:tcW w:w="8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4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020" w:type="dxa"/>
            <w:vAlign w:val="bottom"/>
            <w:tcBorders>
              <w:top w:val="single" w:sz="8" w:color="auto"/>
              <w:bottom w:val="single" w:sz="8" w:color="auto"/>
            </w:tcBorders>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2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22,620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60,714</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firstLine="8"/>
        <w:spacing w:after="0" w:line="246" w:lineRule="auto"/>
        <w:tabs>
          <w:tab w:leader="none" w:pos="163"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 xml:space="preserve">Upon adoption of ASU No. 2020-06, the Company will no longer incur non-cash interest expense for the amortization of debt discount. See Note 1- </w:t>
      </w:r>
      <w:r>
        <w:rPr>
          <w:rFonts w:ascii="Arial" w:cs="Arial" w:eastAsia="Arial" w:hAnsi="Arial"/>
          <w:sz w:val="15"/>
          <w:szCs w:val="15"/>
          <w:i w:val="1"/>
          <w:iCs w:val="1"/>
          <w:color w:val="auto"/>
        </w:rPr>
        <w:t>Basis of Presentation</w:t>
      </w:r>
      <w:r>
        <w:rPr>
          <w:rFonts w:ascii="Arial" w:cs="Arial" w:eastAsia="Arial" w:hAnsi="Arial"/>
          <w:sz w:val="15"/>
          <w:szCs w:val="15"/>
          <w:color w:val="auto"/>
        </w:rPr>
        <w:t>, for details.</w:t>
      </w:r>
    </w:p>
    <w:p>
      <w:pPr>
        <w:spacing w:after="0" w:line="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typically define special charges as items for which the amounts and/or timing of such expenses may vary significantly from period to period, depending upon our acquisition, divestiture,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revenues and gross margin on product revenues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6"/>
                <w:szCs w:val="16"/>
                <w:color w:val="auto"/>
              </w:rPr>
            </w:pPr>
          </w:p>
        </w:tc>
        <w:tc>
          <w:tcPr>
            <w:tcW w:w="31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36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Segment Net Sales</w:t>
            </w: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Codman Specialty Surgical</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256,497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239,323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754,575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640,541</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Tissue Technologies</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130,364</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130,909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382,349</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342,680</w:t>
            </w: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386,861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370,232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1,136,924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983,221</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144,468</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134,811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441,558</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373,765</w:t>
            </w:r>
          </w:p>
        </w:tc>
        <w:tc>
          <w:tcPr>
            <w:tcW w:w="0" w:type="dxa"/>
            <w:vAlign w:val="bottom"/>
          </w:tcPr>
          <w:p>
            <w:pPr>
              <w:spacing w:after="0"/>
              <w:rPr>
                <w:sz w:val="1"/>
                <w:szCs w:val="1"/>
                <w:color w:val="auto"/>
              </w:rPr>
            </w:pPr>
          </w:p>
        </w:tc>
      </w:tr>
      <w:tr>
        <w:trPr>
          <w:trHeight w:val="23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 on total revenues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242,393</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235,421</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695,366</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609,456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margin as a percentage of total revenues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1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62.7 %</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63.6 %</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61.2 %</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62.0 %</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right="3560"/>
        <w:spacing w:after="0" w:line="378" w:lineRule="auto"/>
        <w:rPr>
          <w:sz w:val="20"/>
          <w:szCs w:val="20"/>
          <w:color w:val="auto"/>
        </w:rPr>
      </w:pPr>
      <w:r>
        <w:rPr>
          <w:rFonts w:ascii="Arial" w:cs="Arial" w:eastAsia="Arial" w:hAnsi="Arial"/>
          <w:sz w:val="18"/>
          <w:szCs w:val="18"/>
          <w:b w:val="1"/>
          <w:bCs w:val="1"/>
          <w:color w:val="auto"/>
        </w:rPr>
        <w:t>Three Months Ended September 30, 2021 as Compared to Three Months Ended September 30, 2020 Revenues</w:t>
      </w:r>
    </w:p>
    <w:p>
      <w:pPr>
        <w:jc w:val="both"/>
        <w:spacing w:after="0" w:line="260" w:lineRule="auto"/>
        <w:rPr>
          <w:sz w:val="20"/>
          <w:szCs w:val="20"/>
          <w:color w:val="auto"/>
        </w:rPr>
      </w:pPr>
      <w:r>
        <w:rPr>
          <w:rFonts w:ascii="Arial" w:cs="Arial" w:eastAsia="Arial" w:hAnsi="Arial"/>
          <w:sz w:val="17"/>
          <w:szCs w:val="17"/>
          <w:color w:val="auto"/>
        </w:rPr>
        <w:t>For the three months ended September 30, 2021, total revenues increased by $16.6 million to $386.9 million from $370.2 million for the same period in 2020. Domestic revenues increased by $9.3 million, or 3.5%, to $275.8 million and were 71.3% of total revenues for the three months ended September 30, 2021 compared to $266.5 million during the same period in the prior year. International revenues increased by $7.3 million or 7.0% to $111.1 million for the three months ended September 30, 2021 compared to $103.8 million during the same period in the prior year. The increase in revenues was primarily driven by the recovery experienced from the COVID-19 pandemic across most franchises due to continuing recovery in surgical procedure volumes compared to the prior period, as well as the launch of the CereLink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ICP Monitor which occurred in the third quarter. Foreign exchange fluctuations had a favorable impact of $1.0 million on revenues for the quarter.</w:t>
      </w:r>
    </w:p>
    <w:p>
      <w:pPr>
        <w:spacing w:after="0" w:line="6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the Codman Specialty Surgical segment ("CSS"), revenues were $256.5 million which was an increase of $17.2 million, or 7.2% as compared to the prior-year period. The Company saw growth within our Neurosurgery portfolio primarily with sales in neuromonitoring increasing low double digits due to the launch of the CereLink™ ICP Monitor as well as sales in advanced energy increasing high single digits and dural access and repair increasing mid-single digits. Sales in our instruments portfolio increased low double digits as compared to the same period in the prior year driven by order recovery.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In the Tissue Technologies ("TT") segment, revenues were $130.4 million which was a decrease of $0.5 million, or 0.4% from the prior-year period. Within TT, our Extremity Orthopedics business was divested on January 4, 2021. Our Wound Reconstruction business, excluding the impact of acquisitions, increased low single digits and sales in our Private Label business increased low double digits as a result of continuing recovery in order trends from our customers.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continue to closely monitor local, regional, and global COVID-19 surges as well as new variants of the virus for an impact on procedures during Q4 2021 and beyond. The reallocation of hospital resources to treat COVID-19 and staffing shortages may continue to cause a financial strain on healthcare systems and reduce procedural volumes. Additionally, the Company does not expect all markets and product lines to improve at the same rate based on the level of recurrence of COVID-19 and its associated impact on the pace of procedure recovery and economic normalization.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margin increased to $242.4 million for the three months ended September 30, 2021, an increase of $7.0 million from $235.4 million for the same period in 2020. Gross margin as a percentage of revenues decreased to 62.7% from 63.6% in the same period last year. This decrease was mainly attributable to increased amortization associated with technology-based intangible assets.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217"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Three Months Ended September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44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860" w:type="dxa"/>
            <w:vAlign w:val="bottom"/>
            <w:tcBorders>
              <w:top w:val="single" w:sz="8" w:color="auto"/>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2020</w:t>
            </w:r>
          </w:p>
        </w:tc>
      </w:tr>
      <w:tr>
        <w:trPr>
          <w:trHeight w:val="211"/>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6.7 %</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r>
      <w:tr>
        <w:trPr>
          <w:trHeight w:val="213"/>
        </w:trPr>
        <w:tc>
          <w:tcPr>
            <w:tcW w:w="864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640" w:type="dxa"/>
            <w:vAlign w:val="bottom"/>
          </w:tcPr>
          <w:p>
            <w:pPr>
              <w:jc w:val="right"/>
              <w:spacing w:after="0"/>
              <w:rPr>
                <w:sz w:val="20"/>
                <w:szCs w:val="20"/>
                <w:color w:val="auto"/>
              </w:rPr>
            </w:pPr>
            <w:r>
              <w:rPr>
                <w:rFonts w:ascii="Arial" w:cs="Arial" w:eastAsia="Arial" w:hAnsi="Arial"/>
                <w:sz w:val="16"/>
                <w:szCs w:val="16"/>
                <w:color w:val="auto"/>
              </w:rPr>
              <w:t>40.3 %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40.5 %</w:t>
            </w:r>
          </w:p>
        </w:tc>
      </w:tr>
      <w:tr>
        <w:trPr>
          <w:trHeight w:val="219"/>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 amortization</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07"/>
        </w:trPr>
        <w:tc>
          <w:tcPr>
            <w:tcW w:w="744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12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48.1 %</w:t>
            </w:r>
          </w:p>
        </w:tc>
        <w:tc>
          <w:tcPr>
            <w:tcW w:w="100" w:type="dxa"/>
            <w:vAlign w:val="bottom"/>
          </w:tcPr>
          <w:p>
            <w:pPr>
              <w:spacing w:after="0"/>
              <w:rPr>
                <w:sz w:val="17"/>
                <w:szCs w:val="17"/>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48.1 %</w:t>
            </w:r>
          </w:p>
        </w:tc>
      </w:tr>
      <w:tr>
        <w:trPr>
          <w:trHeight w:val="23"/>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Total operating expenses, which consist of research and development, selling, general and administrative, and amortization expenses, increased by $8.1 million, or 4.6% to $186.0 million in the three months ended September 30, 2021, compared to $177.9 million in the same period in 2020. The increase in operating expenses compared to the prior year reflects costs associated with higher employee related costs, increased research and development as well as increased outside spending as revenue recovered. The Company continues to manage and prioritize it operating costs closely given the continued uncertainty of COVID-19. We also benefited from cost synergies as a result of the acquisition of ACell and the sale of the Extremity Orthopedics business.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Research and development expenses for the three months ended September 30, 2021 increased by $6.4 million as compared to the same period in the prior year. This increase in spending resulted from additional spending on new product development, clinical studies and additional spending due to the European Union Medical Device Regulation compliance.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costs increased by $5.9 million as compared to the same period in the prior year driven primarily due to costs associated with higher employee related costs as well as increased outside spending as revenue recovered.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expense (excluding amounts reported in cost of product revenues for technology-based intangible assets) for the three months ended September 30, 2021 was $4.1 million compared to $8.3 million for the same period in prior year primarily due to a reduction in amortization expense associated with intangible assets sold in conjunction with the sale of the Extremity Orthopedics business during the current year.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661"/>
              <w:spacing w:after="0"/>
              <w:rPr>
                <w:sz w:val="20"/>
                <w:szCs w:val="20"/>
                <w:color w:val="auto"/>
              </w:rPr>
            </w:pPr>
            <w:r>
              <w:rPr>
                <w:rFonts w:ascii="Arial" w:cs="Arial" w:eastAsia="Arial" w:hAnsi="Arial"/>
                <w:sz w:val="14"/>
                <w:szCs w:val="14"/>
                <w:b w:val="1"/>
                <w:bCs w:val="1"/>
                <w:color w:val="auto"/>
              </w:rPr>
              <w:t>Three Months Ended September 30,</w:t>
            </w:r>
          </w:p>
        </w:tc>
      </w:tr>
      <w:tr>
        <w:trPr>
          <w:trHeight w:val="188"/>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2020</w:t>
            </w:r>
          </w:p>
        </w:tc>
      </w:tr>
      <w:tr>
        <w:trPr>
          <w:trHeight w:val="211"/>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2,273</w:t>
            </w: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(12,192)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(20,796)</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(loss) from the sale of business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2,492</w:t>
            </w:r>
          </w:p>
        </w:tc>
      </w:tr>
      <w:tr>
        <w:trPr>
          <w:trHeight w:val="235"/>
        </w:trPr>
        <w:tc>
          <w:tcPr>
            <w:tcW w:w="7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non-operating income and expense</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for the three months ended September 30, 2021 decreased by $0.5 million as compared to the same period last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Interest expense for the three months ended September 30, 2021 decreased by $8.6 million as compared to the same period in the prior year primarily due the elimination of the non-cash interest expense as the result of the adoption ASU 2020-06 and the expenses associated with Amended and Restated Senior Credit Agreement which occurred in the prior period. </w:t>
      </w:r>
      <w:r>
        <w:rPr>
          <w:rFonts w:ascii="Arial" w:cs="Arial" w:eastAsia="Arial" w:hAnsi="Arial"/>
          <w:sz w:val="14"/>
          <w:szCs w:val="14"/>
          <w:color w:val="auto"/>
        </w:rPr>
        <w:t>See Note 1-</w:t>
      </w:r>
      <w:r>
        <w:rPr>
          <w:rFonts w:ascii="Arial" w:cs="Arial" w:eastAsia="Arial" w:hAnsi="Arial"/>
          <w:sz w:val="16"/>
          <w:szCs w:val="16"/>
          <w:color w:val="auto"/>
        </w:rPr>
        <w:t xml:space="preserve"> </w:t>
      </w:r>
      <w:r>
        <w:rPr>
          <w:rFonts w:ascii="Arial" w:cs="Arial" w:eastAsia="Arial" w:hAnsi="Arial"/>
          <w:sz w:val="14"/>
          <w:szCs w:val="14"/>
          <w:i w:val="1"/>
          <w:iCs w:val="1"/>
          <w:color w:val="auto"/>
        </w:rPr>
        <w:t>Basis of Presentation</w:t>
      </w:r>
      <w:r>
        <w:rPr>
          <w:rFonts w:ascii="Arial" w:cs="Arial" w:eastAsia="Arial" w:hAnsi="Arial"/>
          <w:sz w:val="16"/>
          <w:szCs w:val="16"/>
          <w:color w:val="auto"/>
        </w:rPr>
        <w:t xml:space="preserve"> for details in relation to the adoption of ASU 2020-06.</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Other income, net for the three months ended September 30, 2021 increased by $2.5 million compared to the same period in the prior year primarily due to income associated with the transition services agreement from the divestiture of the Extremity Orthopedics business which was partially offset by an unfavorable impact of foreign exchange in the prior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761"/>
              <w:spacing w:after="0"/>
              <w:rPr>
                <w:sz w:val="20"/>
                <w:szCs w:val="20"/>
                <w:color w:val="auto"/>
              </w:rPr>
            </w:pPr>
            <w:r>
              <w:rPr>
                <w:rFonts w:ascii="Arial" w:cs="Arial" w:eastAsia="Arial" w:hAnsi="Arial"/>
                <w:sz w:val="14"/>
                <w:szCs w:val="14"/>
                <w:b w:val="1"/>
                <w:bCs w:val="1"/>
                <w:color w:val="auto"/>
              </w:rPr>
              <w:t>Three Months Ended September 30,</w:t>
            </w:r>
          </w:p>
        </w:tc>
      </w:tr>
      <w:tr>
        <w:trPr>
          <w:trHeight w:val="188"/>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2020</w:t>
            </w:r>
          </w:p>
        </w:tc>
      </w:tr>
      <w:tr>
        <w:trPr>
          <w:trHeight w:val="211"/>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50,788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41,511</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440" w:type="dxa"/>
            <w:vAlign w:val="bottom"/>
          </w:tcPr>
          <w:p>
            <w:pPr>
              <w:spacing w:after="0"/>
              <w:rPr>
                <w:sz w:val="18"/>
                <w:szCs w:val="18"/>
                <w:color w:val="auto"/>
              </w:rPr>
            </w:pPr>
          </w:p>
        </w:tc>
        <w:tc>
          <w:tcPr>
            <w:tcW w:w="1440" w:type="dxa"/>
            <w:vAlign w:val="bottom"/>
          </w:tcPr>
          <w:p>
            <w:pPr>
              <w:jc w:val="right"/>
              <w:ind w:right="123"/>
              <w:spacing w:after="0"/>
              <w:rPr>
                <w:sz w:val="20"/>
                <w:szCs w:val="20"/>
                <w:color w:val="auto"/>
              </w:rPr>
            </w:pPr>
            <w:r>
              <w:rPr>
                <w:rFonts w:ascii="Arial" w:cs="Arial" w:eastAsia="Arial" w:hAnsi="Arial"/>
                <w:sz w:val="16"/>
                <w:szCs w:val="16"/>
                <w:color w:val="auto"/>
              </w:rPr>
              <w:t>7,559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9,174</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22.1 %</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rates for the three months ended September 30, 2021 and 2020 were 14.9% and 22.1%, respectively.</w:t>
      </w:r>
    </w:p>
    <w:p>
      <w:pPr>
        <w:spacing w:after="0" w:line="10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For the three months ended September 30, 2021, the primary drivers of the tax rate is due to the jurisdictional mix of income and a benefit related to excess tax benefits from stock compensation. For the three months ended September 30, 2020, the primary drivers of the tax rate are due to the jurisdictional mix of income and a $4.2 million recognition of a deferred tax liability related to an outside tax basis from the sale of the Extremity Orthopedics business, offset by the reversal of $3.2 million valuation allowance on certain foreign deferred tax assets as the Company determined that it was more likely than not that these foreign deferred tax assets would be realized.</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the Company's history of generating taxable earnings, in assessing our ability to realize tax assets on a quarterly basis.</w:t>
      </w:r>
    </w:p>
    <w:p>
      <w:pPr>
        <w:spacing w:after="0" w:line="62" w:lineRule="exact"/>
        <w:rPr>
          <w:sz w:val="20"/>
          <w:szCs w:val="20"/>
          <w:color w:val="auto"/>
        </w:rPr>
      </w:pPr>
    </w:p>
    <w:p>
      <w:pPr>
        <w:jc w:val="both"/>
        <w:spacing w:after="0"/>
        <w:rPr>
          <w:sz w:val="20"/>
          <w:szCs w:val="20"/>
          <w:color w:val="auto"/>
        </w:rPr>
      </w:pPr>
      <w:r>
        <w:rPr>
          <w:rFonts w:ascii="Arial" w:cs="Arial" w:eastAsia="Arial" w:hAnsi="Arial"/>
          <w:sz w:val="17"/>
          <w:szCs w:val="17"/>
          <w:color w:val="auto"/>
        </w:rPr>
        <w:t>Additionally, changes to income tax laws and regulations, in any of the tax jurisdictions in which the Company operates, could impact the effective tax rate. Various governments, both U.S. and non-U.S., are increasingly focused on tax reform and revenue-raising legislation. The current U.S. administration has proposed tax reform which, if enacted, would increase the Company’s U.S. federal income tax liability. Further, legislation in foreign jurisdictions may be enacted, in response to the base erosion and profit-shifting (BEPS) project begun by the Organization for Economic Cooperation and Development (OECD). The OECD recently finalized major reform of the international tax system with respect to a minimum tax rate. Such changes in U.S. and Non-U.S. jurisdictions could have an adverse effect on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outcome or the timing of the resolution of a particular matter with the various federal, state, and foreign tax authorities, we believe that our reserves reflect the most probable outcome of known tax contingencies. Settlement of a particular issue would usually require the use of cash. A favorable resolution would be recognized as a reduction to our annual effective tax rate in the year of resolution. The Company's tax reserves are presented in the balance sheet within other liabilities, except for amounts relating to items that we expect to pay in the coming year, which would be classified as current income taxes payable.</w:t>
      </w:r>
    </w:p>
    <w:p>
      <w:pPr>
        <w:spacing w:after="0" w:line="184" w:lineRule="exact"/>
        <w:rPr>
          <w:sz w:val="20"/>
          <w:szCs w:val="20"/>
          <w:color w:val="auto"/>
        </w:rPr>
      </w:pPr>
    </w:p>
    <w:p>
      <w:pPr>
        <w:ind w:right="3740"/>
        <w:spacing w:after="0" w:line="378" w:lineRule="auto"/>
        <w:rPr>
          <w:sz w:val="20"/>
          <w:szCs w:val="20"/>
          <w:color w:val="auto"/>
        </w:rPr>
      </w:pPr>
      <w:r>
        <w:rPr>
          <w:rFonts w:ascii="Arial" w:cs="Arial" w:eastAsia="Arial" w:hAnsi="Arial"/>
          <w:sz w:val="18"/>
          <w:szCs w:val="18"/>
          <w:b w:val="1"/>
          <w:bCs w:val="1"/>
          <w:color w:val="auto"/>
        </w:rPr>
        <w:t>Nine Months Ended September 30, 2021 as Compared to Nine Months Ended September 30, 2020 Revenues and Gross Margin</w:t>
      </w:r>
    </w:p>
    <w:p>
      <w:pPr>
        <w:jc w:val="both"/>
        <w:spacing w:after="0" w:line="255" w:lineRule="auto"/>
        <w:rPr>
          <w:sz w:val="20"/>
          <w:szCs w:val="20"/>
          <w:color w:val="auto"/>
        </w:rPr>
      </w:pPr>
      <w:r>
        <w:rPr>
          <w:rFonts w:ascii="Arial" w:cs="Arial" w:eastAsia="Arial" w:hAnsi="Arial"/>
          <w:sz w:val="18"/>
          <w:szCs w:val="18"/>
          <w:color w:val="auto"/>
        </w:rPr>
        <w:t>For the nine months ended September 30, 2021, total revenues increased by $153.7 million to $1,136.9 million from $983.2 million for the same period in 2020. Domestic revenues increased by $106.6 million, or 15.3%, to $801.8 million and were 70.5% of total revenues for the nine months ended September 30, 2021. International revenues increased by $47.1 million, or 16.4% to $335.2 million for the nine months ended September 30, 2021 compared to $288.0 million during the same period in the prior year. The net increase of $153.7 million was a result of continuing recovery in surgical procedure volumes experienced from the COVID-19 pandemic across all franchises. Foreign exchange fluctuations had a favorable impact of $12.9 million on revenues for the year.</w:t>
      </w:r>
    </w:p>
    <w:p>
      <w:pPr>
        <w:spacing w:after="0" w:line="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Codman Specialty Surgical revenues were $754.6 million, an increase of $114.0 million, or 17.8% from the prior-year period. The Neurosurgery and Instrument portfolios increased low-double digits as a result of the continued recovery experienced from the COVID-19 pandemic.</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Tissue Technologies revenues were $382.3 million, an increase of $39.7 million, or 11.6% from the prior-year period. Within TT, our Extremity Orthopedics business was divested on January 4, 2021. Sales in our Wound Reconstruction business, excluding the impact of acquisitions, and sales in our Private Label business both increased low double digits as a result of continued recovery experienced from the COVID-19 pandemic.</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margin was $695.4 million for the nine months period ended September 30, 2021, an increase of $85.9 million from $609.5 million for the same period last year. Gross margin as a percentage of total revenue decreased to 61.2% for the nine months ended September 30, 2021 from 62.0% in the same period last year. The decrease in gross margin percentage was due to increased amortization associated with technology-based intangible assets and inventory step-up amortization in connection with the ACell Acquisition.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217"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Nine Months Ended September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44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860" w:type="dxa"/>
            <w:vAlign w:val="bottom"/>
            <w:tcBorders>
              <w:top w:val="single" w:sz="8" w:color="auto"/>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2020</w:t>
            </w:r>
          </w:p>
        </w:tc>
      </w:tr>
      <w:tr>
        <w:trPr>
          <w:trHeight w:val="211"/>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5.6 %</w:t>
            </w:r>
          </w:p>
        </w:tc>
      </w:tr>
      <w:tr>
        <w:trPr>
          <w:trHeight w:val="213"/>
        </w:trPr>
        <w:tc>
          <w:tcPr>
            <w:tcW w:w="864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640" w:type="dxa"/>
            <w:vAlign w:val="bottom"/>
          </w:tcPr>
          <w:p>
            <w:pPr>
              <w:jc w:val="right"/>
              <w:spacing w:after="0"/>
              <w:rPr>
                <w:sz w:val="20"/>
                <w:szCs w:val="20"/>
                <w:color w:val="auto"/>
              </w:rPr>
            </w:pPr>
            <w:r>
              <w:rPr>
                <w:rFonts w:ascii="Arial" w:cs="Arial" w:eastAsia="Arial" w:hAnsi="Arial"/>
                <w:sz w:val="16"/>
                <w:szCs w:val="16"/>
                <w:color w:val="auto"/>
              </w:rPr>
              <w:t>41.8 %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44.0 %</w:t>
            </w:r>
          </w:p>
        </w:tc>
      </w:tr>
      <w:tr>
        <w:trPr>
          <w:trHeight w:val="219"/>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 amortization</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07"/>
        </w:trPr>
        <w:tc>
          <w:tcPr>
            <w:tcW w:w="744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12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48.9 %</w:t>
            </w:r>
          </w:p>
        </w:tc>
        <w:tc>
          <w:tcPr>
            <w:tcW w:w="100" w:type="dxa"/>
            <w:vAlign w:val="bottom"/>
          </w:tcPr>
          <w:p>
            <w:pPr>
              <w:spacing w:after="0"/>
              <w:rPr>
                <w:sz w:val="17"/>
                <w:szCs w:val="17"/>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52.0 %</w:t>
            </w:r>
          </w:p>
        </w:tc>
      </w:tr>
      <w:tr>
        <w:trPr>
          <w:trHeight w:val="23"/>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operating expenses, which consist of selling, general and administrative expenses, research and development expenses, and amortization expenses, increased by $45.6 million, or 8.9% to $556.4 million in the nine months ended September 30, 2021, compared to $510.7 million in the same period in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Research and development expenses for the nine months ended September 30, 2021 increased by $13.1 million as compared to the same period in the prior year. This increase in spending resulted from additional spending on new product development, clinical studies and additional spending due to the European Union Medical Device Regulation compliance.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Selling, general and administrative costs increased by $43.1 million as compared to the same period in the prior year driven primarily due to higher employee related costs, higher incentive and stock-based compensation, as well as increased outside spending as revenue recovered.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(excluding amounts reported in cost of product revenues for technology-based intangible assets) for the nine months ended September 30, 2021 was $12.8 million compared to $23.4 million for the same period in prior year primarily due to a reduction in amortization expense associated with intangible assets sold in conjunction with the sale of the Extremity Orthopedics business during the current year as well as accelerated amortization expense associated with an intangible asset which was recorded in the prior year.</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total annual amortization expense to be approximately $20.2 million for the remainder of 2021, $78.8 million in 2022, $78.1 million in 2023, $77.4 million in 2024, $77.4 million in 2025, $77.2 million in 2026 and $588.9 million thereafter.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681"/>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756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420" w:type="dxa"/>
            <w:vAlign w:val="bottom"/>
          </w:tcPr>
          <w:p>
            <w:pPr>
              <w:spacing w:after="0"/>
              <w:rPr>
                <w:sz w:val="16"/>
                <w:szCs w:val="16"/>
                <w:color w:val="auto"/>
              </w:rPr>
            </w:pPr>
          </w:p>
        </w:tc>
        <w:tc>
          <w:tcPr>
            <w:tcW w:w="1360" w:type="dxa"/>
            <w:vAlign w:val="bottom"/>
          </w:tcPr>
          <w:p>
            <w:pPr>
              <w:jc w:val="right"/>
              <w:ind w:right="66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jc w:val="right"/>
              <w:ind w:right="681"/>
              <w:spacing w:after="0"/>
              <w:rPr>
                <w:sz w:val="20"/>
                <w:szCs w:val="20"/>
                <w:color w:val="auto"/>
              </w:rPr>
            </w:pPr>
            <w:r>
              <w:rPr>
                <w:rFonts w:ascii="Arial" w:cs="Arial" w:eastAsia="Arial" w:hAnsi="Arial"/>
                <w:sz w:val="14"/>
                <w:szCs w:val="14"/>
                <w:b w:val="1"/>
                <w:bCs w:val="1"/>
                <w:color w:val="auto"/>
              </w:rPr>
              <w:t>2020</w:t>
            </w:r>
          </w:p>
        </w:tc>
      </w:tr>
      <w:tr>
        <w:trPr>
          <w:trHeight w:val="217"/>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7,124</w:t>
            </w: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(38,270)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(54,230)</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from the sale of business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2,985</w:t>
            </w:r>
          </w:p>
        </w:tc>
      </w:tr>
      <w:tr>
        <w:trPr>
          <w:trHeight w:val="234"/>
        </w:trPr>
        <w:tc>
          <w:tcPr>
            <w:tcW w:w="7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non-operating income and expense</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23,883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(44,121)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for the nine months ended September 30, 2021 decreased by $1.8 million as compared to the same period last year primarily due to the settlement of cross-currency swaps designated as net investment hedges during Q4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Interest expense for the nine months ended September 30, 2021 decreased by $16.0 million as compared to the same period last year primarily due to the elimination of the non-cash interest expense as the result of the adoption ASU 2020-06 and the expenses associated with Amended and Restated Senior Credit Agreement which occurred in the prior period. </w:t>
      </w:r>
      <w:r>
        <w:rPr>
          <w:rFonts w:ascii="Arial" w:cs="Arial" w:eastAsia="Arial" w:hAnsi="Arial"/>
          <w:sz w:val="14"/>
          <w:szCs w:val="14"/>
          <w:color w:val="auto"/>
        </w:rPr>
        <w:t>See Note 1-</w:t>
      </w:r>
      <w:r>
        <w:rPr>
          <w:rFonts w:ascii="Arial" w:cs="Arial" w:eastAsia="Arial" w:hAnsi="Arial"/>
          <w:sz w:val="16"/>
          <w:szCs w:val="16"/>
          <w:color w:val="auto"/>
        </w:rPr>
        <w:t xml:space="preserve"> </w:t>
      </w:r>
      <w:r>
        <w:rPr>
          <w:rFonts w:ascii="Arial" w:cs="Arial" w:eastAsia="Arial" w:hAnsi="Arial"/>
          <w:sz w:val="14"/>
          <w:szCs w:val="14"/>
          <w:i w:val="1"/>
          <w:iCs w:val="1"/>
          <w:color w:val="auto"/>
        </w:rPr>
        <w:t>Basis of Presentation</w:t>
      </w:r>
      <w:r>
        <w:rPr>
          <w:rFonts w:ascii="Arial" w:cs="Arial" w:eastAsia="Arial" w:hAnsi="Arial"/>
          <w:sz w:val="16"/>
          <w:szCs w:val="16"/>
          <w:color w:val="auto"/>
        </w:rPr>
        <w:t xml:space="preserve"> for details in relation to the adoption of ASU 2020-06.</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from the sale of business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4, 2021, the Company completed its sale of its Extremity Orthopedics business and recognized a gain of $42.0 million in the first quarter of the current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Other income, net for the nine months ended September 30, 2021, increased by $11.9 million primarily due to income associated with the transition services agreement with Smith and Nephew which was partially offset by an unfavorable impact of foreign exchange in the prior year.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2020</w:t>
            </w:r>
          </w:p>
        </w:tc>
      </w:tr>
      <w:tr>
        <w:trPr>
          <w:trHeight w:val="211"/>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162,890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54,604</w:t>
            </w: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460" w:type="dxa"/>
            <w:vAlign w:val="bottom"/>
          </w:tcPr>
          <w:p>
            <w:pPr>
              <w:spacing w:after="0"/>
              <w:rPr>
                <w:sz w:val="18"/>
                <w:szCs w:val="18"/>
                <w:color w:val="auto"/>
              </w:rPr>
            </w:pPr>
          </w:p>
        </w:tc>
        <w:tc>
          <w:tcPr>
            <w:tcW w:w="1440" w:type="dxa"/>
            <w:vAlign w:val="bottom"/>
          </w:tcPr>
          <w:p>
            <w:pPr>
              <w:jc w:val="right"/>
              <w:ind w:right="123"/>
              <w:spacing w:after="0"/>
              <w:rPr>
                <w:sz w:val="20"/>
                <w:szCs w:val="20"/>
                <w:color w:val="auto"/>
              </w:rPr>
            </w:pPr>
            <w:r>
              <w:rPr>
                <w:rFonts w:ascii="Arial" w:cs="Arial" w:eastAsia="Arial" w:hAnsi="Arial"/>
                <w:sz w:val="16"/>
                <w:szCs w:val="16"/>
                <w:color w:val="auto"/>
              </w:rPr>
              <w:t>39,199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13,456</w:t>
            </w: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24.6 %</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rates for the nine months ended September 30, 2021 and 2020 were 24.1% and 24.6%, respectively.</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nine months ended September 30, 2021, the primary driver of the tax rate is due to the jurisdictional mix of income and a benefit related to excess tax benefits from stock compensation, offset by the tax impact of the gain on the sale of the Extremity Orthopedics business which was completed during the first quarter of 2021. For the nine months ended September 30, 2020, the primary drivers of the tax rate are the jurisdictional mix of income and a $4.2 million recognition of a deferred tax liability related to an outside tax basis from the sale of the Extremity Orthopedics business.</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expects its effective income tax rate for the full year to be approximately 24.1%, driven primarily by the jurisdictional mix of income and the tax impact of the gain from the sale of its Extremity Orthopedic business, which closed during the first quarter.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the Company's history of generating taxable earnings, in assessing our ability to realize tax assets on a quarterly basis.</w:t>
      </w:r>
    </w:p>
    <w:p>
      <w:pPr>
        <w:spacing w:after="0" w:line="62" w:lineRule="exact"/>
        <w:rPr>
          <w:sz w:val="20"/>
          <w:szCs w:val="20"/>
          <w:color w:val="auto"/>
        </w:rPr>
      </w:pPr>
    </w:p>
    <w:p>
      <w:pPr>
        <w:jc w:val="both"/>
        <w:spacing w:after="0"/>
        <w:rPr>
          <w:sz w:val="20"/>
          <w:szCs w:val="20"/>
          <w:color w:val="auto"/>
        </w:rPr>
      </w:pPr>
      <w:r>
        <w:rPr>
          <w:rFonts w:ascii="Arial" w:cs="Arial" w:eastAsia="Arial" w:hAnsi="Arial"/>
          <w:sz w:val="17"/>
          <w:szCs w:val="17"/>
          <w:color w:val="auto"/>
        </w:rPr>
        <w:t>Additionally, changes to income tax laws and regulations, in any of the tax jurisdictions in which the Company operates, could impact the effective tax rate. Various governments, both U.S. and non-U.S., are increasingly focused on tax reform and revenue-raising legislation. The current U.S. administration has proposed tax reform which, if enacted, would increase the Company’s U.S. federal income tax liability. Further, legislation in foreign jurisdictions may be enacted, in response to the base erosion and profit-shifting (BEPS) project begun by the Organization for Economic Cooperation and Development (OECD). The OECD recently finalized major reform of the international tax system with respect to a minimum tax rate. Such changes in U.S. and Non-U.S. jurisdictions could have an adverse effect on the Company’s effective tax rate.</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outcome or the timing of the resolution of a particular matter with the various federal, state, and foreign tax authorities, we believe that our reserves reflect the most probable outcome of known tax contingencies. Settlement of a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we expect to pay in the coming year, which would be classified as current income taxes payable.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attributes revenues to geographic areas based on the location of the customer. Total revenue by major geographic area consisted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3020" w:type="dxa"/>
            <w:vAlign w:val="bottom"/>
            <w:gridSpan w:val="4"/>
          </w:tcPr>
          <w:p>
            <w:pPr>
              <w:jc w:val="right"/>
              <w:ind w:right="541"/>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3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2020</w:t>
            </w:r>
          </w:p>
        </w:tc>
      </w:tr>
      <w:tr>
        <w:trPr>
          <w:trHeight w:val="211"/>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266,477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801,754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695,179</w:t>
            </w: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Europe</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46,458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45,995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140,714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123,917</w:t>
            </w: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40,473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136,616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113,934</w:t>
            </w:r>
          </w:p>
        </w:tc>
      </w:tr>
      <w:tr>
        <w:trPr>
          <w:trHeight w:val="21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 of World</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19,613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17,287</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57,840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50,191</w:t>
            </w:r>
          </w:p>
        </w:tc>
      </w:tr>
      <w:tr>
        <w:trPr>
          <w:trHeight w:val="23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386,861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370,232</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1,136,924</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983,221</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generates significant revenues outside the U.S., a portion of which are U.S. dollar-denominated transactions conducted with customers that generate revenue in currencies other than the U.S. dollar. As a result, currency fluctuations between the U.S. dollar and the currencies in which those customers do business could have an impact on the demand for the Company's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8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Domestic revenues increased by $9.3 million for the three months ended September 30, 2021 compared to the same period last year. European sales increased by $0.5 million for the three months ended September 30, 2021 compared to the same period last year. Sales to customers in Asia Pacific increased by $4.5 million for the three months ended September 30, 2021. The Rest of World for the three months ended September 30, 2021 increased by $2.3 million compared to the same period last year. The increase in revenues globally was primarily driven by the continued recovery experienced from the COVID-19 pandemic across all franchises compared to the prior year due to rebound in surgical procedure volumes as well as the launch of the CereLink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ICP Monitor which occurred in the third quarter. Sales in China and Japan continue to drive international growth, and continue to see improving performance in several key markets in Europe, Canada and our indirect markets.</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Domestic revenues increased by $106.6 million for the nine months ended September 30, 2021 compared to the same period last year. European sales increased by $16.8 million for the nine months ended September 30, 2021 compared to the same period last year. Sales to customers in Asia Pacific increased by $22.7 million for the nine months ended September 30, 2021. The Rest of World for the nine months ended September 30, 2021 increased by $7.6 million compared to the same period last year. The increase in revenues globally was primarily as a result of the continued recovery experienced from the COVID-19 pandemic across all franchises compared to the prior year due to rebound in surgical procedure volumes.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working capital as of September 30, 2021 and December 31, 2020 was $770.9 million and $836.2 million, respectively. Working capital consists of total current assets less total current liabilities as presented in the consolidated balance sheets.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had cash and cash equivalents totaling approximately $470.2 million at September 30, 2021 and December 31, 2020 respectively, which are valued based on Level 1 measurements in the fair value hierarchy. At September 30, 2021, our non-U.S. subsidiaries held approximately $265.6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 The Company does not anticipate the need to repatriate earnings from foreign subsidiaries as a result of the impact of the COVID-19 pandemic.</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681"/>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2020</w:t>
            </w:r>
          </w:p>
        </w:tc>
      </w:tr>
      <w:tr>
        <w:trPr>
          <w:trHeight w:val="211"/>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243,150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123,570</w:t>
            </w: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(133,958)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(32,152)</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provided by financing activities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100,403</w:t>
            </w:r>
          </w:p>
        </w:tc>
      </w:tr>
      <w:tr>
        <w:trPr>
          <w:trHeight w:val="210"/>
        </w:trPr>
        <w:tc>
          <w:tcPr>
            <w:tcW w:w="7560" w:type="dxa"/>
            <w:vAlign w:val="bottom"/>
          </w:tcPr>
          <w:p>
            <w:pPr>
              <w:ind w:left="20"/>
              <w:spacing w:after="0"/>
              <w:rPr>
                <w:sz w:val="20"/>
                <w:szCs w:val="20"/>
                <w:color w:val="auto"/>
              </w:rPr>
            </w:pPr>
            <w:r>
              <w:rPr>
                <w:rFonts w:ascii="Arial" w:cs="Arial" w:eastAsia="Arial" w:hAnsi="Arial"/>
                <w:sz w:val="16"/>
                <w:szCs w:val="16"/>
                <w:color w:val="auto"/>
              </w:rPr>
              <w:t>Effect of exchange rate fluctuations on cash</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(10,380)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5,547</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Operating cash flows for the nine months ended September 30, 2021 increased by $119.6 million compared to the same period in 2020. Net income after removing the impact of the gain on sale of business and non-cash adjustments increased for the nine months ended September 30, 2021 by approximately $25.4 million as compared to the same period in 2020 primarily due to the continuing revenue recovery in the current year as compared to the height of the COVID-19 pandemic in the first half of the 2020. The changes in assets and liabilities, net of business acquisitions, increased cash flows by $43.4 million as compared to the decrease of $50.8 million for the same period in 2020. The improvement in 2021 working capital is attributable to a smaller increase in inventory of $3.6 million due to investments in building safety stock made in the prior year where inventory increased by $45.5 million.</w:t>
      </w:r>
    </w:p>
    <w:p>
      <w:pPr>
        <w:spacing w:after="0" w:line="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Operating cash flows for the nine months ended September 30, 2020 decreased compared to the same period in 2019. For the nine months ended September 30, 2020, net income after non-cash adjustments decreased by approximately $21.3 million to $174.4 million from $195.7 million when compared to the same period in 2019 primarily due to adverse effects of the COVID-19 pandemic. The changes in assets and liabilities, net of business acquisitions, decreased cash flows from operating activities by $50.8 million for the nine months ended September 30, 2020 compared to a decrease of $53.5 million for the same period in 2019. The decrease in 2020 is attributable to an increase in inventory to improve safety stock of select products. In addition, decreases were also driven by reduced payables offset by decreases in accounts receivable due to lower revenue and continued collection efforts.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nine months ended September 30, 2021, we paid a net cash amount of $303.9 million in relation to the acquisition of ACell and received net proceeds of $190.5 million for the sale of the Extremity Orthopedics business. The Company also paid for $20.6 million capital expenditures to support operations improvement initiatives at a number of our manufacturing facilities and other information technology investments.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2020, the Company paid $30.5 million for capital expenditures, most of which were directed to our facilities located in Mansfield, MA; Boston, MA; Memphis, TN; and Princeton, NJ.</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Financing Activities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Uses of cash from financing activities in the nine months ended September 30, 2021 were repayments of $114.3 million under our Senior Credit Facility and Securitization Facility. In addition, the Company had $4.3 million in cash taxes paid in net equity settlements. These uses were offset by $6.6 million proceeds from the exercise of stock options and $13.5 million borrowings under our Senior Credit Facility and Securitization Facility.</w:t>
      </w:r>
    </w:p>
    <w:p>
      <w:pPr>
        <w:spacing w:after="0" w:line="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Sources of cash from financing activities in the nine months ended September 30, 2020 were $515.3 million proceeds from the issuance of Convertible Senior Notes including the call and warrant transactions, $151.3 million borrowing under our Senior Credit Facility and Securitization Facility. These were offset by repayments of $441.0 million on the revolving portion of our Senior Credit Facility and Securitization Facility, $24.3 million debt issuance costs related to the Amended and Restated Senior Credit Agreement and the issuance of the 2025 Notes and $100.0 million purchases of treasury stock.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 Convertible Senior Notes, Securitization and Related Hedging Activities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the current period’s condensed consolidated financial statements for a discussion of our Amended and Restated Senior Credit Agreement, the 2025 Notes and Securitization Facility and Note 7-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for discussion of our hedging activities. We are forecasting that sales and earnings for the next twelve months will be sufficient to remain in compliance with our financial covenants under the terms of the February 2020 Amendment and July 2020 Amendment to the Senior Credit Facility.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7, 2020, the Board authorized the Company to repurchase up to $225 million of the Company’s common stock. The program allows the Company to repurchase its shares opportunistically from time to time. The repurchase authorization expires in December 2022. The Company has $225.0 million remaining under the share repurchase of its Common Stock. The price and timing of any future purchases under the share repurchase program will depend on factors such as levels of cash generation from operations, the volume of stock option exercises by employees, cash requirements for acquisitions, dividends, economic and market conditions and stock price.</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 ended December 31, 2020, the Company repurchased 2.1 million shares of Integra’s common stock as a part of our previous share repurchase authorization. The Company utilized $100.0 million of net proceeds from the offering of the 2025 Notes to execute the share repurchase transactions. This included $7.6 million from certain purchasers of the convertible notes in conjunction with the closing of the offering. On February 5, 2020, the Company entered into a $92.4 million accelerated share repurchase ("ASR") to complete the remaining $100.0 million of share repurchase. The Company received 1.3 million shares through the ASR, which represented approximately 80% of the expected total shares. Upon settlement of the ASR in June 2020, the Company received an additional 0.6 million shares determined using the volume-weighted average price of the Company's common stock during the term of the transaction.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paid any cash dividends on our common stock since our formation. Our Senior Credit Facility limits the amount of dividends that we may pay. Any future determinations to pay cash dividends on our common stock will be at the discretion of the Board and will depend upon our financial condition, results of operations, cash flows and other factors deemed relevant by the Board.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for the foreseeable future. Our future capital requirements will depend on many factors, including the growth of our business, the timing and introduction of new products and investments, strategic plans and acquisitions, among others. Additional sources of liquidity available to us include short term borrowings and the issuance of long term debt and equity securities.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do not have any off–balance sheet financing arrangements during the nine months ended September 30, 2021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 Company is obligated to pay the following amounts under various agreements: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Payments Due by Calendar Year</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8"/>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millions</w:t>
            </w:r>
          </w:p>
        </w:tc>
        <w:tc>
          <w:tcPr>
            <w:tcW w:w="3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7"/>
              </w:rPr>
              <w:t>Remaining 2021</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2022-2023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2024-2025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Thereafter</w:t>
            </w:r>
          </w:p>
        </w:tc>
      </w:tr>
      <w:tr>
        <w:trPr>
          <w:trHeight w:val="211"/>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Revolving Credit Facility (1)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Term Loan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Securitization Facility (1)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Convertible Debt (4)</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Employment Agreements (3)</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Purchase Obligations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1,749.7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1,479.5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w:t>
            </w:r>
          </w:p>
        </w:tc>
      </w:tr>
      <w:tr>
        <w:trPr>
          <w:trHeight w:val="21"/>
        </w:trPr>
        <w:tc>
          <w:tcPr>
            <w:tcW w:w="3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firstLine="8"/>
        <w:spacing w:after="0" w:line="246" w:lineRule="auto"/>
        <w:tabs>
          <w:tab w:leader="none" w:pos="163"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The Company may borrow and make payments against the revolving credit portion of its Senior Credit Facility and Securitization Facility from time to time and considers all of the outstanding amounts to be long term based on its current intent and ability to repay the borrowing outside of the next twelve-month period.</w:t>
      </w:r>
    </w:p>
    <w:p>
      <w:pPr>
        <w:spacing w:after="0" w:line="58" w:lineRule="exact"/>
        <w:rPr>
          <w:rFonts w:ascii="Arial" w:cs="Arial" w:eastAsia="Arial" w:hAnsi="Arial"/>
          <w:sz w:val="19"/>
          <w:szCs w:val="19"/>
          <w:color w:val="auto"/>
          <w:vertAlign w:val="superscript"/>
        </w:rPr>
      </w:pPr>
    </w:p>
    <w:p>
      <w:pPr>
        <w:ind w:firstLine="8"/>
        <w:spacing w:after="0" w:line="235" w:lineRule="auto"/>
        <w:tabs>
          <w:tab w:leader="none" w:pos="175"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Interest is calculated on the term loan portion of the Senior Credit Facility based on LIBOR plus the spread paid by the Company. As the revolving credit facility and Securitization Facility can be repaid at any time, no interest has been included in the calculation.</w:t>
      </w:r>
    </w:p>
    <w:p>
      <w:pPr>
        <w:spacing w:after="0" w:line="43" w:lineRule="exact"/>
        <w:rPr>
          <w:rFonts w:ascii="Arial" w:cs="Arial" w:eastAsia="Arial" w:hAnsi="Arial"/>
          <w:sz w:val="20"/>
          <w:szCs w:val="20"/>
          <w:color w:val="auto"/>
          <w:vertAlign w:val="superscript"/>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Amounts shown under Employment Agreements do not include compensation resulting from a change in control.</w:t>
      </w:r>
    </w:p>
    <w:p>
      <w:pPr>
        <w:spacing w:after="0" w:line="77" w:lineRule="exact"/>
        <w:rPr>
          <w:rFonts w:ascii="Arial" w:cs="Arial" w:eastAsia="Arial" w:hAnsi="Arial"/>
          <w:sz w:val="21"/>
          <w:szCs w:val="21"/>
          <w:color w:val="auto"/>
          <w:vertAlign w:val="superscript"/>
        </w:rPr>
      </w:pPr>
    </w:p>
    <w:p>
      <w:pPr>
        <w:jc w:val="both"/>
        <w:ind w:right="20" w:firstLine="8"/>
        <w:spacing w:after="0" w:line="245" w:lineRule="auto"/>
        <w:tabs>
          <w:tab w:leader="none" w:pos="174"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 xml:space="preserve">On February 4, 2020, the Company issued $575.0 million aggregate principal amount of its of 0.5% Convertible Senior Notes due 2025 (the "2025 Notes"). The 2025 Notes will mature on August 15, 2025 and bear interest at a rate of 0.5% per annum payable semi-annually in arrears, unless earlier converted, repurchased or redeemed in accordance with the terms of the Notes. See Note 6- </w:t>
      </w:r>
      <w:r>
        <w:rPr>
          <w:rFonts w:ascii="Arial" w:cs="Arial" w:eastAsia="Arial" w:hAnsi="Arial"/>
          <w:sz w:val="15"/>
          <w:szCs w:val="15"/>
          <w:i w:val="1"/>
          <w:iCs w:val="1"/>
          <w:color w:val="auto"/>
        </w:rPr>
        <w:t>Debt</w:t>
      </w:r>
      <w:r>
        <w:rPr>
          <w:rFonts w:ascii="Arial" w:cs="Arial" w:eastAsia="Arial" w:hAnsi="Arial"/>
          <w:sz w:val="15"/>
          <w:szCs w:val="15"/>
          <w:color w:val="auto"/>
        </w:rPr>
        <w:t>, for the details on the 2025 Notes.</w:t>
      </w:r>
    </w:p>
    <w:p>
      <w:pPr>
        <w:spacing w:after="0" w:line="15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has excluded its contingent consideration obligation related to prior and current year acquisitions from the contractual obligations table above; this liability had a total estimated fair value of $37.8 million at September 30, 2021. This liability has been excluded because the amount to be paid or the potential payment date is not fixed.</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has excluded its future pension contribution obligations from the table above. This has been excluded because the future amounts to be paid and the potential payment dates are not fixed.</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excluded the liability for uncertain tax benefits from the contractual obligations table above, including interest and penalties, totaling</w:t>
      </w:r>
    </w:p>
    <w:p>
      <w:pPr>
        <w:spacing w:after="0" w:line="46"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$0.8 million at September 30, 2021. This liability for uncertain tax benefits has been excluded because we cannot make a reliable estimate of the period in which the uncertain tax benefits may be realized.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critical accounting estimates included in the Company's Annual Report on Form 10-K for the fiscal year ended December 31, 2020 have not materially changed.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regarding new accounting pronouncements is included in Note 1</w:t>
      </w:r>
      <w:r>
        <w:rPr>
          <w:rFonts w:ascii="Arial" w:cs="Arial" w:eastAsia="Arial" w:hAnsi="Arial"/>
          <w:sz w:val="18"/>
          <w:szCs w:val="18"/>
          <w:i w:val="1"/>
          <w:iCs w:val="1"/>
          <w:color w:val="auto"/>
        </w:rPr>
        <w:t>- Basis of Presentation</w:t>
      </w:r>
      <w:r>
        <w:rPr>
          <w:rFonts w:ascii="Arial" w:cs="Arial" w:eastAsia="Arial" w:hAnsi="Arial"/>
          <w:sz w:val="18"/>
          <w:szCs w:val="18"/>
          <w:color w:val="auto"/>
        </w:rPr>
        <w:t xml:space="preserve"> to the current period’s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7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7-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for further information.</w:t>
      </w:r>
    </w:p>
    <w:p>
      <w:pPr>
        <w:spacing w:after="0" w:line="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points movement in interest rates applicable to our cash and cash equivalents outstanding at September 30, 2021 would increase interest income by approximately $4.7 million on an annual basis. No significant decrease in interest income would be expected as our cash balances are earning interest at rates of approximately one basis point. We are subject to foreign currency exchange risk with respect to cash balances maintained in foreign currencies.</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Debt</w:t>
      </w:r>
      <w:r>
        <w:rPr>
          <w:rFonts w:ascii="Arial" w:cs="Arial" w:eastAsia="Arial" w:hAnsi="Arial"/>
          <w:sz w:val="17"/>
          <w:szCs w:val="17"/>
          <w:i w:val="1"/>
          <w:iCs w:val="1"/>
          <w:color w:val="auto"/>
        </w:rPr>
        <w:t xml:space="preserve"> </w:t>
      </w:r>
      <w:r>
        <w:rPr>
          <w:rFonts w:ascii="Arial" w:cs="Arial" w:eastAsia="Arial" w:hAnsi="Arial"/>
          <w:sz w:val="17"/>
          <w:szCs w:val="17"/>
          <w:color w:val="auto"/>
        </w:rPr>
        <w:t>- Our interest rate risk relates primarily to U.S. dollar LIBOR-indexed borrowings. We use interest rate swap derivative instruments to manage our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earnings and cash flow exposure to changes in interest rates. These interest rate swaps fix the interest rate on a portion of our expected LIBOR-indexed floating-rate borrowings. These interest rate swaps were designated as cash flow hedges as of September 30, 2021. The total notional amounts related to the Company’s interest rate swaps were $1.8 billion with $875.0 million effective as of September 30, 2021. Based on our outstanding borrowings at September 30, 2021, a 100 basis points change in interest rates would have impacted interest expense on the unhedged portion of the debt by $1.1 million on an annualized basis. See Note 7- </w:t>
      </w:r>
      <w:r>
        <w:rPr>
          <w:rFonts w:ascii="Arial" w:cs="Arial" w:eastAsia="Arial" w:hAnsi="Arial"/>
          <w:sz w:val="17"/>
          <w:szCs w:val="17"/>
          <w:i w:val="1"/>
          <w:iCs w:val="1"/>
          <w:color w:val="auto"/>
        </w:rPr>
        <w:t>Derivative Instruments</w:t>
      </w:r>
      <w:r>
        <w:rPr>
          <w:rFonts w:ascii="Arial" w:cs="Arial" w:eastAsia="Arial" w:hAnsi="Arial"/>
          <w:sz w:val="17"/>
          <w:szCs w:val="17"/>
          <w:color w:val="auto"/>
        </w:rPr>
        <w:t>, for the details of interest rate swaps.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maintains disclosure controls and procedures that are designed to provide reasonable assurance that information required to be disclosed in our Exchange Act report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required by Exchange Act Rule 13a-15(b), the Company has carried out an evaluation, under the supervision and with the participation of our management, including our principal executive officer and principal financial officer, of the effectiveness of the design and operation of our disclosure controls and procedures as of September 30, 2021. Based upon this evaluation, our principal executive officer and principal financial officer concluded that our disclosure controls and procedures were effective as of September 30, 2021 to provide such reasonable assurance.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quarter ended September 30, 2021 that have materially affected, or are reasonably likely to materially affect, our internal control over financial reporting.</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response to business integration activities, the Company has and will continue to further align and streamline the design and operation of the financial control environment to be responsive to the changing business model.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pertaining to legal proceedings can be found in Note 16- </w:t>
      </w:r>
      <w:r>
        <w:rPr>
          <w:rFonts w:ascii="Arial" w:cs="Arial" w:eastAsia="Arial" w:hAnsi="Arial"/>
          <w:sz w:val="18"/>
          <w:szCs w:val="18"/>
          <w:i w:val="1"/>
          <w:iCs w:val="1"/>
          <w:color w:val="auto"/>
        </w:rPr>
        <w:t>Commitment and Contingencies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212529"/>
        </w:rPr>
        <w:t>There have been no material changes in the Company's risk factors included in our Annual Report on Form 10-K for the fiscal year ended December 31, 2020 and subsequent periodic reports filed with the Securities and Exchange Commission pursuant to the Securities Exchange Act of 1934, as amended.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pertaining to our common stock under the repurchase program can be found in Note 11- </w:t>
      </w:r>
      <w:r>
        <w:rPr>
          <w:rFonts w:ascii="Arial" w:cs="Arial" w:eastAsia="Arial" w:hAnsi="Arial"/>
          <w:sz w:val="18"/>
          <w:szCs w:val="18"/>
          <w:i w:val="1"/>
          <w:iCs w:val="1"/>
          <w:color w:val="auto"/>
        </w:rPr>
        <w:t>Treasury Stock</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2" w:lineRule="exact"/>
        <w:rPr>
          <w:sz w:val="20"/>
          <w:szCs w:val="20"/>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Reference is hereby made to the Exhibit Index on page </w:t>
      </w:r>
      <w:hyperlink w:anchor="page51">
        <w:r>
          <w:rPr>
            <w:rFonts w:ascii="Arial" w:cs="Arial" w:eastAsia="Arial" w:hAnsi="Arial"/>
            <w:sz w:val="18"/>
            <w:szCs w:val="18"/>
            <w:color w:val="auto"/>
          </w:rPr>
          <w:t>52.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INTEGRA LIFESCIENCES HOLDINGS CORPORATION</w:t>
            </w:r>
          </w:p>
        </w:tc>
      </w:tr>
      <w:tr>
        <w:trPr>
          <w:trHeight w:val="499"/>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tcPr>
          <w:p>
            <w:pPr>
              <w:ind w:left="120"/>
              <w:spacing w:after="0"/>
              <w:rPr>
                <w:sz w:val="20"/>
                <w:szCs w:val="20"/>
                <w:color w:val="auto"/>
              </w:rPr>
            </w:pPr>
            <w:r>
              <w:rPr>
                <w:rFonts w:ascii="Arial" w:cs="Arial" w:eastAsia="Arial" w:hAnsi="Arial"/>
                <w:sz w:val="18"/>
                <w:szCs w:val="18"/>
                <w:color w:val="auto"/>
              </w:rPr>
              <w:t>November 2, 2021</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J. Arduini</w:t>
            </w:r>
          </w:p>
        </w:tc>
      </w:tr>
      <w:tr>
        <w:trPr>
          <w:trHeight w:val="222"/>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Peter J. Arduini</w:t>
            </w:r>
          </w:p>
        </w:tc>
      </w:tr>
      <w:tr>
        <w:trPr>
          <w:trHeight w:val="229"/>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50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tcPr>
          <w:p>
            <w:pPr>
              <w:ind w:left="120"/>
              <w:spacing w:after="0"/>
              <w:rPr>
                <w:sz w:val="20"/>
                <w:szCs w:val="20"/>
                <w:color w:val="auto"/>
              </w:rPr>
            </w:pPr>
            <w:r>
              <w:rPr>
                <w:rFonts w:ascii="Arial" w:cs="Arial" w:eastAsia="Arial" w:hAnsi="Arial"/>
                <w:sz w:val="18"/>
                <w:szCs w:val="18"/>
                <w:color w:val="auto"/>
              </w:rPr>
              <w:t>November 2, 2021</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Carrie L. Anderson</w:t>
            </w:r>
          </w:p>
        </w:tc>
      </w:tr>
      <w:tr>
        <w:trPr>
          <w:trHeight w:val="222"/>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Carrie L. Anderson</w:t>
            </w:r>
          </w:p>
        </w:tc>
      </w:tr>
      <w:tr>
        <w:trPr>
          <w:trHeight w:val="230"/>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99"/>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tcPr>
          <w:p>
            <w:pPr>
              <w:ind w:left="120"/>
              <w:spacing w:after="0"/>
              <w:rPr>
                <w:sz w:val="20"/>
                <w:szCs w:val="20"/>
                <w:color w:val="auto"/>
              </w:rPr>
            </w:pPr>
            <w:r>
              <w:rPr>
                <w:rFonts w:ascii="Arial" w:cs="Arial" w:eastAsia="Arial" w:hAnsi="Arial"/>
                <w:sz w:val="18"/>
                <w:szCs w:val="18"/>
                <w:color w:val="auto"/>
              </w:rPr>
              <w:t>November 2, 2021</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A. Mosebrook</w:t>
            </w:r>
          </w:p>
        </w:tc>
      </w:tr>
      <w:tr>
        <w:trPr>
          <w:trHeight w:val="222"/>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Jeffrey A. Mosebrook</w:t>
            </w:r>
          </w:p>
        </w:tc>
      </w:tr>
      <w:tr>
        <w:trPr>
          <w:trHeight w:val="229"/>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Senior Vice President, Finance</w:t>
            </w:r>
          </w:p>
        </w:tc>
      </w:tr>
      <w:tr>
        <w:trPr>
          <w:trHeight w:val="230"/>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1140" w:type="dxa"/>
            <w:vAlign w:val="bottom"/>
            <w:gridSpan w:val="3"/>
          </w:tcPr>
          <w:p>
            <w:pPr>
              <w:jc w:val="right"/>
              <w:ind w:right="480"/>
              <w:spacing w:after="0"/>
              <w:rPr>
                <w:sz w:val="20"/>
                <w:szCs w:val="20"/>
                <w:color w:val="auto"/>
              </w:rPr>
            </w:pPr>
            <w:r>
              <w:rPr>
                <w:rFonts w:ascii="Arial" w:cs="Arial" w:eastAsia="Arial" w:hAnsi="Arial"/>
                <w:sz w:val="18"/>
                <w:szCs w:val="18"/>
                <w:color w:val="auto"/>
              </w:rPr>
              <w:t>Exhibits</w:t>
            </w:r>
          </w:p>
        </w:tc>
        <w:tc>
          <w:tcPr>
            <w:tcW w:w="7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317"/>
        </w:trPr>
        <w:tc>
          <w:tcPr>
            <w:tcW w:w="60" w:type="dxa"/>
            <w:vAlign w:val="bottom"/>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744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53">
              <w:r>
                <w:rPr>
                  <w:rFonts w:ascii="Arial" w:cs="Arial" w:eastAsia="Arial" w:hAnsi="Arial"/>
                  <w:sz w:val="18"/>
                  <w:szCs w:val="18"/>
                  <w:color w:val="0000FF"/>
                  <w:w w:val="91"/>
                </w:rPr>
                <w:t>Certification of Principal Executive Officer Pursuant to Section 302 of the Sarbanes-Oxley Act of 2002</w:t>
              </w:r>
            </w:hyperlink>
          </w:p>
        </w:tc>
        <w:tc>
          <w:tcPr>
            <w:tcW w:w="2120" w:type="dxa"/>
            <w:vAlign w:val="bottom"/>
          </w:tcPr>
          <w:p>
            <w:pPr>
              <w:spacing w:after="0"/>
              <w:rPr>
                <w:sz w:val="24"/>
                <w:szCs w:val="24"/>
                <w:color w:val="auto"/>
              </w:rPr>
            </w:pPr>
          </w:p>
        </w:tc>
      </w:tr>
      <w:tr>
        <w:trPr>
          <w:trHeight w:val="318"/>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9560" w:type="dxa"/>
            <w:vAlign w:val="bottom"/>
            <w:gridSpan w:val="3"/>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Certification of Principal Financial Officer Pursuant to Section 302 of the Sarbanes-Oxley Act of 2002</w:t>
              </w:r>
            </w:hyperlink>
          </w:p>
        </w:tc>
      </w:tr>
      <w:tr>
        <w:trPr>
          <w:trHeight w:val="20"/>
        </w:trPr>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38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318"/>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4"/>
                <w:szCs w:val="24"/>
                <w:color w:val="auto"/>
              </w:rPr>
            </w:pPr>
          </w:p>
        </w:tc>
        <w:tc>
          <w:tcPr>
            <w:tcW w:w="744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55">
              <w:r>
                <w:rPr>
                  <w:rFonts w:ascii="Arial" w:cs="Arial" w:eastAsia="Arial" w:hAnsi="Arial"/>
                  <w:sz w:val="18"/>
                  <w:szCs w:val="18"/>
                  <w:color w:val="0000FF"/>
                  <w:w w:val="91"/>
                </w:rPr>
                <w:t>Certification of Principal Executive Officer Pursuant to Section 906 of the Sarbanes-Oxley Act of 2002</w:t>
              </w:r>
            </w:hyperlink>
          </w:p>
        </w:tc>
        <w:tc>
          <w:tcPr>
            <w:tcW w:w="2120" w:type="dxa"/>
            <w:vAlign w:val="bottom"/>
          </w:tcPr>
          <w:p>
            <w:pPr>
              <w:spacing w:after="0"/>
              <w:rPr>
                <w:sz w:val="24"/>
                <w:szCs w:val="24"/>
                <w:color w:val="auto"/>
              </w:rPr>
            </w:pPr>
          </w:p>
        </w:tc>
      </w:tr>
      <w:tr>
        <w:trPr>
          <w:trHeight w:val="318"/>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480" w:type="dxa"/>
            <w:vAlign w:val="bottom"/>
          </w:tcPr>
          <w:p>
            <w:pPr>
              <w:spacing w:after="0"/>
              <w:rPr>
                <w:sz w:val="24"/>
                <w:szCs w:val="24"/>
                <w:color w:val="auto"/>
              </w:rPr>
            </w:pPr>
          </w:p>
        </w:tc>
        <w:tc>
          <w:tcPr>
            <w:tcW w:w="9560" w:type="dxa"/>
            <w:vAlign w:val="bottom"/>
            <w:gridSpan w:val="3"/>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Certification of Principal Financial Officer Pursuant to Section 906 of the Sarbanes-Oxley Act of 2002</w:t>
              </w:r>
            </w:hyperlink>
          </w:p>
        </w:tc>
      </w:tr>
      <w:tr>
        <w:trPr>
          <w:trHeight w:val="20"/>
        </w:trPr>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38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*†101.INS</w:t>
            </w:r>
          </w:p>
        </w:tc>
        <w:tc>
          <w:tcPr>
            <w:tcW w:w="9560" w:type="dxa"/>
            <w:vAlign w:val="bottom"/>
            <w:gridSpan w:val="3"/>
          </w:tcPr>
          <w:p>
            <w:pPr>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r>
      <w:tr>
        <w:trPr>
          <w:trHeight w:val="230"/>
        </w:trPr>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gridSpan w:val="3"/>
          </w:tcPr>
          <w:p>
            <w:pPr>
              <w:spacing w:after="0"/>
              <w:rPr>
                <w:sz w:val="20"/>
                <w:szCs w:val="20"/>
                <w:color w:val="auto"/>
              </w:rPr>
            </w:pPr>
            <w:r>
              <w:rPr>
                <w:rFonts w:ascii="Arial" w:cs="Arial" w:eastAsia="Arial" w:hAnsi="Arial"/>
                <w:sz w:val="18"/>
                <w:szCs w:val="18"/>
                <w:color w:val="auto"/>
              </w:rPr>
              <w:t>within the Inline XBRL document.</w:t>
            </w:r>
          </w:p>
        </w:tc>
      </w:tr>
      <w:tr>
        <w:trPr>
          <w:trHeight w:val="337"/>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*†101.SCH</w:t>
            </w:r>
          </w:p>
        </w:tc>
        <w:tc>
          <w:tcPr>
            <w:tcW w:w="956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6"/>
              </w:rPr>
              <w:t>*†101.CAL</w:t>
            </w:r>
          </w:p>
        </w:tc>
        <w:tc>
          <w:tcPr>
            <w:tcW w:w="956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5"/>
              </w:rPr>
              <w:t>*†101.DEF</w:t>
            </w:r>
          </w:p>
        </w:tc>
        <w:tc>
          <w:tcPr>
            <w:tcW w:w="9560" w:type="dxa"/>
            <w:vAlign w:val="bottom"/>
            <w:gridSpan w:val="3"/>
          </w:tcPr>
          <w:p>
            <w:pPr>
              <w:spacing w:after="0"/>
              <w:rPr>
                <w:sz w:val="20"/>
                <w:szCs w:val="20"/>
                <w:color w:val="auto"/>
              </w:rPr>
            </w:pPr>
            <w:r>
              <w:rPr>
                <w:rFonts w:ascii="Arial" w:cs="Arial" w:eastAsia="Arial" w:hAnsi="Arial"/>
                <w:sz w:val="18"/>
                <w:szCs w:val="18"/>
                <w:color w:val="auto"/>
              </w:rPr>
              <w:t>XBRL Definition Linkbase Document</w:t>
            </w:r>
          </w:p>
        </w:tc>
      </w:tr>
      <w:tr>
        <w:trPr>
          <w:trHeight w:val="338"/>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7"/>
              </w:rPr>
              <w:t>*†101.LAB</w:t>
            </w:r>
          </w:p>
        </w:tc>
        <w:tc>
          <w:tcPr>
            <w:tcW w:w="9560" w:type="dxa"/>
            <w:vAlign w:val="bottom"/>
            <w:gridSpan w:val="3"/>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38"/>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4"/>
              </w:rPr>
              <w:t>*†101.PRE</w:t>
            </w:r>
          </w:p>
        </w:tc>
        <w:tc>
          <w:tcPr>
            <w:tcW w:w="956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07" w:lineRule="exact"/>
        <w:rPr>
          <w:sz w:val="20"/>
          <w:szCs w:val="20"/>
          <w:color w:val="auto"/>
        </w:rPr>
      </w:pPr>
    </w:p>
    <w:p>
      <w:pPr>
        <w:ind w:left="700" w:hanging="634"/>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700" w:hanging="634"/>
        <w:spacing w:after="0"/>
        <w:tabs>
          <w:tab w:leader="none" w:pos="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345" w:lineRule="exact"/>
        <w:rPr>
          <w:rFonts w:ascii="Arial" w:cs="Arial" w:eastAsia="Arial" w:hAnsi="Arial"/>
          <w:sz w:val="18"/>
          <w:szCs w:val="18"/>
          <w:color w:val="auto"/>
        </w:rPr>
      </w:pPr>
    </w:p>
    <w:p>
      <w:pPr>
        <w:jc w:val="right"/>
        <w:ind w:left="500" w:hanging="492"/>
        <w:spacing w:after="0" w:line="287" w:lineRule="auto"/>
        <w:tabs>
          <w:tab w:leader="none" w:pos="16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financial information of Integra LifeSciences Holdings Corporation Quarterly Report on Form 10-Q for the quarter ended September 30, 2021 filed on November 2, 2021 formatted in XBRL (Extensible Business Reporting Language): (i) the Condensed Consolidated Statements of Operations and Comprehensive Income, (ii) the Condensed Consolidated Balance Sheets, (iii) Parenthetical Data to the Condensed Consolidated Balance Sheets,</w:t>
      </w:r>
    </w:p>
    <w:p>
      <w:pPr>
        <w:spacing w:after="0" w:line="2" w:lineRule="exact"/>
        <w:rPr>
          <w:rFonts w:ascii="Arial" w:cs="Arial" w:eastAsia="Arial" w:hAnsi="Arial"/>
          <w:sz w:val="16"/>
          <w:szCs w:val="16"/>
          <w:color w:val="auto"/>
        </w:rPr>
      </w:pPr>
    </w:p>
    <w:p>
      <w:pPr>
        <w:ind w:left="500" w:hanging="6"/>
        <w:spacing w:after="0" w:line="260" w:lineRule="auto"/>
        <w:tabs>
          <w:tab w:leader="none" w:pos="856"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7"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29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7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7"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29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Pr>
          <w:p>
            <w:pPr>
              <w:ind w:left="240"/>
              <w:spacing w:after="0"/>
              <w:rPr>
                <w:sz w:val="20"/>
                <w:szCs w:val="20"/>
                <w:color w:val="auto"/>
              </w:rPr>
            </w:pPr>
            <w:r>
              <w:rPr>
                <w:rFonts w:ascii="Arial" w:cs="Arial" w:eastAsia="Arial" w:hAnsi="Arial"/>
                <w:sz w:val="18"/>
                <w:szCs w:val="18"/>
                <w:color w:val="auto"/>
              </w:rPr>
              <w:t>November 2, 2021</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J. Arduini</w:t>
            </w:r>
          </w:p>
        </w:tc>
      </w:tr>
      <w:tr>
        <w:trPr>
          <w:trHeight w:val="222"/>
        </w:trPr>
        <w:tc>
          <w:tcPr>
            <w:tcW w:w="6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Peter J. Arduini</w:t>
            </w:r>
          </w:p>
        </w:tc>
      </w:tr>
      <w:tr>
        <w:trPr>
          <w:trHeight w:val="230"/>
        </w:trPr>
        <w:tc>
          <w:tcPr>
            <w:tcW w:w="6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Carrie L. Anderson, certify that:</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7"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2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7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7"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2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220"/>
              <w:spacing w:after="0"/>
              <w:rPr>
                <w:sz w:val="20"/>
                <w:szCs w:val="20"/>
                <w:color w:val="auto"/>
              </w:rPr>
            </w:pPr>
            <w:r>
              <w:rPr>
                <w:rFonts w:ascii="Arial" w:cs="Arial" w:eastAsia="Arial" w:hAnsi="Arial"/>
                <w:sz w:val="18"/>
                <w:szCs w:val="18"/>
                <w:color w:val="auto"/>
              </w:rPr>
              <w:t>November 2, 2021</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Carrie L. Anderson</w:t>
            </w:r>
          </w:p>
        </w:tc>
      </w:tr>
      <w:tr>
        <w:trPr>
          <w:trHeight w:val="222"/>
        </w:trPr>
        <w:tc>
          <w:tcPr>
            <w:tcW w:w="6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Carrie L. Anderson</w:t>
            </w:r>
          </w:p>
        </w:tc>
      </w:tr>
      <w:tr>
        <w:trPr>
          <w:trHeight w:val="230"/>
        </w:trPr>
        <w:tc>
          <w:tcPr>
            <w:tcW w:w="6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2021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900" w:type="dxa"/>
            <w:vAlign w:val="bottom"/>
          </w:tcPr>
          <w:p>
            <w:pPr>
              <w:ind w:left="140"/>
              <w:spacing w:after="0"/>
              <w:rPr>
                <w:sz w:val="20"/>
                <w:szCs w:val="20"/>
                <w:color w:val="auto"/>
              </w:rPr>
            </w:pPr>
            <w:r>
              <w:rPr>
                <w:rFonts w:ascii="Arial" w:cs="Arial" w:eastAsia="Arial" w:hAnsi="Arial"/>
                <w:sz w:val="18"/>
                <w:szCs w:val="18"/>
                <w:color w:val="auto"/>
              </w:rPr>
              <w:t>November 2, 2021</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J. Arduini</w:t>
            </w:r>
          </w:p>
        </w:tc>
      </w:tr>
      <w:tr>
        <w:trPr>
          <w:trHeight w:val="222"/>
        </w:trPr>
        <w:tc>
          <w:tcPr>
            <w:tcW w:w="5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Peter J. Arduini</w:t>
            </w:r>
          </w:p>
        </w:tc>
      </w:tr>
      <w:tr>
        <w:trPr>
          <w:trHeight w:val="230"/>
        </w:trPr>
        <w:tc>
          <w:tcPr>
            <w:tcW w:w="5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Carrie L. Anderson, Executive Vice President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2021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920" w:type="dxa"/>
            <w:vAlign w:val="bottom"/>
          </w:tcPr>
          <w:p>
            <w:pPr>
              <w:ind w:left="140"/>
              <w:spacing w:after="0"/>
              <w:rPr>
                <w:sz w:val="20"/>
                <w:szCs w:val="20"/>
                <w:color w:val="auto"/>
              </w:rPr>
            </w:pPr>
            <w:r>
              <w:rPr>
                <w:rFonts w:ascii="Arial" w:cs="Arial" w:eastAsia="Arial" w:hAnsi="Arial"/>
                <w:sz w:val="18"/>
                <w:szCs w:val="18"/>
                <w:color w:val="auto"/>
              </w:rPr>
              <w:t>November 2, 2021</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Carrie L. Anderson</w:t>
            </w:r>
          </w:p>
        </w:tc>
      </w:tr>
      <w:tr>
        <w:trPr>
          <w:trHeight w:val="222"/>
        </w:trPr>
        <w:tc>
          <w:tcPr>
            <w:tcW w:w="56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Carrie L. Anderson</w:t>
            </w:r>
          </w:p>
        </w:tc>
      </w:tr>
      <w:tr>
        <w:trPr>
          <w:trHeight w:val="230"/>
        </w:trPr>
        <w:tc>
          <w:tcPr>
            <w:tcW w:w="5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lowerRoman"/>
      <w:start w:val="1"/>
    </w:lvl>
    <w:lvl w:ilvl="1">
      <w:lvlJc w:val="left"/>
      <w:lvlText w:val="%2."/>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lvl w:ilvl="1">
      <w:lvlJc w:val="left"/>
      <w:lvlText w:val="#"/>
      <w:numFmt w:val="bullet"/>
      <w:start w:val="1"/>
    </w:lvl>
    <w:lvl w:ilvl="2">
      <w:lvlJc w:val="left"/>
      <w:lvlText w:val="(%3)"/>
      <w:numFmt w:val="lowerRoman"/>
      <w:start w:val="4"/>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2021-11-02T15:40:50Z</dcterms:created>
  <dcterms:modified xsi:type="dcterms:W3CDTF">2021-11-02T15:40:50Z</dcterms:modified>
</cp:coreProperties>
</file>