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2014</w:t>
      </w:r>
    </w:p>
    <w:p>
      <w:pPr>
        <w:spacing w:after="0" w:line="343"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6200" w:type="dxa"/>
            <w:vAlign w:val="bottom"/>
          </w:tcPr>
          <w:p>
            <w:pPr>
              <w:ind w:left="340"/>
              <w:spacing w:after="0"/>
              <w:rPr>
                <w:sz w:val="20"/>
                <w:szCs w:val="20"/>
                <w:color w:val="auto"/>
              </w:rPr>
            </w:pPr>
            <w:r>
              <w:rPr>
                <w:rFonts w:ascii="Arial" w:cs="Arial" w:eastAsia="Arial" w:hAnsi="Arial"/>
                <w:sz w:val="16"/>
                <w:szCs w:val="16"/>
                <w:color w:val="auto"/>
              </w:rPr>
              <w:t>x</w:t>
            </w:r>
          </w:p>
        </w:tc>
        <w:tc>
          <w:tcPr>
            <w:tcW w:w="22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6200" w:type="dxa"/>
            <w:vAlign w:val="bottom"/>
          </w:tcPr>
          <w:p>
            <w:pPr>
              <w:ind w:left="340"/>
              <w:spacing w:after="0"/>
              <w:rPr>
                <w:sz w:val="20"/>
                <w:szCs w:val="20"/>
                <w:color w:val="auto"/>
              </w:rPr>
            </w:pPr>
            <w:r>
              <w:rPr>
                <w:rFonts w:ascii="Arial" w:cs="Arial" w:eastAsia="Arial" w:hAnsi="Arial"/>
                <w:sz w:val="16"/>
                <w:szCs w:val="16"/>
                <w:color w:val="auto"/>
              </w:rPr>
              <w:t>o (Do not check if a smaller reporting company)</w:t>
            </w:r>
          </w:p>
        </w:tc>
        <w:tc>
          <w:tcPr>
            <w:tcW w:w="224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20" w:type="dxa"/>
            <w:vAlign w:val="bottom"/>
            <w:gridSpan w:val="2"/>
          </w:tcPr>
          <w:p>
            <w:pPr>
              <w:spacing w:after="0"/>
              <w:rPr>
                <w:sz w:val="20"/>
                <w:szCs w:val="20"/>
                <w:color w:val="auto"/>
              </w:rPr>
            </w:pPr>
            <w:r>
              <w:rPr>
                <w:rFonts w:ascii="Arial" w:cs="Arial" w:eastAsia="Arial" w:hAnsi="Arial"/>
                <w:sz w:val="16"/>
                <w:szCs w:val="16"/>
                <w:color w:val="auto"/>
                <w:w w:val="94"/>
              </w:rPr>
              <w:t>Indicate by check mark whether the registrant is a shell company (as defined in Rule 12b-2 of the Exchange Act).  Yes o</w:t>
            </w:r>
          </w:p>
        </w:tc>
        <w:tc>
          <w:tcPr>
            <w:tcW w:w="22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r>
        <w:trPr>
          <w:trHeight w:val="333"/>
        </w:trPr>
        <w:tc>
          <w:tcPr>
            <w:tcW w:w="8020" w:type="dxa"/>
            <w:vAlign w:val="bottom"/>
            <w:gridSpan w:val="2"/>
          </w:tcPr>
          <w:p>
            <w:pPr>
              <w:spacing w:after="0"/>
              <w:rPr>
                <w:sz w:val="20"/>
                <w:szCs w:val="20"/>
                <w:color w:val="auto"/>
              </w:rPr>
            </w:pPr>
            <w:r>
              <w:rPr>
                <w:rFonts w:ascii="Arial" w:cs="Arial" w:eastAsia="Arial" w:hAnsi="Arial"/>
                <w:sz w:val="16"/>
                <w:szCs w:val="16"/>
                <w:color w:val="auto"/>
                <w:w w:val="92"/>
              </w:rPr>
              <w:t>The number of shares of the registrant’s Common Stock, $0.01 par value, outstanding as of July 30, 2014 was 32,598,682.</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3"/>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3"/>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2"/>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Condensed Consolidated Statements of Operations and Comprehensive Income for the three and six months ended June 30, 2014 and 2013 (Unaudited)</w:t>
              </w:r>
            </w:hyperlink>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2014 and December 31, 2013 (Unaudited)</w:t>
              </w:r>
            </w:hyperlink>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1"/>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Condensed Consolidated Statements of Cash Flows for the six months ended June 30, 2014 and 2013 (Unaudited)</w:t>
              </w:r>
            </w:hyperlink>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1"/>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1"/>
              </w:rPr>
            </w:pPr>
            <w:hyperlink w:anchor="page23">
              <w:r>
                <w:rPr>
                  <w:rFonts w:ascii="Arial" w:cs="Arial" w:eastAsia="Arial" w:hAnsi="Arial"/>
                  <w:sz w:val="16"/>
                  <w:szCs w:val="16"/>
                  <w:color w:val="0000FF"/>
                  <w:w w:val="91"/>
                </w:rPr>
                <w:t>Item 2. Management’s Discussion and Analysis of Financial Condition and Results of Operations</w:t>
              </w:r>
            </w:hyperlink>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35">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4. Controls and Procedures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7">
              <w:r>
                <w:rPr>
                  <w:rFonts w:ascii="Arial" w:cs="Arial" w:eastAsia="Arial" w:hAnsi="Arial"/>
                  <w:sz w:val="16"/>
                  <w:szCs w:val="16"/>
                  <w:color w:val="0000FF"/>
                  <w:w w:val="96"/>
                </w:rPr>
                <w:t>PART II. OTHER INFORMATION</w:t>
              </w:r>
            </w:hyperlink>
          </w:p>
        </w:tc>
        <w:tc>
          <w:tcPr>
            <w:tcW w:w="782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3"/>
          </w:tcPr>
          <w:p>
            <w:pPr>
              <w:spacing w:after="0"/>
              <w:rPr>
                <w:rFonts w:ascii="Arial" w:cs="Arial" w:eastAsia="Arial" w:hAnsi="Arial"/>
                <w:sz w:val="16"/>
                <w:szCs w:val="16"/>
                <w:color w:val="0000FF"/>
                <w:w w:val="88"/>
              </w:rPr>
            </w:pPr>
            <w:hyperlink w:anchor="page38">
              <w:r>
                <w:rPr>
                  <w:rFonts w:ascii="Arial" w:cs="Arial" w:eastAsia="Arial" w:hAnsi="Arial"/>
                  <w:sz w:val="16"/>
                  <w:szCs w:val="16"/>
                  <w:color w:val="0000FF"/>
                  <w:w w:val="88"/>
                </w:rPr>
                <w:t>Item 1. Legal Proceedings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1A. Risk Factors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4. Mine Safety Disclosures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SIGNATURES</w:t>
              </w:r>
            </w:hyperlink>
          </w:p>
        </w:tc>
        <w:tc>
          <w:tcPr>
            <w:tcW w:w="91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3"/>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3"/>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3"/>
          </w:tcPr>
          <w:p>
            <w:pPr>
              <w:ind w:left="340"/>
              <w:spacing w:after="0"/>
              <w:rPr>
                <w:sz w:val="20"/>
                <w:szCs w:val="20"/>
                <w:color w:val="auto"/>
              </w:rPr>
            </w:pPr>
            <w:r>
              <w:rPr>
                <w:rFonts w:ascii="Arial" w:cs="Arial" w:eastAsia="Arial" w:hAnsi="Arial"/>
                <w:sz w:val="16"/>
                <w:szCs w:val="16"/>
                <w:color w:val="auto"/>
              </w:rPr>
              <w:t>Exhibit 32.1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3"/>
          </w:tcPr>
          <w:p>
            <w:pPr>
              <w:ind w:left="340"/>
              <w:spacing w:after="0"/>
              <w:rPr>
                <w:sz w:val="20"/>
                <w:szCs w:val="20"/>
                <w:color w:val="auto"/>
              </w:rPr>
            </w:pPr>
            <w:r>
              <w:rPr>
                <w:rFonts w:ascii="Arial" w:cs="Arial" w:eastAsia="Arial" w:hAnsi="Arial"/>
                <w:sz w:val="16"/>
                <w:szCs w:val="16"/>
                <w:color w:val="auto"/>
              </w:rPr>
              <w:t>Exhibit 32.2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3"/>
          </w:tcPr>
          <w:p>
            <w:pPr>
              <w:ind w:left="340"/>
              <w:spacing w:after="0"/>
              <w:rPr>
                <w:sz w:val="20"/>
                <w:szCs w:val="20"/>
                <w:color w:val="auto"/>
              </w:rPr>
            </w:pPr>
            <w:r>
              <w:rPr>
                <w:rFonts w:ascii="Arial" w:cs="Arial" w:eastAsia="Arial" w:hAnsi="Arial"/>
                <w:sz w:val="16"/>
                <w:szCs w:val="16"/>
                <w:color w:val="auto"/>
              </w:rPr>
              <w:t>EX-101 INSTANCE DOCUMENT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64"/>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(As adjusted)*</w:t>
            </w:r>
          </w:p>
        </w:tc>
      </w:tr>
      <w:tr>
        <w:trPr>
          <w:trHeight w:val="27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231,351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205,547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402,199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161,441</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24,525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206,243</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6,624</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425,280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398,833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w:t>
            </w:r>
          </w:p>
        </w:tc>
      </w:tr>
      <w:tr>
        <w:trPr>
          <w:trHeight w:val="237"/>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 net income (loss)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Diluted net income (loss)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4"/>
              </w:rPr>
              <w:t>Weighted average common shares outstanding (See Note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10):</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27,834</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27,834</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(9,115)</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December 31, 2013</w:t>
            </w:r>
          </w:p>
        </w:tc>
      </w:tr>
      <w:tr>
        <w:trPr>
          <w:trHeight w:val="258"/>
        </w:trPr>
        <w:tc>
          <w:tcPr>
            <w:tcW w:w="79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(As adjusted)*</w:t>
            </w:r>
          </w:p>
        </w:tc>
      </w:tr>
      <w:tr>
        <w:trPr>
          <w:trHeight w:val="147"/>
        </w:trPr>
        <w:tc>
          <w:tcPr>
            <w:tcW w:w="7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120,614</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$5,223 and $6,194</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118,262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118,145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223,632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206,919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48,349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48,616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26,858</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564,161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521,152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200,310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422,009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197,163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249,764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15,412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8,338</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1,563,023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1,192,139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50,752</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4,197</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28,079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38,892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36,354</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119,382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421,875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186,875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convertible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205,182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81,540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2,083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12,527</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873,793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526,049</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8"/>
              </w:rPr>
              <w:t>Common stock; $0.01 par value; 60,000 authorized shares; 41,474 and 41,042 issued at June 30, 2014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December 31, 2013, respectively</w:t>
            </w:r>
          </w:p>
        </w:tc>
        <w:tc>
          <w:tcPr>
            <w:tcW w:w="28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410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750,918</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Treasury stock, at cost; 8,903 shares at June 30, 2014 and December 31, 2013</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(367,121)</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927</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287,987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280,956</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666,090</w:t>
            </w: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1,563,023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1,192,139</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2013</w:t>
            </w:r>
          </w:p>
        </w:tc>
      </w:tr>
      <w:tr>
        <w:trPr>
          <w:trHeight w:val="258"/>
        </w:trPr>
        <w:tc>
          <w:tcPr>
            <w:tcW w:w="7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ind w:right="320"/>
              <w:spacing w:after="0"/>
              <w:rPr>
                <w:sz w:val="20"/>
                <w:szCs w:val="20"/>
                <w:color w:val="auto"/>
              </w:rPr>
            </w:pPr>
            <w:r>
              <w:rPr>
                <w:rFonts w:ascii="Arial" w:cs="Arial" w:eastAsia="Arial" w:hAnsi="Arial"/>
                <w:sz w:val="14"/>
                <w:szCs w:val="14"/>
                <w:b w:val="1"/>
                <w:bCs w:val="1"/>
                <w:color w:val="auto"/>
              </w:rPr>
              <w:t>(As adjusted)*</w:t>
            </w:r>
          </w:p>
        </w:tc>
      </w:tr>
      <w:tr>
        <w:trPr>
          <w:trHeight w:val="174"/>
        </w:trPr>
        <w:tc>
          <w:tcPr>
            <w:tcW w:w="7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7,031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(4,508)</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24,025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impairment charges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 provision (benefit)</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3,232</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(Gain) from change in fair value of contingent consideration</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(1,294)</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2,893</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10,764</w:t>
            </w:r>
          </w:p>
        </w:tc>
      </w:tr>
      <w:tr>
        <w:trPr>
          <w:trHeight w:val="231"/>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(24,475)</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Sales of property and equipment</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530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for business acquisition, net of cash acquired</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(235,000)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(255,691)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(26,775)</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20,000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Principal payments under capital lease obligations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102</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19,323</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1,698</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120,614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96,938</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98,636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400"/>
          </w:cols>
          <w:pgMar w:left="240" w:top="125" w:right="259" w:bottom="1440" w:gutter="0" w:footer="0" w:header="0"/>
        </w:sectPr>
      </w:pPr>
    </w:p>
    <w:p>
      <w:pPr>
        <w:ind w:left="140" w:hanging="132"/>
        <w:spacing w:after="0"/>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 of these condensed consolidated financial statements for discussion of the impact of the change in accounting for the medical device excise tax.</w:t>
      </w:r>
    </w:p>
    <w:p>
      <w:pPr>
        <w:spacing w:after="0" w:line="275" w:lineRule="exact"/>
        <w:rPr>
          <w:rFonts w:ascii="Arial" w:cs="Arial" w:eastAsia="Arial" w:hAnsi="Arial"/>
          <w:sz w:val="16"/>
          <w:szCs w:val="16"/>
          <w:color w:val="auto"/>
        </w:rPr>
      </w:pPr>
    </w:p>
    <w:p>
      <w:pPr>
        <w:ind w:left="21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June 30, 2014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2013 included in the Company’s Current Report on Form 8-K dated June 16, 2014, which was filed with the Securities and Exchange Commission on June 20, 2014. The December 31, 2013 consolidated balance sheet was derived from audited financial statements, but does not include all disclosures required by accounting principles generally accepted in the United States. Operating results for the three- and six-month periods ended June 30, 2014 are not necessarily indicative of the results to be expected for the entire year.</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tax in cost of goods sold when the medical device was sold to the ultimate customer. Under the new method, the MDET will be recorded in selling, general and administrative expenses in the period the first sale occurs in the United States,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peers, the majority of which expense the MDET at the time of the first sale in the United States.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medical device excise tax applies to sales beginning January 1, 2013; therefore, this change affected only 2013 financial results. The cumulative effect of the change in the prior year is included in retained earnings as of December 31, 2013. We have revised the comparative periods for the three- and six-month periods ended June 30, 2013 to reflect the retrospective application of the change in accounting principle had the new method been in effect for all periods, as follows: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714"/>
              <w:spacing w:after="0"/>
              <w:rPr>
                <w:sz w:val="20"/>
                <w:szCs w:val="20"/>
                <w:color w:val="auto"/>
              </w:rPr>
            </w:pPr>
            <w:r>
              <w:rPr>
                <w:rFonts w:ascii="Arial" w:cs="Arial" w:eastAsia="Arial" w:hAnsi="Arial"/>
                <w:sz w:val="14"/>
                <w:szCs w:val="14"/>
                <w:b w:val="1"/>
                <w:bCs w:val="1"/>
                <w:color w:val="auto"/>
              </w:rPr>
              <w:t>Three Months Ended June 30, 2013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Six Months Ended June 30, 2013</w:t>
            </w:r>
          </w:p>
        </w:tc>
      </w:tr>
      <w:tr>
        <w:trPr>
          <w:trHeight w:val="258"/>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Originally</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Originally</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As</w:t>
            </w:r>
          </w:p>
        </w:tc>
      </w:tr>
      <w:tr>
        <w:trPr>
          <w:trHeight w:val="276"/>
        </w:trPr>
        <w:tc>
          <w:tcPr>
            <w:tcW w:w="4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Reported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Adjustments</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Reported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Adjustments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Adjusted</w:t>
            </w:r>
          </w:p>
        </w:tc>
      </w:tr>
      <w:tr>
        <w:trPr>
          <w:trHeight w:val="250"/>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83,068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81,829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163,336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161,441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99,619</w:t>
            </w:r>
          </w:p>
        </w:tc>
        <w:tc>
          <w:tcPr>
            <w:tcW w:w="26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3,661</w:t>
            </w: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103,280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199,780</w:t>
            </w:r>
          </w:p>
        </w:tc>
        <w:tc>
          <w:tcPr>
            <w:tcW w:w="1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6,463</w:t>
            </w: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206,243</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3,440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5,317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w:t>
            </w:r>
          </w:p>
        </w:tc>
      </w:tr>
      <w:tr>
        <w:trPr>
          <w:trHeight w:val="27"/>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Reported</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206,919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Deferred tax assets - current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46,300</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48,616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285,046</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280,956</w:t>
            </w:r>
          </w:p>
        </w:tc>
        <w:tc>
          <w:tcPr>
            <w:tcW w:w="20" w:type="dxa"/>
            <w:vAlign w:val="bottom"/>
          </w:tcPr>
          <w:p>
            <w:pPr>
              <w:spacing w:after="0"/>
              <w:rPr>
                <w:sz w:val="21"/>
                <w:szCs w:val="21"/>
                <w:color w:val="auto"/>
              </w:rPr>
            </w:pPr>
          </w:p>
        </w:tc>
      </w:tr>
      <w:tr>
        <w:trPr>
          <w:trHeight w:val="675"/>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 2013</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24"/>
                <w:szCs w:val="24"/>
                <w:color w:val="auto"/>
              </w:rPr>
            </w:pPr>
          </w:p>
        </w:tc>
        <w:tc>
          <w:tcPr>
            <w:tcW w:w="1220" w:type="dxa"/>
            <w:vAlign w:val="bottom"/>
          </w:tcPr>
          <w:p>
            <w:pPr>
              <w:jc w:val="center"/>
              <w:ind w:right="275"/>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(3,898)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(23,966)</w:t>
            </w:r>
          </w:p>
        </w:tc>
        <w:tc>
          <w:tcPr>
            <w:tcW w:w="280" w:type="dxa"/>
            <w:vAlign w:val="bottom"/>
          </w:tcPr>
          <w:p>
            <w:pPr>
              <w:spacing w:after="0"/>
              <w:rPr>
                <w:sz w:val="21"/>
                <w:szCs w:val="21"/>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4,568</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(670)</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Realignment of Segment Revenues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quarter of 2014 the Company realigned certain products between operating segments. The Company did not change its management structure and has determined that the Company still has the same five reportable segments. The impact of this immaterial change on all periods presented is that (i) the revenues and segment profit of the U.S. Extremities segment is lower, and U.S. Instruments and U.S. Spine and Other segments are higher, and (ii) the global revenues of the Orthopedics product category is lower and the Instruments product category is higher. These changes have been reflected in all periods presented. There has been no change in the Company's net revenues reported.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This updated guidance requires an unrecognized tax benefit to be presented in the financial statements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years beginning after December 15, 2013 for public entities and early adoption is permitted. The amendments are to be applied to all unrecognized tax benefits that exist as of the effective date and may be applied retrospectively to each prior reporting period presented. The standard adoption does not have a material impact on the Company's financial statements.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is effective for annual reporting periods beginning after December 15, 2016, including interim periods within that reporting period, and early adoption </w:t>
      </w:r>
      <w:r>
        <w:rPr>
          <w:rFonts w:ascii="Arial" w:cs="Arial" w:eastAsia="Arial" w:hAnsi="Arial"/>
          <w:sz w:val="17"/>
          <w:szCs w:val="17"/>
          <w:u w:val="single" w:color="auto"/>
          <w:color w:val="auto"/>
        </w:rPr>
        <w:t>is not</w:t>
      </w:r>
      <w:r>
        <w:rPr>
          <w:rFonts w:ascii="Arial" w:cs="Arial" w:eastAsia="Arial" w:hAnsi="Arial"/>
          <w:sz w:val="17"/>
          <w:szCs w:val="17"/>
          <w:color w:val="auto"/>
        </w:rPr>
        <w:t xml:space="preserve"> permitted. The Company is in the process of evaluating the impact of this standard on its financial statements.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2014, the FASB issued Update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(Topic 718). </w:t>
      </w:r>
      <w:r>
        <w:rPr>
          <w:rFonts w:ascii="Arial" w:cs="Arial" w:eastAsia="Arial" w:hAnsi="Arial"/>
          <w:sz w:val="17"/>
          <w:szCs w:val="17"/>
          <w:color w:val="auto"/>
        </w:rPr>
        <w:t>The amendments require that a performance target that affects vesting and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Company is in the process of evaluating the impact of this standard on its financial statements.</w:t>
      </w:r>
    </w:p>
    <w:p>
      <w:pPr>
        <w:spacing w:after="0" w:line="341" w:lineRule="exact"/>
        <w:rPr>
          <w:sz w:val="20"/>
          <w:szCs w:val="20"/>
          <w:color w:val="auto"/>
        </w:rPr>
      </w:pPr>
    </w:p>
    <w:p>
      <w:pPr>
        <w:ind w:right="8980" w:firstLine="8"/>
        <w:spacing w:after="0" w:line="367"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Confluent Surgical, Inc.</w:t>
      </w: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purchase price allocation is preliminary because the Company has not yet completed the final analysis of the tax accounts. The following summarizes the preliminary allocation of the purchase price as of June 30, 2014 based on the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5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Deferred tax assets - long term</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105,331</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349,981</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 long term</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87,464</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Confluent Surgical's existing business (that is, the higher rate of return on the assembled net assets versus if the Company had acquired all of the net assets separately), and (iii) intangible assets that do not qualify for separate recognition such as Confluent Surgical's assembled workforce. The goodwill acquired will not be deductible for tax purposes.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contingent consideration during the six-months ended June 30, 2014 was (i) increased to reflect current period acquisitions, and the change in the time value of money during the period, and (ii) decreased because the Company believes that it is no longer probable that it will reach certain sales-based milestone targets. A reconciliation of the opening balances to the closing balances of these Level 3 measurements are as follows (in thousands):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from Confluent Surgical acquisition</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20,895</w:t>
            </w:r>
          </w:p>
        </w:tc>
        <w:tc>
          <w:tcPr>
            <w:tcW w:w="36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Loss/(gain) from increase/(decrease) in fair value of contingent consideration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(998) Selling, general and administrative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at June 30,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21,124</w:t>
            </w:r>
          </w:p>
        </w:tc>
        <w:tc>
          <w:tcPr>
            <w:tcW w:w="364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and six months ended June 30, 2013 as if the Confluent Surgical acquisition completed by the Company during 2014 had been completed as of January 1, 2013.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2013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impact of the Confluent Surgical pre-acquisition results were not material to the 2014 consolidated operating results of the Company; therefore the pro forma impact on the 2014 results of the Company has not been presented below. The pro forma results below also incorporate the impact of the change in accounting for the MDET on the 2013 results which is discussed in Note 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30, 2013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221,946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434,997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7"/>
              <w:spacing w:after="0"/>
              <w:rPr>
                <w:sz w:val="20"/>
                <w:szCs w:val="20"/>
                <w:color w:val="auto"/>
              </w:rPr>
            </w:pPr>
            <w:r>
              <w:rPr>
                <w:rFonts w:ascii="Arial" w:cs="Arial" w:eastAsia="Arial" w:hAnsi="Arial"/>
                <w:sz w:val="18"/>
                <w:szCs w:val="18"/>
                <w:color w:val="auto"/>
              </w:rPr>
              <w:t>3,438</w:t>
            </w:r>
          </w:p>
        </w:tc>
        <w:tc>
          <w:tcPr>
            <w:tcW w:w="12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918"/>
        </w:trPr>
        <w:tc>
          <w:tcPr>
            <w:tcW w:w="76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88"/>
        </w:trPr>
        <w:tc>
          <w:tcPr>
            <w:tcW w:w="7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2014</w:t>
            </w: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r>
      <w:tr>
        <w:trPr>
          <w:trHeight w:val="190"/>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center"/>
              <w:ind w:right="354"/>
              <w:spacing w:after="0"/>
              <w:rPr>
                <w:sz w:val="20"/>
                <w:szCs w:val="20"/>
                <w:color w:val="auto"/>
              </w:rPr>
            </w:pPr>
            <w:r>
              <w:rPr>
                <w:rFonts w:ascii="Arial" w:cs="Arial" w:eastAsia="Arial" w:hAnsi="Arial"/>
                <w:sz w:val="14"/>
                <w:szCs w:val="14"/>
                <w:b w:val="1"/>
                <w:bCs w:val="1"/>
                <w:color w:val="auto"/>
                <w:w w:val="95"/>
              </w:rPr>
              <w:t>(As adjusted)*</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139,427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123,786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48,221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47,403</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35,730</w:t>
            </w: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223,632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206,919</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reviews goodwill for impairment annually during its third quarter and whenever events or changes in circumstances indicate the carrying value of goodwill may not be recoverable. The Company performed its most recent annual assessment on July 31, 2013 which resulted in a non-cash goodwill impairment charge of $46.7 million for its U.S. Spine reporting unit, which is a part of the U.S. Spine and Other reportable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2014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Spine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Confluent Surgical acquisition</w:t>
            </w: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105,331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Goodwill at June 30,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190,475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58,014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61,059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35,845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354,977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0"/>
              </w:rPr>
              <w:t>June 30, 2014</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320,833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266,494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146,988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(84,400)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62,588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33,686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4,620</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589,332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(167,323)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422,009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2013</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12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81,238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146,627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(79,624)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67,003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33,703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5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4,251</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349,024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June 30, 2014 and December 31, 2013, all other included in-process research and development ("IPR&amp;D") of $1.4 million in both periods, which was indefinite-lived.</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2014, the Company recorded an impairment charge of $0.6 million in cost of goods sold related to technology assets acquired from Confluent Surgical that will no longer be sold resulting from a regulatory event that occurred after the acquisition date.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$31.1 million in 2014, $28.8 million in 2015, $26.6 million in 2016, $24.5 million in 2017 and $24.1 million in 2018. Identifiable intangible assets are initially recorded at fair market value at the time of acquisition using an income or cost approach.</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The Company amended the Senior Credit Facility on June 8, 2011, May 11, 2012, June 21, 2013, and subsequently amended and restated the facility on July 2, 2014 (see Note 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63"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allowed the Company to further increase the size of the revolving credit component by an aggregate of $200 million with additional commitments,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provided the Company with decreased borrowing rates and annual commitment fees, and provides more favorable financial covenants,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May 11, 2012 amendment:</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modified certain financial and negative covenants,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calculating consolidated EBITDA for any period, the amendment permits the addition of certain costs and expenses in the calculation of consolidated net income for such period, to the extent deducted in the calculation of consolidated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June 21, 2013 amendment:</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modified certain financial and negative covenants,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calculating consolidated EBITDA for any period, the amendment permits the addition of certain costs and expenses in the calculation of consolidated net income for such period, to the extent deducted in the calculation of consolidated net income.</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June 30, 2014 the Company was in compliance with all such covenants.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currently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Eurodollar Rate (as defined in the Senior Credit Facility, which definition has not changed)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one-month Eurodollar Rate plus 1.0%.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pays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June 30, 2014 and December 31, 2013, there was $421.9 million and $186.9 million outstanding under the Senior Credit Facility at a weighted average interest rate of 1.7% and 2.0%, respectively. At June 30, 2014, there was approximately $178.1 million available for borrowing under the Senior Credit Facility. The fair value of outstanding borrowings under the Senior Credit Facility at June 30, 2014 was approximately $421.7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of the next twelve-month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30, 2014, the carrying amount of the liability component was $209.1 million, the remaining unamortized discount was $20.9 million, and the principal amount outstanding was $230.0 million. The fair value of the 2016 Notes at June 30, 2014 was approximately $246.0 million. At December 31, 2013, the carrying amount of the liability component was $205.2 million, the remaining unamortized discount was $24.8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June 30, 2014, none of these conditions existed with respect to the 2016 Notes and as a result, the 2016 Notes are classified as long term.</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196"/>
        </w:trPr>
        <w:tc>
          <w:tcPr>
            <w:tcW w:w="5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1,766</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1,622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3,232</w:t>
            </w: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2,603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3"/>
              </w:rPr>
              <w:t>2,435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4,863</w:t>
            </w: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$1.6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June 30, 2014 and December 31,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1,676</w:t>
            </w:r>
          </w:p>
        </w:tc>
      </w:tr>
      <w:tr>
        <w:trPr>
          <w:trHeight w:val="270"/>
        </w:trPr>
        <w:tc>
          <w:tcPr>
            <w:tcW w:w="79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2,439</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228"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At June 30, 2014 and December 31, 2013, the notional amount related to the Company’s sole interest rate swap was $105.0 million and $112.5 million, respectively. In the next twelve months, the Company expects to reduce the notional amount by $15.0 million.</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and six months ended June 30, 2014 and 2013: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Amount of Gain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Balance in AOCI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AOCI into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5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Portion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End of Quarter</w:t>
            </w: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6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2014</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(2,097)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4"/>
                <w:szCs w:val="24"/>
                <w:color w:val="auto"/>
              </w:rPr>
            </w:pP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(1,713)</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51"/>
        </w:trPr>
        <w:tc>
          <w:tcPr>
            <w:tcW w:w="3680" w:type="dxa"/>
            <w:vAlign w:val="bottom"/>
            <w:tcBorders>
              <w:top w:val="single" w:sz="8" w:color="CCEEFF"/>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2013</w:t>
            </w: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Forward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1580" w:type="dxa"/>
            <w:vAlign w:val="bottom"/>
          </w:tcPr>
          <w:p>
            <w:pPr>
              <w:ind w:left="140"/>
              <w:spacing w:after="0"/>
              <w:rPr>
                <w:sz w:val="20"/>
                <w:szCs w:val="20"/>
                <w:color w:val="auto"/>
              </w:rPr>
            </w:pPr>
            <w:r>
              <w:rPr>
                <w:rFonts w:ascii="Arial" w:cs="Arial" w:eastAsia="Arial" w:hAnsi="Arial"/>
                <w:sz w:val="18"/>
                <w:szCs w:val="18"/>
                <w:color w:val="auto"/>
                <w:w w:val="95"/>
              </w:rPr>
              <w:t>Cost of goods sold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(3,644)</w:t>
            </w:r>
          </w:p>
        </w:tc>
        <w:tc>
          <w:tcPr>
            <w:tcW w:w="1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(506)</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(2,868)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Amount of Gain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Balance in AOCI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AOCI into</w:t>
            </w:r>
          </w:p>
        </w:tc>
        <w:tc>
          <w:tcPr>
            <w:tcW w:w="1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Balance in AOCI</w:t>
            </w:r>
          </w:p>
        </w:tc>
        <w:tc>
          <w:tcPr>
            <w:tcW w:w="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Earnings-Effective</w:t>
            </w:r>
          </w:p>
        </w:tc>
        <w:tc>
          <w:tcPr>
            <w:tcW w:w="11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Portion</w:t>
            </w: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7"/>
              </w:rPr>
              <w:t>End of Quarter</w:t>
            </w: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2014</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51"/>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Forward currency forward contracts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gains or losses resulting from ineffectiveness of cash flow hedges during the six months ended June 30, 2014 and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2014,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years after the date of grant. The vesting of performance stock, issued under the Plans, is subject to service and performance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2014, there were approximately $2.1 million of total unrecognized compensation costs related to unvested stock options. These costs are expected to be recognized over a weighted-average period of approximately two years. There were 80,991 stock options granted during the six months ended June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June 30, 2014, there were approximately $18.3 million of total unrecognized compensation costs related to these unvested awards. The Company expects to recognize these costs over a weighted-average period of approximately two years. The Company granted 253,642 restricted stock awards/stock units and 90,025 performance shares during the six months ended June 30, 2014.</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June 30, 2014, the Company recorded an incremental stock compensation expense of $3.0 million in connection with the accelerated vesting of grants due to the amendment of an executive employment contract. The expense, which was comprised of both restricted shares and performance shares, was measured based on the difference between (i) the fair value of the awards on the date of modification and (ii) previously recognized compensation expense for such awards. The expense related to the acceleration of performance stock, included in the compensation expense amount above, was recorded in its entirety on the date of modification as the Company believes the performance obligation will be satisfied.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On October 23, 2012, the Company's Board of Directors authorized a repurchase of up to $75.0 million of its outstanding common stock through December 2014. The Company has not repurchased any of its outstanding shares of common stock during the six month periods ended June 30, 2014 and 2013.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there remained $75.0 million available for repurchases under this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2"/>
                <w:szCs w:val="22"/>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2013</w:t>
            </w:r>
          </w:p>
        </w:tc>
      </w:tr>
      <w:tr>
        <w:trPr>
          <w:trHeight w:val="258"/>
        </w:trPr>
        <w:tc>
          <w:tcPr>
            <w:tcW w:w="5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(As adjusted)*</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(As adjusted)*</w:t>
            </w:r>
          </w:p>
        </w:tc>
      </w:tr>
      <w:tr>
        <w:trPr>
          <w:trHeight w:val="147"/>
        </w:trPr>
        <w:tc>
          <w:tcPr>
            <w:tcW w:w="5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3"/>
        </w:trPr>
        <w:tc>
          <w:tcPr>
            <w:tcW w:w="6180" w:type="dxa"/>
            <w:vAlign w:val="bottom"/>
            <w:gridSpan w:val="2"/>
            <w:shd w:val="clear" w:color="auto" w:fill="CCEEFF"/>
          </w:tcPr>
          <w:p>
            <w:pPr>
              <w:jc w:val="right"/>
              <w:ind w:right="4828"/>
              <w:spacing w:after="0"/>
              <w:rPr>
                <w:sz w:val="20"/>
                <w:szCs w:val="20"/>
                <w:color w:val="auto"/>
              </w:rPr>
            </w:pPr>
            <w:r>
              <w:rPr>
                <w:rFonts w:ascii="Arial" w:cs="Arial" w:eastAsia="Arial" w:hAnsi="Arial"/>
                <w:sz w:val="18"/>
                <w:szCs w:val="18"/>
                <w:color w:val="auto"/>
                <w:w w:val="90"/>
              </w:rPr>
              <w:t>Reported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5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income tax rates for the three months ended June 30, 2014 and 2013 were 32.9% and (165.3)%, respectively. For the three months ended June 30, 2014, discrete foreign income tax audit settlements of $0.3 million, and a change in state filing positions of $0.3 million primarily drove the tax rate. The overall rate for the three months ended June 30, 2013 was driven primarily by the impact of discrete items on an unusually low pre-tax income level. During the three months ended June 30, 2013; the Company recorded a benefit of $0.5 million relating to the granting of Irish research credits for 2011 and 2012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and a benefit of $0.8 million for the release of uncertain tax positions due to the expiration of the statute of limitation in certain state jurisdictions.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effective income tax rates for the six months ended June 30, 2014 and 2013 were 37.0% and 38.5%, respectively. For the six months ended June 30, 2014, the change in the income tax rate compared to the same period in 2013 primarily resulted from an expense of $0.4 million for a foreign income tax audit settlement, an expense of $0.3 million from a change in state filing positions, and an expense of $0.7 million relating to state income tax audit settlements. For the six months ended June 30, 2013; the Company recorded a benefit of $0.5 million relating to the granting of Irish research credits for 2011 and 2012, a benefit of $1.2 million for the release of uncertain tax positions due to the expiration of the statute of limitation in certain state jurisdictions, and a benefit of $0.9 million because of the extension of the Federal research credit, enacted through the American Taxpayer Relief Act. These benefits in 2013 were recorded against a book loss; accordingly, they had the effect of increasing the effective tax rate in that period.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23% to 24%, resulting largely from the jurisdictional mix of pretax income in U.S.-based operations relative to foreign operations. The Company may revise this estimate in the future as additional information becomes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52"/>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(As adjusted)*</w:t>
            </w:r>
          </w:p>
        </w:tc>
      </w:tr>
      <w:tr>
        <w:trPr>
          <w:trHeight w:val="209"/>
        </w:trPr>
        <w:tc>
          <w:tcPr>
            <w:tcW w:w="58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582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(4,508)</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27,834</w:t>
            </w:r>
          </w:p>
        </w:tc>
      </w:tr>
      <w:tr>
        <w:trPr>
          <w:trHeight w:val="243"/>
        </w:trPr>
        <w:tc>
          <w:tcPr>
            <w:tcW w:w="582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38"/>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58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5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43"/>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5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27,834</w:t>
            </w:r>
          </w:p>
        </w:tc>
      </w:tr>
      <w:tr>
        <w:trPr>
          <w:trHeight w:val="243"/>
        </w:trPr>
        <w:tc>
          <w:tcPr>
            <w:tcW w:w="582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32,804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27,834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2014 and 2013, the Company had 1.4 million and 1.7 million of outstanding stock options, respectively. The Company also has warrants outstanding relating to its 2016 Notes at June 30, 2014 and 2013 and the Company's 2016 Notes are convertible to common shares in certain circumstances (see Note 5). Stock options, restricted stock, warrants and the excess conversion value of the 2016 Notes are included in the diluted earnings per share calculation using the treasury stock method, unless the effect of including the such items would be anti-dilutive.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June 30, 2014 and 2013, 0.2 million, and 1.0 million, respectively, of anti-dilutive stock options were excluded from the diluted earnings per share calculation. For the six months ended June 30, 2014, 0.2 million of anti-dilutive stock options were excluded, and for the six months ended June 30, 2013, all stock options, and all restricted stock were excluded from the diluted earnings per share calculation using the treasury stock method because of their anti-dilutive effect. The effect of outstanding warrants were anti-dilutive because the strike price of the warrants exceeded the Company’s average stock price for the periods, and the potential excess conversion value of the 2016 Notes were anti-dilutive because the conversion price exceeded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 price; therefore, these amounts have been excluded from the diluted earnings per share calculation in all periods presented.</w:t>
      </w:r>
    </w:p>
    <w:p>
      <w:pPr>
        <w:spacing w:after="0" w:line="233" w:lineRule="exact"/>
        <w:rPr>
          <w:sz w:val="20"/>
          <w:szCs w:val="20"/>
          <w:color w:val="auto"/>
        </w:rPr>
      </w:pPr>
    </w:p>
    <w:p>
      <w:pPr>
        <w:jc w:val="both"/>
        <w:ind w:right="8100" w:firstLine="8"/>
        <w:spacing w:after="0" w:line="453" w:lineRule="auto"/>
        <w:tabs>
          <w:tab w:leader="none" w:pos="2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190"/>
        </w:trPr>
        <w:tc>
          <w:tcPr>
            <w:tcW w:w="5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(As adjusted)*</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(5,423)</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4,752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Changes in Accumulated Other Comprehensive Income (Loss) by component between December 31, 2013 and June 30, 2014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4,604</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5,189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6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reclassification adjustments out of Accumulated Other Comprehensive Income (Loss) during the three and six months ended June 30, 2014 were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832"/>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2"/>
              </w:rPr>
              <w:t>Six Months Ended June 30, 2014</w:t>
            </w: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38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3"/>
                <w:szCs w:val="13"/>
                <w:color w:val="auto"/>
              </w:rPr>
            </w:pPr>
          </w:p>
        </w:tc>
        <w:tc>
          <w:tcPr>
            <w:tcW w:w="340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3"/>
                <w:szCs w:val="13"/>
                <w:color w:val="auto"/>
              </w:rPr>
            </w:pPr>
          </w:p>
        </w:tc>
        <w:tc>
          <w:tcPr>
            <w:tcW w:w="3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58"/>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43"/>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tcPr>
          <w:p>
            <w:pPr>
              <w:jc w:val="right"/>
              <w:ind w:right="4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Tax (expense) or benefit</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internally manages and reports the results of its businesses to its chief operating decision maker through five reportable segments. The five reportable segments and a description of their activities are described below:</w:t>
      </w:r>
    </w:p>
    <w:p>
      <w:pPr>
        <w:spacing w:after="0" w:line="224" w:lineRule="exact"/>
        <w:rPr>
          <w:sz w:val="20"/>
          <w:szCs w:val="20"/>
          <w:color w:val="auto"/>
        </w:rPr>
      </w:pPr>
    </w:p>
    <w:p>
      <w:pPr>
        <w:ind w:left="660" w:right="20" w:hanging="328"/>
        <w:spacing w:after="0" w:line="29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 Neurosurgery segment sells a full line of products specifically for neurosurgery and critical care such as tissue ablation equipment, dural repair products, cerebral spinal fluid management devices, intracranial monitoring equipment, and cranial stabilization equipment.</w:t>
      </w: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Instruments business sells more than 60,000 instrument patterns and surgical and lighting products to hospitals, surgery centers, and dental, podiatry, and veterinary offices.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Extremities segment includes the U.S. Extremity reconstruction business, which includes such offerings as skin and wound repair, bone and joint fixation, implants in the upper and lower extremities, bone grafts and nerve and tendon repair.</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International segment sells similar products to those discussed above, but are managed through the following geographies: (i) Europe, Middle East and Africa, and (ii) Central/South America, Asia-Pacific and Canada.</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Corporate and other category includes: (i) various legal, finance, information systems, executive, and human resource functions, (ii) brand management, (iii) share-based compensation costs, and (iv) costs related to procurement, manufacturing operations and logistics for the Company’s entire organization.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six months ended June 30, 2014 and 2013 are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8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5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60,559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41,767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114,942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80,763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78,896</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61,971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87,481</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51,776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47,289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102,753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93,088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205,547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402,199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26,199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27,004</w:t>
            </w:r>
          </w:p>
        </w:tc>
        <w:tc>
          <w:tcPr>
            <w:tcW w:w="0" w:type="dxa"/>
            <w:vAlign w:val="bottom"/>
          </w:tcPr>
          <w:p>
            <w:pPr>
              <w:spacing w:after="0"/>
              <w:rPr>
                <w:sz w:val="1"/>
                <w:szCs w:val="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70,851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167,666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133,638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(123,648)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Certain 2013 segment revenues and the related impact on segment profit above have been reclassified in order to conform with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90,377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93,258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68,459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177,628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131,644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88,474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231,351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205,547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446,410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402,199</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178,806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157,166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342,187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307,185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25,851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23,776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51,176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47,393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47,621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231,351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205,547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446,410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402,199</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has been cooperating with the U.S. Attorney's Office on a voluntary basis and is not a subject or target of an investigation at this time. In cooperating with the U.S. Attorney’s Office, the Company has responded to multiple government requests for documents and information; and in the fall of 2013 it responded to what the government currently indicated is its final request. Representatives of the Company met with the Assistant United States Attorney in charge of the matter and an agent from the Federal Bureau of Investigation on April 11, 2014, to discuss the matter, the behavior of the sales representatives in question, and the disposition of the matter as to the Company. The Company awaits word from the U.S. Attorney’s Office as to the disposition of the matter as to the Company.</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the Company entered into an amendment and restatement of the Senior Credit Facility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(the “2014 Amendment”).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2014 Amendment creates an aggregate principal amount of up to $900.0 million available to the Company through the following facilities:</w:t>
      </w:r>
    </w:p>
    <w:p>
      <w:pPr>
        <w:spacing w:after="0" w:line="63"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Amendment allows the Company to further increase the size of either the revolving credit facility or the term loan facility, or a combination thereof, by an aggregate of $200.0 million with additional commitments. The 2014 Amendment extends the Senior Credit Facility's maturity date from June 8, 2016 to July 2,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2014 Amendment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2014, the Company borrowed $422.0 million under the 2014 Amendment consisting of a $150.0 million term loan and $272.0 million under its revolving credit facility. As a result of this borrowing, the Company has $422.0 million of outstanding borrowings under its Senior Credit Facility on July 2, 2014. The Company used the funds to repay the balance of its prior outstanding senior secured revolving credit facility. The outstanding borrowings have one, two, three, six months, or, if available, twelve months interest periods. The weighted average interest rate of the outstanding borrowings is approximately 1.68%.</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2013 included in our Annual Report on Form 10-K.</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2013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Integra is a world leader in medical technology focused on limiting uncertainty for surgeons so that they can concentrate on providing the best patient 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Integra offers innovative solutions in orthopedic extremity surgery, neurosurgery, spine surgery, and reconstructive and general surgery.</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and dural sealants which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we have several sales channels. We sell orthopedics products through a large direct sales organization and through specialty distributors focused on their respective surgical specialties. Most Neurosurgery products are sold through directly employed sales representatives; products acquired in the Confluent Surgical acquisition were largely sold through distributors and we are now transitioning those products to our direct sales force.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Confluent Surgical, Inc.</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2014, we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purchase agreement includes a potential maximum undiscounted contingent consideration of $30.0 million which consists of $25.0 million upon obtaining certain U.S. governmental approvals and $5.0 million upon obtaining certain European governmental approvals, both related to the completion of the transition of the Confluent Surgical business.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Treatment for the Medical Device Excise Tax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tax in cost of goods sold when the medical device was sold to the ultimate customer. Under the new method, the MDET is recorded in selling, general and administrative expenses in the period the first sale in the United States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 in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excise tax applies to sales beginning January 1, 2013; therefore, this change affected only 2013 financial results. The cumulative effect of the change in the prior years is included in retained earnings as of December 31, 2013 and the comparative period for the three- and six-month periods ended June 30, 2013. The financial impact of this change on 2013 has been incorporated into the amounts presented throughout this Form 10-Q and the impact on the three and six months ended June 30, 2013 is discussed in detail in Note 1 to the condensed consolidated financial statements. For a full reconciliation of the impact on the 2013 historical quarterly financial results, please refer to the investor presentations on the Investor Relations homepage of Integra's website at investor.integralife.com.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29, 2014, the Board of Directors (the "Board") of the Company appointed Glenn G. Coleman as Corporate Vice President of the Company effective as of May 2, 2014. In addition, on April 29, 2014, the Board of the Company appointed Mr. Coleman as Corporate Vice President, Chief Financial Officer and Principal Accounting Officer, which became effective on May 2, 2014. When Mr. Coleman commenced as Chief Financial Officer, John B. Henneman,</w:t>
      </w:r>
    </w:p>
    <w:p>
      <w:pPr>
        <w:jc w:val="both"/>
        <w:ind w:firstLine="8"/>
        <w:spacing w:after="0" w:line="255" w:lineRule="auto"/>
        <w:tabs>
          <w:tab w:leader="none" w:pos="2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ceased to serve as the Company’s Chief Financial Officer and continues to serve as Corporate Vice President, Chief Administrative Officer. Jerry Corbin ceased to serve as the Company’s Principal Accounting Officer effective May 2, 2014, and continues to serve as Corporate Vice President, Corporate Controller.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July 2014, we completed our multicenter clinical trial evaluating the safety and effectiveness of the INTEGRA® Dermal Regeneration Template for the Treatment of Diabetic Foot Ulcers (“the DFU study”) and we are in the process of evaluating all of the data. We are currently preparing submissions in advance of our clinical publication, reimbursement and regulatory strategies. We expect to submit the data from this clinical trial to the Food and Drug Administration (FDA) by the end of 2014. In parallel, we will pursue publishing the data in a peer-reviewed journal. An FDA approval, coupled with published data, is the key to securing reimbursement. We anticipate commercializing the resulting DFU product mid-2016.</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June 30, 2014, was $4.8 million, or $0.15 per diluted share as compared with $1.5 million or $0.05 per diluted share for the three months ended June 30, 2013.</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six months ended June 30, 2014 was $7.0 million, or $0.21 per diluted share as compared with net loss of $4.5 million or $0.16 per diluted share for the six months ended June 30, 2013.</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operations for the three and six months ended June 30, 2013 were adversely affected by a voluntary recall of certain collagen-based products manufactured in our Añasco, Puerto Rico facility. This recall resulted in lost revenues, increased sales reserves, inventory scrap, and costs of remediation at the facility which continued throughout 2013. We resolved the issues relating to the recall by the beginning of the first quarter of 2014, and saw improved margins from DuraSeal revenues; however, the costs associated with closing the Confluent Surgical acquisition and the related integration effort impacted our 2014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1920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ind w:left="5620"/>
        <w:spacing w:after="0"/>
        <w:tabs>
          <w:tab w:leader="none" w:pos="718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38100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31115</wp:posOffset>
            </wp:positionV>
            <wp:extent cx="1903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38100</wp:posOffset>
            </wp:positionV>
            <wp:extent cx="1903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020" w:space="720"/>
            <w:col w:w="2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13,016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5,670</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4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severance charges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4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w:t>
            </w:r>
          </w:p>
        </w:tc>
      </w:tr>
      <w:tr>
        <w:trPr>
          <w:trHeight w:val="237"/>
        </w:trPr>
        <w:tc>
          <w:tcPr>
            <w:tcW w:w="5040" w:type="dxa"/>
            <w:vAlign w:val="bottom"/>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17,555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14,914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33,459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29,873</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ectPr>
          <w:pgSz w:w="11900" w:h="16838" w:orient="portrait"/>
          <w:cols w:equalWidth="0" w:num="1">
            <w:col w:w="11420"/>
          </w:cols>
          <w:pgMar w:left="240" w:top="125" w:right="239" w:bottom="1440" w:gutter="0" w:footer="0" w:header="0"/>
          <w:type w:val="continuous"/>
        </w:sect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1920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ind w:left="5620"/>
        <w:spacing w:after="0"/>
        <w:tabs>
          <w:tab w:leader="none" w:pos="718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38100</wp:posOffset>
            </wp:positionV>
            <wp:extent cx="1920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31115</wp:posOffset>
            </wp:positionV>
            <wp:extent cx="1903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38100</wp:posOffset>
            </wp:positionV>
            <wp:extent cx="1903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020" w:space="720"/>
            <w:col w:w="2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3,232</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w:t>
      </w:r>
    </w:p>
    <w:p>
      <w:pPr>
        <w:sectPr>
          <w:pgSz w:w="11900" w:h="16838" w:orient="portrait"/>
          <w:cols w:equalWidth="0" w:num="1">
            <w:col w:w="11420"/>
          </w:cols>
          <w:pgMar w:left="240" w:top="125"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continued to do so during 2014.</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neurosurgery manufacturing facility in Andover, England in June 2012. On November 5, 2012, we received a warning letter dated November 1, 2012 related to quality systems issues at that facility. The warning letter identified violations related to corrective and preventative actions, process validations, internal quality audits, and internal review of the suitability and effectiveness of the quality system at defined intervals. Since the conclusion of the FDA inspection in June 2012, we have remediated the observations that the FDA has made and continue to make further improvements in the quality system.</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14, 2013, we received a warning letter from the FDA relating to quality systems issues at our manufacturing facility located in Añasco, Puerto Rico.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Puerto Rico facility.</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a single Quality System for the entire Company. We have engaged former FDA professionals as third party consultants to work with us on our remediation plans. We also met with the Office of Compliance at the FDA San Juan, Puerto Rico office to discuss the remediation plans at the Añasco, Puerto Rico facility. We have prioritized senior level quality and regulatory staff to address the quality system improvement plans at all of our facilities.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24, 2013, the United States Food and Drug Administration began an inspection of the Añasco facility. At the end of the inspection on November 26, 2013, the FDA issued a new Form 483 with six additional observations relating to Corrective and Preventative Action (“CAPA”), quality system procedures and instructions, procedures pertaining to complaints, procedures pertaining to checking and maintaining equipment, procedures for finished device acceptance and procedures to prevent contamination of equipment or products. These observations did not impact our ability to manufacture and sell product. On March 4, 2014 we met with the FDA Office of Compliance, San Juan, Puerto Rico District to discuss the Corrective Action and remediation plan at the Añasco, Puerto Rico facility. We committed to several corporate-wide corrections and additional site corrections and will continue to complete these within the timeframes provided to the FDA in order to remediate the observations that the FDA has made.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several years we have undertaken significant efforts to remediate the observations that the FDA has made and have been working on improving and revising our quality systems. Our remediation activity expenses during the three and six months ended June 30, 2014 were $0.2 million and $0.4 million, respectively, and during the three and six months ended June 30, 2013, were $3.0 million and $5.1 million, respectively. These costs consist of consulting expenses and other work activities required to complete our remediation activities, and we expect to incur similar types of expenses during 2014, albeit at lower spending levels compared to 2013. We will provide periodic status reports to the FDA and work cooperatively with the agency to resolve any outstanding issues.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 June 30,</w:t>
            </w:r>
          </w:p>
        </w:tc>
        <w:tc>
          <w:tcPr>
            <w:tcW w:w="360" w:type="dxa"/>
            <w:vAlign w:val="bottom"/>
          </w:tcPr>
          <w:p>
            <w:pPr>
              <w:spacing w:after="0"/>
              <w:rPr>
                <w:sz w:val="16"/>
                <w:szCs w:val="16"/>
                <w:color w:val="auto"/>
              </w:rPr>
            </w:pPr>
          </w:p>
        </w:tc>
        <w:tc>
          <w:tcPr>
            <w:tcW w:w="28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2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360" w:type="dxa"/>
            <w:vAlign w:val="bottom"/>
          </w:tcPr>
          <w:p>
            <w:pPr>
              <w:spacing w:after="0"/>
              <w:rPr>
                <w:sz w:val="21"/>
                <w:szCs w:val="21"/>
                <w:color w:val="auto"/>
              </w:rPr>
            </w:pPr>
          </w:p>
        </w:tc>
        <w:tc>
          <w:tcPr>
            <w:tcW w:w="28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60,559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41,767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114,942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80,763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Instruments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39,505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76,225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78,896</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32,009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66,337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61,971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Spine and Other</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45,087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43,434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86,153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87,481</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51,776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47,289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102,753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93,088</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231,351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205,547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446,410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402,199</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86,976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81,829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169,359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161,441</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144,375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123,718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277,051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240,758</w:t>
            </w:r>
          </w:p>
        </w:tc>
      </w:tr>
      <w:tr>
        <w:trPr>
          <w:trHeight w:val="67"/>
        </w:trPr>
        <w:tc>
          <w:tcPr>
            <w:tcW w:w="49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24"/>
        </w:trPr>
        <w:tc>
          <w:tcPr>
            <w:tcW w:w="49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4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180" w:hanging="172"/>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attributes revenue to geographic areas based on the location of the customer. There are certain revenues managed by the various U.S. segments above that are generated from non-U.S. customers and therefore included in Europe and Rest of World revenues disclosed in the "Geographic Product Revenues and Operations" section of this document.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Certain 2013 segment revenues above have been reclassified in order to conform with the current year's presentation.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as Compared to Three Months Ended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2014 total revenues increased by $25.8 million to $231.4 million from $205.5 million for the same period in 2013.</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 Neurosurgery revenues were $60.6 million, an increase of 45% from the prior-year period. The increase largely resulted from the impact of the DuraSeal product sales arising out of the Confluent Surgical acquisition. We also saw increases from neuro critical care which benefited from strong sales of capital equipment in the quarter, and our dural repair franchise, which was up against a soft comparable as a result of the recall in 2013.</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Instruments revenues were $39.5 million, a decrease of 4% from the prior-year period. The decrease resulted primarily from lower sales in our acute-care business as hospital spending is still cautious, and product discontinuances. However, these decreases were partially offset by increases in our alternate-site business, and lighting product sales.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 Extremities revenues were $34.4 million, an increase of 8% from the prior-year period. This increase resulted primarily from dermal and wound care franchise, as a result of adding new salespeople and the launch of the ThinSkin product, and from our shoulder business as a result of the launch of new shoulder lines. These increases were partially offset by some softness in our lower extremity and nerve franchises during the quarter.</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U.S. Spine and Other revenues, which include our spine hardware, orthobiologics and private label products, were $45.1 million, a 4% increase from the prior-year period. Our overall spine business was relatively flat as increases in orthobiologics revenues were largely muted by decreases in spine hardware revenues. Sales of our private label products were up from the prior-year period primarily due to the soft comparable as a result of the recall in 2013.</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segment revenues were $51.8 million, an increase of 9% from the prior-year period. This increase primarily resulted from the incremental impact of DuraSeal product sales, higher Duragen sales as we recover from the recall in 2013, increased skin and wound sales, and capital sales - all of which have been areas of focus for our International segment. Foreign currency also added $1.0 million to our sales when compared to the same quarter last year primarily due to a stronger euro. These contributions to increasing sales were largely offset by weak orthopedic sales, product discontinuances, and delayed tenders in a few large markets.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increased to $144.4 million for the three-month period ended June 30, 2014 from $123.7 million for the same period last year. Gross margin as a percentage of total revenue increased to 62.4% for the second quarter of 2014 from 60.2%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same period last year. The increase in gross margin percentage resulted primarily from an increase in sales of higher margin products such as DuraSeal, skin and wound products, and Duragen products which were subject to the recall in 2013, and improved manufacturing capacity utilization for our regenerative products. We also saw decreased remediation costs at our manufacturing facilities because throughout 2013 we invested in improvements to quality systems across our organization as a result of prior FDA findings. In 2014, we are seeing our spending return to a more normal level since those initial remediation efforts are largely complete. Finally we also saw gross margin improvement from product recall expenses in 2013 that did not recur in the current period.</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2014 to be between 61% and 62%, up compared to 2013. We expect our gross margin will see increases from improved product mix - with more sales in the skin, wound and DuraSeal lines - and improvements in yield as we resolve FDA inspection issues.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2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57.0%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r>
      <w:tr>
        <w:trPr>
          <w:trHeight w:val="27"/>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$13.8 million, or 12%, to $132.0 million in the three months ended June 30, 2014, compared to $118.2 million in the same period last year.</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in the second quarter of 2014 increased $1.9 million compared to the same period last year, resulting from higher product development spending in extremities and neurosurgery. We expect full-year 2014 spending on research and development to be approximately 6% of total revenues.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second quarter of 2014 increased by $12.0 million to $115.3 million compared to $103.3 million in the same period last year. Selling and marketing expenses increased by $5.1 million, primarily resulting from higher commissions and distributor fees related to the DuraSeal sales, and overall sales increases in general. General and administrative costs were up $6.9 million as a result of integration costs for DuraSeal, additional depreciation as we put our ERP system in service in certain locations during May, and higher severance costs. These general and administrative increases were partially offset by $1.2 million to reflect a decrease in the fair value of the contingent consideration liability because during the second quarter of 2014 management concluded that the sales threshold for a contingent consideration payment from a prior acquisition was no longer probable of being achieved.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in the second quarter of 2014 was $3.0 million compared to $3.1 million in the same period last year. The decrease resulted primarily from certain non-technology intangible assets becoming fully amortized in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3"/>
              </w:rPr>
              <w:t>Three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spacing w:after="0"/>
              <w:rPr>
                <w:sz w:val="22"/>
                <w:szCs w:val="22"/>
                <w:color w:val="auto"/>
              </w:rPr>
            </w:pPr>
          </w:p>
        </w:tc>
        <w:tc>
          <w:tcPr>
            <w:tcW w:w="50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22"/>
                <w:szCs w:val="22"/>
                <w:color w:val="auto"/>
              </w:rPr>
            </w:pPr>
          </w:p>
        </w:tc>
      </w:tr>
      <w:tr>
        <w:trPr>
          <w:trHeight w:val="196"/>
        </w:trPr>
        <w:tc>
          <w:tcPr>
            <w:tcW w:w="37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top w:val="single" w:sz="8" w:color="auto"/>
            </w:tcBorders>
          </w:tcPr>
          <w:p>
            <w:pPr>
              <w:spacing w:after="0"/>
              <w:rPr>
                <w:sz w:val="17"/>
                <w:szCs w:val="17"/>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0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(5,382)</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27"/>
        </w:trPr>
        <w:tc>
          <w:tcPr>
            <w:tcW w:w="3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675"/>
        </w:trPr>
        <w:tc>
          <w:tcPr>
            <w:tcW w:w="3700" w:type="dxa"/>
            <w:vAlign w:val="bottom"/>
          </w:tcPr>
          <w:p>
            <w:pPr>
              <w:spacing w:after="0"/>
              <w:rPr>
                <w:sz w:val="24"/>
                <w:szCs w:val="24"/>
                <w:color w:val="auto"/>
              </w:rPr>
            </w:pPr>
          </w:p>
        </w:tc>
        <w:tc>
          <w:tcPr>
            <w:tcW w:w="3900" w:type="dxa"/>
            <w:vAlign w:val="bottom"/>
          </w:tcPr>
          <w:p>
            <w:pPr>
              <w:jc w:val="right"/>
              <w:ind w:right="1716"/>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 the three months ended June 30, 2014 increased by $0.4 million primarily because we have increased borrowings on our Senior Credit facility compared to the prior year. Additionally, we placed our ERP system in service in May 2014 and therefore no longer capitalize interest related to that project. Our reported interest expense for the three-month periods ended June 30, 2014 and 2013 includes non-cash interest related to the accounting for convertible securities of $1.8 million and $1.6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June 30,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for both the second quarter of 2014 and 2013 was primarily attributable to the foreign exchange impact on intercompany balances.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14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3"/>
              </w:rPr>
              <w:t>Three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7,186</w:t>
            </w:r>
          </w:p>
        </w:tc>
        <w:tc>
          <w:tcPr>
            <w:tcW w:w="122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2,361</w:t>
            </w:r>
          </w:p>
        </w:tc>
        <w:tc>
          <w:tcPr>
            <w:tcW w:w="122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(947)</w:t>
            </w:r>
          </w:p>
        </w:tc>
      </w:tr>
      <w:tr>
        <w:trPr>
          <w:trHeight w:val="27"/>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1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(165.3)%</w:t>
            </w:r>
          </w:p>
        </w:tc>
      </w:tr>
      <w:tr>
        <w:trPr>
          <w:trHeight w:val="27"/>
        </w:trPr>
        <w:tc>
          <w:tcPr>
            <w:tcW w:w="7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effective income tax rates for the three months ended June 30, 2014 and 2013 were 32.9% and (165.3)%, respectively. For the three months ended June 30, 2014, discrete foreign income tax audit settlements of $0.3 million, and a change in state filing positions of $0.3 million primarily drove the tax rate. The overall rate for the three months ended June 30, 2013 was driven primarily by the impact of discrete items on an unusually low pre-tax income level. During the three months ended June 30, 2013; the Company recorded a benefit of $0.5 million relating to the granting of Irish research credits for 2011 and 2012 and a benefit of $0.8 million for the release of uncertain tax positions due to the expiration of the statute of limitation in certain state jurisdictions.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that our effective income tax rate for the full year to be approximately 23% to 24% resulting largely from the jurisdictional mix of pretax income in U.S.-based operations relative to foreign operations. We may revise this estimate in the future as additional information becomes available.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as Compared to Six Months Ended June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2014, total revenues increased by $44.2 million to $446.4 million from $402.2 million during the prior-year period.</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 Neurosurgery revenues were $114.9 million, an increase of 42%. The increase largely resulted from the impact of the DuraSeal product sales arising out of the Confluent Surgical acquisition. We also saw increases from our dural repair franchise, which was up against a soft comparable as a result of the recall in 2013, and neuro critical care and tissue ablation, both of which benefited from strong sales of capital equipment in the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Instruments revenues were $76.2 million, a decrease of 3% from the prior year. The decrease resulted primarily from lower sales in our acute-care business and product discontinuances. Increases in our alternate site business, and lighting product line partially offset this decline.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$66.3 million, an increase of 7% from the prior year. This increase resulted primarily from dermal and wound care products, and from our shoulder business as a result of the launch of new shoulder lines in the latter-half of 2013. We also saw some softness in our lower extremity and nerve franchises during the period.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$86.2 million, a decrease of 2% from the prior year. Our overall spine business was down slightly as decreases in spine hardware revenues were partially offset by increases in orthobiologics. Sales of our private label products were up slightly from the prior-year period.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segment revenues were $102.8 million, an increase of 10% from prior year. These increases primarily resulted from the incremental impact of DuraSeal product sales, Duragen sales as we recover from the recall in 2013, and skin and wound sales - all of which have been an area of focus for the International division. Foreign currency also added $1.1 million to our sales in the period primarily due to a stronger euro. These contributions to increasing sales were largely offset by weak orthopedic sales and delayed tenders in a few large markets.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margin increased to $277.1 million for the six-month period ended June 30, 2014 from $240.8 million for the same period last year. Gross margin as a percentage of total revenue increased to 62.1% for the first-half of 2013 from 59.9% for the same period last year. The increase in gross margin percentage resulted primarily from increases sales of higher margin products such as DuraSeal, skin and wound products, and Duragen products that were subject to the recall in 2013. Our 2014 gross margin also saw improvement from product recall expenses in 2013 that did not recur. Additionally, we had lower remediation costs at our manufacturing facilities because throughout 2013, we invested in improvements to quality systems across our organization as a result of prior FDA findings. In 2014, we are seeing our spending return to a more normal level since those initial remediation efforts are largely complete.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52"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7"/>
        </w:trPr>
        <w:tc>
          <w:tcPr>
            <w:tcW w:w="7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7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$18.5 million, or 8%, to $255.9 million in the first six months of 2014, compared to $237.4 million in the same period last year.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first six months of 2014 increased $1.8 million compared to the same period last year primarily resulting from higher product development spending in extremities and neurosurgery. These increases were partially offset by lower expenses earlier in the year due to headcount reductions, and lower overall project costs in other areas.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in the first six months of 2014 increased by $17.3 million to $223.6 million compared to $206.2 million in the same period last year. Selling and marketing expenses increased by $6.2 million primarily resulting from higher headcount, the impact of DuraSeal, and U.S. Extremities' commission costs which were higher as a result of increases in revenue. General and administrative costs were up $11.2 million primarily because of higher headcount, additional depreciation as we put our ERP system in service in certain locations during May, consulting costs to support various strategic projects, and higher severance costs. These general and administrative increases were partially offset by $1.2 million to reflect a decrease in the fair value of the contingent consideration liability because during the second quarter of 2014 management concluded that the sales threshold for a contingent consideration payment from a prior acquisition was no longer probable of being achieved.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in the first six months of 2014 decreased by $0.6 million to $6.0 million, compared to $6.6 million in the same period last year. The decrease is primarily due to certain intangible assets becoming fully amortized in the first quarter of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(10,524)</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(9,765)</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435</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7"/>
        </w:trPr>
        <w:tc>
          <w:tcPr>
            <w:tcW w:w="7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in the six-month period ended June 30, 2014 increased by $0.8 million primarily because we have increased borrowings on our Senior Credit facility compared to the prior year. Additionally, we placed our ERP system in service in May 2014 and therefore no longer capitalize interest related to that project. Furthermore, the amount of our 2016 Notes discount amortization increased by $0.2 million as expected when using the effective interest method for its amortization in the six-month period ended June 30, 2013. Our reported interest expense for the six-month periods ended June 30, 2014 and 2013 includes non-cash interest related to the accounting for convertible securities of $3.4 million and $3.2 million,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six months ended June 30,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of $0.4 million in 2014 was primarily attributable to foreign exchange gains on intercompany balances. Other expenses of $1.3 million in 2013 were primarily related to a write off of $1.5 million for a capital expenditure project not placed into service and by foreign exchange losses on intercompany balances.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2"/>
              </w:rPr>
              <w:t>Six Months Ended June 30,</w:t>
            </w:r>
          </w:p>
        </w:tc>
        <w:tc>
          <w:tcPr>
            <w:tcW w:w="72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11,161</w:t>
            </w:r>
          </w:p>
        </w:tc>
        <w:tc>
          <w:tcPr>
            <w:tcW w:w="122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(7,328)</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00" w:type="dxa"/>
            <w:vAlign w:val="bottom"/>
          </w:tcPr>
          <w:p>
            <w:pPr>
              <w:spacing w:after="0"/>
              <w:rPr>
                <w:sz w:val="21"/>
                <w:szCs w:val="21"/>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4,130</w:t>
            </w:r>
          </w:p>
        </w:tc>
        <w:tc>
          <w:tcPr>
            <w:tcW w:w="1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(2,820)</w:t>
            </w:r>
          </w:p>
        </w:tc>
      </w:tr>
      <w:tr>
        <w:trPr>
          <w:trHeight w:val="27"/>
        </w:trPr>
        <w:tc>
          <w:tcPr>
            <w:tcW w:w="7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7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effective income tax rates for the six months ended June 30, 2014 and 2013 were 37.0% and 38.5%, respectively. For the six months ended June 30, 2014, the change in the income tax rate compared to the same period in 2013 primarily resulted from an expense of $0.4 million for a foreign income tax audit settlement, an expense of $0.3 million from a change in state filing positions, and an expense of $0.7 million relating to state income tax audit settlements. For the six months ended June 30, 2013; the Company recorded a benefit of $0.5 million relating to the granting of Irish research credits for 2011 and 2012, a benefit of $1.2 million for the release of uncertain tax positions due to the expiration of the statute of limitation in certain state jurisdictions, and a benefit of $0.9 million because of the extension of the Federal research credit, enacted through the American Taxpayer Relief Act. These benefits in 2013 were recorded against a book loss; accordingly, they had the effect of increasing the effective tax rate in that period.</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23% to 24%, resulting largely from the jurisdictional mix of pretax income in U.S.-based operations relative to foreign operations. The Company may revise this estimate in the future as additional information becomes available.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managed by the various U.S. segments that are generated from non-U.S. customers and therefore included in Europe and the Rest of World revenues below. Total revenue by major geographic area consisted of the following:</w:t>
      </w:r>
    </w:p>
    <w:p>
      <w:pPr>
        <w:sectPr>
          <w:pgSz w:w="11900" w:h="16838" w:orient="portrait"/>
          <w:cols w:equalWidth="0" w:num="1">
            <w:col w:w="11420"/>
          </w:cols>
          <w:pgMar w:left="240" w:top="125" w:right="239" w:bottom="1440" w:gutter="0" w:footer="0" w:header="0"/>
        </w:sectPr>
      </w:pPr>
    </w:p>
    <w:p>
      <w:pPr>
        <w:spacing w:after="0" w:line="375"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178,806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157,166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342,187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51,176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47,393</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231,351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205,547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446,410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402,199</w:t>
            </w:r>
          </w:p>
        </w:tc>
      </w:tr>
      <w:tr>
        <w:trPr>
          <w:trHeight w:val="27"/>
        </w:trPr>
        <w:tc>
          <w:tcPr>
            <w:tcW w:w="5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Domestic revenues increased to $178.8 million, or 77% of total revenues, for the three months ended June 30, 2014 from $157.2 million, or 76% of total revenues, for the three months ended June 30, 2013. International revenues increased to $52.5 million from $48.4 million in the prior-year period, an increase of 9%. Foreign exchange rate fluctuations increased our sales by $1.0 million during the current quarter, primarily due to a stronger euro.</w:t>
      </w:r>
    </w:p>
    <w:p>
      <w:pPr>
        <w:spacing w:after="0" w:line="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Domestic revenues increased to $342.2 million, or 77% of total revenues, for the six months ended June 30, 2014 from $307.2 million, or 76% of total revenues, for the six months ended June 30, 2013. International revenues increased to $104.2 million from $95.0 million in the prior-year period, an increase of 10%. Foreign exchange rate fluctuations increased our sales by $1.1 million in the six-month period, primarily due to a stronger euro.</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cash and cash equivalents totaling approximately $137.2 million and $120.6 million at June 30, 2014 and December 31, 2013, respectively. At June 30, 2014, our non-U.S. subsidiaries held approximately $104.6 million of cash and cash equivalents that are available for use by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6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27,631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(255,691)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(26,775)</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244,236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r>
      <w:tr>
        <w:trPr>
          <w:trHeight w:val="27"/>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we anticipate that our principal uses of cash will include between $45.0 million and $50.0 million on capital expenditures primarily for our continued expansion of regenerative medicine manufacturing capacity, support and maintenance in our existing plants, our enterprise resource planning system implementation, and additions to our instrument kits used in sales of orthopedic products. Additionally, we will continue to build inventories in preparation for our facilities consolidations expected to occur at the end of 2014.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$27.6 million and $10.8 million for the six months ended June 30, 2014 and 2013,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for the six months ended June 30, 2014 benefited from an increase in net income of $11.5 million compared to the same period in 2013. Changes in working capital decreased cash flows for the six months ended June 30, 2014 by approximately $15.1 million. Among the changes in working capital, accounts receivable provided $0.1 million of cash, inventory used $17.4 million of cash, prepaid expenses and other current assets used $2.8 million of cash, and accounts payable, accrued expenses and other current liabilities provided $4.8 million of cash.</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six months ended June 30, 2013 was negatively impacted by the net loss for the period. Changes in working capital decreased cash flows by approximately $18.3 million. Among the changes in working capital, accounts receivable used $0.7 million of cash, inventory used $19.4 million of cash, prepaid expenses and other current assets used $1.3 million of cash, and accounts payable, accrued expenses and other current liabilities provided $2.9 million of cash.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2014, we paid $235.0 million for the acquisition of Confluent Surgical, and $20.7 million for capital expenditures, most of which was directed to the expansion of our regenerative medicine production capacity and global enterprise system implementation.</w:t>
      </w:r>
    </w:p>
    <w:p>
      <w:pPr>
        <w:spacing w:after="0" w:line="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six months ended June 30, 2013, we paid $24.5 million for capital expenditures, most of which was directed to the expansion of our regenerative medicine production capacity and global enterprise system implementation, and $2.8 million for the acquisition of Tarsus Medical,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cash for financing activities in the six months ended June 30, 2014 were $235.0 million of borrowings under our Senior Credit Facility to fund the Confluent Surgical acquisition, and stock option exercises of $8.3 million.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cash for financing activities in the six months ended June 30, 2013 were $20.0 million of borrowings under our senior credit facility, and our primary uses of cash for financing activities were $1.0 million in debt issuance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June 30, 2014 and December 31, 2013, working capital was $437.3 million and $401.8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For a discussion of our Amended and Restated Senior Credit Agreement, see Note 5 -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14 -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to the current period’s condensed consolidated financial statements.</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For a discussion of our convertible debt and related hedging activities, see Note 5.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current period’s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six months of 2014 and $75.0 million remains available under the authorization.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were obligated to pay the following amounts under various agreements: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Payments Due by Calendar Year</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Remaining 2014</w:t>
            </w:r>
          </w:p>
        </w:tc>
        <w:tc>
          <w:tcPr>
            <w:tcW w:w="1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2017-2018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Employment Agreements (4)</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756.1</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688.4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40" w:right="40" w:hanging="293"/>
        <w:spacing w:after="0" w:line="264"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5 "Debt"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spacing w:after="0" w:line="170"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6"/>
          <w:szCs w:val="16"/>
          <w:color w:val="auto"/>
        </w:rPr>
        <w:t>This table does not reflect the impact of the amendment to the Senior Credit Facility entered into on July 2, 2014, nor the subsequent borrowings.</w:t>
      </w:r>
    </w:p>
    <w:p>
      <w:pPr>
        <w:spacing w:after="0" w:line="302"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contingent consideration obligations related to prior acquisitions from the contractual obligations table above; this liability had a fair value of $21.1 million at June 30, 2014.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$3.1 million at June 30, 2014.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six months ended June 30,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2013 have not materially changed, except as noted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tax in cost of goods sold when the medical device was sold to the ultimate customer. Under the new method, the MDET will be recorded in selling, general and administrative expenses in the period the first sale in the United States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 in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excise tax applies to sales beginning January 1, 2013; therefore, only 2013 financial results were affected by this change. The cumulative effect of the change in the prior years is included in retained earnings as of December 31, 2013 and the comparative period for the three and six months ended June 30, 2013. The financial impact of this change on 2013 has been incorporated into the amounts presented throughout this Form 10-Q and the impact on the three and six months ended June 30, 2013 is discussed in detail in Note 1 to the condensed consolidated financial statements. For a full reconciliation of the impact on the 2013 historical quarterly financial results, see the investor presentations on the Investor Relations homepage of Integra's website at investor.integralife.com.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new accounting pronouncements is included in Note 1 to the current period’s condensed consolidated financial statements.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as cash flow hedges in other comprehensive income, and then recognize them in other income or expense when the hedged item affects net earnings.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June 30, 2014 would increase interest income by approximately $1.4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25 basis points. We are subject to foreign currency exchange risk with respect to cash balances maintained in foreign currencies.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$105.0 million outstanding as of June 30, 2014. We recognized $0.4 million of additional interest expense related to this derivative during the three months ended June 30, 2014. The fair value of our interest rate derivative instrument was a net liability of $1.7 million at June 30, 2014.</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June 30, 2014, a one-percentage point change in interest rates would have impacted interest expense on the unhedged portion of the debt by $3.2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2014. Based upon this evaluation, our principal executive officer and principal financial officer concluded that our disclosure controls and procedures were effective as of June 30, 2014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ended June 30, 2014 the Company implemented a new ERP system in certain locations in the United States and Germany. Management has performed testing of the ERP system development life-cycle controls throughout the project design and build stage. This testing had a particular emphasis on project management, cut-over, data conversions, reporting and enhancements, interfaces, system and user testing, user participation and training, and process designs and controls. Management believes that the ERP system has been designed and is functioning in a manner which ensures that financial information required to be disclosed by the Company in the reports that it files or submits under the Securities Exchange Act of 1934 is recorded, processed, summarized and reported both timely and accurately.</w:t>
      </w:r>
    </w:p>
    <w:p>
      <w:pPr>
        <w:spacing w:after="0" w:line="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no other changes in our internal control over financial reporting (as defined in Rule 13a-15(f) under the Exchange Act) that occurred during the quarter ended June 30,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has been cooperating with the U.S. Attorney's Office on a voluntary basis and is not a subject or target of an investigation at this time. In cooperating with the U.S. Attorney’s Office, the Company has responded to multiple government requests for documents and information; and in the fall of 2013 it responded to what the government currently indicated is its final request. Representatives of the Company met with the Assistant United States Attorney in charge of the matter and an agent from the Federal Bureau of Investigation on April 11, 2014, to discuss the matter, the behavior of the sales representatives in question, and the disposition of the matter as to the Company. The Company awaits word from the U.S. Attorney’s Office as to the disposition of the matter as to the Company.</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manufactures and sells certain extremities products internationally pursuant to a license agreement that the licensor has indicated it will terminate effective October 20, 2014 after the parties were unable to resolve disagreements under the license agreement. Revenues for products sold under that license agreement approximated $5.5 million in 2013. Subject to certain conditions described in the license agreement, Integra may sell the remaining inventory of covered products after the expiration of the license agreement. In the first quarter of 2014, the parties resumed their discussions to resolve their disagreements under the license agreement and continue to have those discussions. At this time, we cannot predict whether the licensor will bring any claims against the Company or whether those claims, if successful, would have a material, adverse effect on the financial results of the Company. Should the licensor bring any claims against the Company, the Company might assert counterclaims against the licensor.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2013 have not materially changed except as noted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financial markets may adversely affect the availability and cost of credit to us.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2016 Notes (hereinafter defined) mature in 2016. On July 2, 2014, the Company entered into an amendment and restatement of the Senior Credit Facility (hereinafter defined as the “2014 Amendment”). As of July 2, 2014, we had approximately $651.9 million of outstanding borrowings under these two financing arrangements. The Company may attempt to refinance or extend, either or both of these obligations, depending on prevailing market conditions. Our ability to refinance or extend these obligations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June 30, 2014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the Company entered into an amendment and restatement of the Senior Credit Facility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(the “2014 Amendment”).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2014 Amendment creates an aggregate principal amount of up to $900.0 million available to the Company through the following facilities:</w:t>
      </w:r>
    </w:p>
    <w:p>
      <w:pPr>
        <w:spacing w:after="0" w:line="63"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Amendment allows the Company to further increase the size of either the revolving credit facility or the term loan facility, or a combination thereof, by an aggregate of $200.0 million with additional commitments. The 2014 Amendment extends the Senior Credit Facility's maturity date from June 8, 2016 to July 2,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2014 Amendment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left="1640" w:hanging="508"/>
        <w:spacing w:after="0" w:line="297" w:lineRule="auto"/>
        <w:tabs>
          <w:tab w:leader="none" w:pos="1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Third Amended and Restated Credit Agreement, dated as of July 2, 2014, among Integra LifeSciences Holdings Corporation, the other lenders party hereto,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(Incorporated by Reference to Exhibit 4.1 to the Company’s Current Report on Form 8-K filed on July 9, 2014)</w:t>
      </w:r>
    </w:p>
    <w:p>
      <w:pPr>
        <w:spacing w:after="0" w:line="200" w:lineRule="exact"/>
        <w:rPr>
          <w:sz w:val="20"/>
          <w:szCs w:val="20"/>
          <w:color w:val="auto"/>
        </w:rPr>
      </w:pP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Ratification Agreement, dated as of July 2, 2014, between Integra LifeSciences Holdings Corporation, the Subsidiary Guarantors of</w:t>
            </w:r>
          </w:p>
        </w:tc>
      </w:tr>
      <w:tr>
        <w:trPr>
          <w:trHeight w:val="216"/>
        </w:trPr>
        <w:tc>
          <w:tcPr>
            <w:tcW w:w="100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7"/>
              </w:rPr>
              <w:t>Integra LifeSciences Holdings Corporation and Bank of America, N.A., as Administrative Agent. (Incorporated by Reference to</w:t>
            </w:r>
          </w:p>
        </w:tc>
      </w:tr>
      <w:tr>
        <w:trPr>
          <w:trHeight w:val="216"/>
        </w:trPr>
        <w:tc>
          <w:tcPr>
            <w:tcW w:w="100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Exhibit 4.2 to the Company’s Current Report on Form</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8-K filed on July 9,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Offer Letter between Glenn Coleman and the Company (Incorporated by reference to Exhibit 10.1 to the Company’s Current Report</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on Form 8-K filed on April 29,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9900" w:type="dxa"/>
            <w:vAlign w:val="bottom"/>
          </w:tcPr>
          <w:p>
            <w:pPr>
              <w:ind w:left="140"/>
              <w:spacing w:after="0"/>
              <w:rPr>
                <w:sz w:val="20"/>
                <w:szCs w:val="20"/>
                <w:color w:val="auto"/>
              </w:rPr>
            </w:pPr>
            <w:r>
              <w:rPr>
                <w:rFonts w:ascii="Arial" w:cs="Arial" w:eastAsia="Arial" w:hAnsi="Arial"/>
                <w:sz w:val="18"/>
                <w:szCs w:val="18"/>
                <w:color w:val="auto"/>
                <w:w w:val="94"/>
              </w:rPr>
              <w:t>Form of Change in Control Severance Agreement (Incorporated by reference to Exhibit 10.1 to the Company’s Current Report on</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Form 8-K filed on May 1,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Second Amended and Restated 2005 Employment Agreement between the Company and John B. Henneman, III (Incorporated by</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May 23,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Second Amended and Restated Employment Agreement between the Company and Peter J. Arduini (Incorporated by reference to</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Exhibit 10.1 to the Company’s Current Report on Form 8-K filed on June 20,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9900" w:type="dxa"/>
            <w:vAlign w:val="bottom"/>
          </w:tcPr>
          <w:p>
            <w:pPr>
              <w:ind w:left="140"/>
              <w:spacing w:after="0"/>
              <w:rPr>
                <w:sz w:val="20"/>
                <w:szCs w:val="20"/>
                <w:color w:val="auto"/>
              </w:rPr>
            </w:pPr>
            <w:r>
              <w:rPr>
                <w:rFonts w:ascii="Arial" w:cs="Arial" w:eastAsia="Arial" w:hAnsi="Arial"/>
                <w:sz w:val="18"/>
                <w:szCs w:val="18"/>
                <w:color w:val="auto"/>
                <w:w w:val="92"/>
              </w:rPr>
              <w:t>Preferability letter of independent registered public accounting firm (Incorporated by Reference to Exhibit 18 to the Company’s Form</w:t>
            </w:r>
          </w:p>
        </w:tc>
      </w:tr>
      <w:tr>
        <w:trPr>
          <w:trHeight w:val="230"/>
        </w:trPr>
        <w:tc>
          <w:tcPr>
            <w:tcW w:w="100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10-Q for the quarter ended March 31, 2014)</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99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99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hanging="492"/>
        <w:spacing w:after="0" w:line="25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2014 filed on August 5, 2014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August 5, 2014</w:t>
            </w:r>
          </w:p>
        </w:tc>
        <w:tc>
          <w:tcPr>
            <w:tcW w:w="24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5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5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August 5, 2014</w:t>
            </w:r>
          </w:p>
        </w:tc>
        <w:tc>
          <w:tcPr>
            <w:tcW w:w="24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5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5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jc w:val="right"/>
              <w:ind w:right="22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990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439"/>
        </w:trPr>
        <w:tc>
          <w:tcPr>
            <w:tcW w:w="15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Table of Contents</w:t>
            </w:r>
          </w:p>
        </w:tc>
        <w:tc>
          <w:tcPr>
            <w:tcW w:w="9900" w:type="dxa"/>
            <w:vAlign w:val="bottom"/>
          </w:tcPr>
          <w:p>
            <w:pPr>
              <w:spacing w:after="0"/>
              <w:rPr>
                <w:sz w:val="24"/>
                <w:szCs w:val="24"/>
                <w:color w:val="auto"/>
              </w:rPr>
            </w:pPr>
          </w:p>
        </w:tc>
      </w:tr>
      <w:tr>
        <w:trPr>
          <w:trHeight w:val="547"/>
        </w:trPr>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398"/>
        </w:trPr>
        <w:tc>
          <w:tcPr>
            <w:tcW w:w="760" w:type="dxa"/>
            <w:vAlign w:val="bottom"/>
          </w:tcPr>
          <w:p>
            <w:pPr>
              <w:spacing w:after="0"/>
              <w:rPr>
                <w:sz w:val="24"/>
                <w:szCs w:val="2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0"/>
              </w:rPr>
              <w:t>Third Amended and Restated Credit Agreement, dated as of July 2, 2014, among Integra LifeSciences Holdings Corporation, the other</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2"/>
              </w:rPr>
              <w:t>lenders party hereto, Bank of America, N.A., as Administrative Agent, Swing Line Lender and L/C Issuer, Wells Fargo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6"/>
              </w:rPr>
              <w:t>Association, as Syndication Agent and HSBC Bank USA, National Association, Royal Bank of Canada, Citizens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4"/>
              </w:rPr>
              <w:t>Association, DNB Capital LLC, Credit Agricole-Corporate and Investment Bank and TD Bank, N.A., as Co-Documentation Agents.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796"/>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Ratification Agreement, dated as of July 2, 2014, between Integra LifeSciences Holdings Corporation, the Subsidiary Guarantors of</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7"/>
              </w:rPr>
              <w:t>Integra LifeSciences Holdings Corporation and Bank of America, N.A., as Administrative Agent. (Incorporated by Reference to</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Exhibit 4.2 to the Company’s Current Report on Form</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8-K filed on July 9, 2014)</w:t>
            </w:r>
          </w:p>
        </w:tc>
      </w:tr>
      <w:tr>
        <w:trPr>
          <w:trHeight w:val="796"/>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Offer Letter between Glenn Coleman and the Company (Incorporated by reference to Exhibit 10.1 to the Company’s Current Report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on Form 8-K filed on April 29, 2014)</w:t>
            </w:r>
          </w:p>
        </w:tc>
      </w:tr>
      <w:tr>
        <w:trPr>
          <w:trHeight w:val="58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4"/>
              </w:rPr>
              <w:t>Form of Change in Control Severance Agreement (Incorporated by reference to Exhibit 10.1 to the Company’s Current Report on</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Form 8-K filed on May 1, 2014)</w:t>
            </w:r>
          </w:p>
        </w:tc>
      </w:tr>
      <w:tr>
        <w:trPr>
          <w:trHeight w:val="58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Second Amended and Restated 2005 Employment Agreement between the Company and John B. Henneman, III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May 23, 2014)</w:t>
            </w:r>
          </w:p>
        </w:tc>
      </w:tr>
      <w:tr>
        <w:trPr>
          <w:trHeight w:val="58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3"/>
              </w:rPr>
              <w:t>Second Amended and Restated Employment Agreement between the Company and Peter J. Arduini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Exhibit 10.1 to the Company’s Current Report on Form 8-K filed on June 20, 2014)</w:t>
            </w:r>
          </w:p>
        </w:tc>
      </w:tr>
      <w:tr>
        <w:trPr>
          <w:trHeight w:val="58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2"/>
              </w:rPr>
              <w:t>Preferability letter of independent registered public accounting firm (Incorporated by Reference to Exhibit 18 to the Company’s Form</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10-Q for the quarter ended March 31, 2014)</w:t>
            </w:r>
          </w:p>
        </w:tc>
      </w:tr>
      <w:tr>
        <w:trPr>
          <w:trHeight w:val="594"/>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*†101.INS</w:t>
            </w:r>
          </w:p>
        </w:tc>
        <w:tc>
          <w:tcPr>
            <w:tcW w:w="99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*†101.SCH</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*†101.CAL</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*†101.DEF</w:t>
            </w:r>
          </w:p>
        </w:tc>
        <w:tc>
          <w:tcPr>
            <w:tcW w:w="99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*†101.LAB</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00" w:type="dxa"/>
            <w:vAlign w:val="bottom"/>
            <w:gridSpan w:val="4"/>
          </w:tcPr>
          <w:p>
            <w:pPr>
              <w:jc w:val="right"/>
              <w:ind w:right="140"/>
              <w:spacing w:after="0"/>
              <w:rPr>
                <w:sz w:val="20"/>
                <w:szCs w:val="20"/>
                <w:color w:val="auto"/>
              </w:rPr>
            </w:pPr>
            <w:r>
              <w:rPr>
                <w:rFonts w:ascii="Arial" w:cs="Arial" w:eastAsia="Arial" w:hAnsi="Arial"/>
                <w:sz w:val="18"/>
                <w:szCs w:val="18"/>
                <w:color w:val="auto"/>
              </w:rPr>
              <w:t>*†101.PRE</w:t>
            </w:r>
          </w:p>
        </w:tc>
        <w:tc>
          <w:tcPr>
            <w:tcW w:w="99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08"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720" w:hanging="685"/>
        <w:spacing w:after="0"/>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2014 filed on August 5, 2014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1020"/>
        <w:spacing w:after="0"/>
        <w:tabs>
          <w:tab w:leader="none" w:pos="6240" w:val="left"/>
        </w:tabs>
        <w:rPr>
          <w:sz w:val="20"/>
          <w:szCs w:val="20"/>
          <w:color w:val="auto"/>
        </w:rPr>
      </w:pPr>
      <w:r>
        <w:rPr>
          <w:rFonts w:ascii="Arial" w:cs="Arial" w:eastAsia="Arial" w:hAnsi="Arial"/>
          <w:sz w:val="18"/>
          <w:szCs w:val="18"/>
          <w:color w:val="auto"/>
        </w:rPr>
        <w:t>Date: August 5,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2014</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2014</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lowerRoman"/>
      <w:start w:val="1"/>
    </w:lvl>
  </w:abstractNum>
  <w:abstractNum w:abstractNumId="8">
    <w:nsid w:val="3F2DBA31"/>
    <w:multiLevelType w:val="hybridMultilevel"/>
    <w:lvl w:ilvl="0">
      <w:lvlJc w:val="left"/>
      <w:lvlText w:val="%1."/>
      <w:numFmt w:val="lowerRoman"/>
      <w:start w:val="1"/>
    </w:lvl>
  </w:abstractNum>
  <w:abstractNum w:abstractNumId="9">
    <w:nsid w:val="7C83E458"/>
    <w:multiLevelType w:val="hybridMultilevel"/>
    <w:lvl w:ilvl="0">
      <w:lvlJc w:val="left"/>
      <w:lvlText w:val="%1."/>
      <w:numFmt w:val="lowerRoman"/>
      <w:start w:val="1"/>
    </w:lvl>
    <w:lvl w:ilvl="1">
      <w:lvlJc w:val="left"/>
      <w:lvlText w:val="%2."/>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lowerRoman"/>
      <w:start w:val="1"/>
    </w:lvl>
    <w:lvl w:ilvl="1">
      <w:lvlJc w:val="left"/>
      <w:lvlText w:val="%2."/>
      <w:numFmt w:val="decimal"/>
      <w:start w:val="1"/>
    </w:lvl>
  </w:abstractNum>
  <w:abstractNum w:abstractNumId="16">
    <w:nsid w:val="2443A858"/>
    <w:multiLevelType w:val="hybridMultilevel"/>
    <w:lvl w:ilvl="0">
      <w:lvlJc w:val="left"/>
      <w:lvlText w:val="%1"/>
      <w:numFmt w:val="upperLetter"/>
      <w:start w:val="6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Roman"/>
      <w:start w:val="1"/>
    </w:lvl>
  </w:abstractNum>
  <w:abstractNum w:abstractNumId="20">
    <w:nsid w:val="8EDBDAB"/>
    <w:multiLevelType w:val="hybridMultilevel"/>
    <w:lvl w:ilvl="0">
      <w:lvlJc w:val="left"/>
      <w:lvlText w:val="%1."/>
      <w:numFmt w:val="lowerRoman"/>
      <w:start w:val="1"/>
    </w:lvl>
    <w:lvl w:ilvl="1">
      <w:lvlJc w:val="left"/>
      <w:lvlText w:val="%2."/>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2019-12-06T10:37:57Z</dcterms:created>
  <dcterms:modified xsi:type="dcterms:W3CDTF">2019-12-06T10:37:57Z</dcterms:modified>
</cp:coreProperties>
</file>