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52628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SCHADE CHRISTIAN S</w:t>
              </w:r>
            </w:hyperlink>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11"/>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INTEGRA LIFESCIENCES HOLDINGS</w:t>
              </w:r>
            </w:hyperlink>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62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gridSpan w:val="6"/>
            <w:vMerge w:val="continue"/>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5"/>
            <w:vMerge w:val="restart"/>
          </w:tcPr>
          <w:p>
            <w:pPr>
              <w:ind w:left="60"/>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CORP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IART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72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11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4"/>
                <w:szCs w:val="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2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20" w:type="dxa"/>
            <w:vAlign w:val="bottom"/>
            <w:gridSpan w:val="9"/>
            <w:vMerge w:val="continue"/>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20" w:type="dxa"/>
            <w:vAlign w:val="bottom"/>
            <w:gridSpan w:val="9"/>
            <w:vMerge w:val="continue"/>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1100 CAMPUS ROAD</w:t>
            </w:r>
          </w:p>
        </w:tc>
        <w:tc>
          <w:tcPr>
            <w:tcW w:w="1100" w:type="dxa"/>
            <w:vAlign w:val="bottom"/>
          </w:tcPr>
          <w:p>
            <w:pPr>
              <w:spacing w:after="0"/>
              <w:rPr>
                <w:sz w:val="20"/>
                <w:szCs w:val="20"/>
                <w:color w:val="auto"/>
              </w:rPr>
            </w:pPr>
          </w:p>
        </w:tc>
        <w:tc>
          <w:tcPr>
            <w:tcW w:w="130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05/07/2026</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gridSpan w:val="2"/>
          </w:tcPr>
          <w:p>
            <w:pPr>
              <w:spacing w:after="0"/>
              <w:rPr>
                <w:sz w:val="8"/>
                <w:szCs w:val="8"/>
                <w:color w:val="auto"/>
              </w:rPr>
            </w:pPr>
          </w:p>
        </w:tc>
        <w:tc>
          <w:tcPr>
            <w:tcW w:w="980" w:type="dxa"/>
            <w:vAlign w:val="bottom"/>
            <w:tcBorders>
              <w:bottom w:val="single" w:sz="8" w:color="2C2C2C"/>
            </w:tcBorders>
            <w:gridSpan w:val="3"/>
          </w:tcPr>
          <w:p>
            <w:pPr>
              <w:spacing w:after="0"/>
              <w:rPr>
                <w:sz w:val="8"/>
                <w:szCs w:val="8"/>
                <w:color w:val="auto"/>
              </w:rPr>
            </w:pPr>
          </w:p>
        </w:tc>
        <w:tc>
          <w:tcPr>
            <w:tcW w:w="1960" w:type="dxa"/>
            <w:vAlign w:val="bottom"/>
            <w:tcBorders>
              <w:bottom w:val="single" w:sz="8" w:color="2C2C2C"/>
            </w:tcBorders>
            <w:gridSpan w:val="4"/>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600" w:type="dxa"/>
            <w:vAlign w:val="bottom"/>
            <w:gridSpan w:val="11"/>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vMerge w:val="restart"/>
          </w:tcPr>
          <w:p>
            <w:pPr>
              <w:spacing w:after="0"/>
              <w:rPr>
                <w:sz w:val="7"/>
                <w:szCs w:val="7"/>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3600" w:type="dxa"/>
            <w:vAlign w:val="bottom"/>
            <w:gridSpan w:val="11"/>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NJ</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08540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2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3"/>
                <w:szCs w:val="13"/>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480" w:type="dxa"/>
            <w:vAlign w:val="bottom"/>
            <w:tcBorders>
              <w:top w:val="single" w:sz="8" w:color="2C2C2C"/>
            </w:tcBorders>
            <w:gridSpan w:val="20"/>
          </w:tcPr>
          <w:p>
            <w:pPr>
              <w:ind w:left="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20" w:type="dxa"/>
            <w:vAlign w:val="bottom"/>
            <w:gridSpan w:val="5"/>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5"/>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gridSpan w:val="3"/>
          </w:tcPr>
          <w:p>
            <w:pPr>
              <w:spacing w:after="0"/>
              <w:rPr>
                <w:sz w:val="7"/>
                <w:szCs w:val="7"/>
                <w:color w:val="auto"/>
              </w:rPr>
            </w:pPr>
          </w:p>
        </w:tc>
        <w:tc>
          <w:tcPr>
            <w:tcW w:w="196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20"/>
          </w:tcPr>
          <w:p>
            <w:pPr>
              <w:ind w:left="2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60" w:type="dxa"/>
            <w:vAlign w:val="bottom"/>
            <w:gridSpan w:val="17"/>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60" w:type="dxa"/>
            <w:vAlign w:val="bottom"/>
          </w:tcPr>
          <w:p>
            <w:pPr>
              <w:spacing w:after="0"/>
              <w:rPr>
                <w:sz w:val="11"/>
                <w:szCs w:val="11"/>
                <w:color w:val="auto"/>
              </w:rPr>
            </w:pPr>
          </w:p>
        </w:tc>
        <w:tc>
          <w:tcPr>
            <w:tcW w:w="5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0" w:type="dxa"/>
            <w:vAlign w:val="bottom"/>
          </w:tcPr>
          <w:p>
            <w:pPr>
              <w:spacing w:after="0"/>
              <w:rPr>
                <w:sz w:val="11"/>
                <w:szCs w:val="11"/>
                <w:color w:val="auto"/>
              </w:rPr>
            </w:pPr>
          </w:p>
        </w:tc>
        <w:tc>
          <w:tcPr>
            <w:tcW w:w="8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 w:type="dxa"/>
            <w:vAlign w:val="bottom"/>
          </w:tcPr>
          <w:p>
            <w:pPr>
              <w:spacing w:after="0"/>
              <w:rPr>
                <w:sz w:val="13"/>
                <w:szCs w:val="13"/>
                <w:color w:val="auto"/>
              </w:rPr>
            </w:pP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17,700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156"/>
              <w:spacing w:after="0" w:line="129" w:lineRule="exact"/>
              <w:rPr>
                <w:sz w:val="20"/>
                <w:szCs w:val="20"/>
                <w:color w:val="auto"/>
              </w:rPr>
            </w:pPr>
            <w:r>
              <w:rPr>
                <w:rFonts w:ascii="Times New Roman" w:cs="Times New Roman" w:eastAsia="Times New Roman" w:hAnsi="Times New Roman"/>
                <w:sz w:val="13"/>
                <w:szCs w:val="13"/>
                <w:color w:val="0000FF"/>
              </w:rPr>
              <w:t>05/07/2026</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color w:val="0000FF"/>
              </w:rPr>
              <w:t>17,700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17,700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6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(RSUs) pursuant to the Integra LifeSciences Holdings Corporation (IART) Fifth Amended and Restated 2003 Equity Incentive Plan, as amended. Each RSU represents a contingent right to receive one share of IART common stock.</w:t>
      </w:r>
    </w:p>
    <w:p>
      <w:pPr>
        <w:spacing w:after="0" w:line="16"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vest in full on the one-year anniversary of the grant date of May 7, 2026. The reporting person elected to defer receipt of the shares underlying the RSUs. In accordance with his deferral election, vested shares will be delivered to the reporting person in one lump sum, in the calendar year next following the calendar year in which the reporting person's termination of service on the Board of Directors occurs (unless the reporting person elected a later calendar year).</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D. Hutchinson;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154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Christian</w:t>
      </w:r>
      <w:r>
        <w:rPr>
          <w:sz w:val="20"/>
          <w:szCs w:val="20"/>
          <w:color w:val="auto"/>
        </w:rPr>
        <w:tab/>
      </w:r>
      <w:r>
        <w:rPr>
          <w:rFonts w:ascii="Times New Roman" w:cs="Times New Roman" w:eastAsia="Times New Roman" w:hAnsi="Times New Roman"/>
          <w:sz w:val="16"/>
          <w:szCs w:val="16"/>
          <w:color w:val="0000FF"/>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5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 Schade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420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0370"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4496" TargetMode="External"/><Relationship Id="rId14" Type="http://schemas.openxmlformats.org/officeDocument/2006/relationships/hyperlink" Target="http://www.sec.gov/cgi-bin/browse-edgar?action=getcompany&amp;CIK=00009175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2026-05-11T15:53:00Z</dcterms:created>
  <dcterms:modified xsi:type="dcterms:W3CDTF">2026-05-11T15:53:00Z</dcterms:modified>
</cp:coreProperties>
</file>