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0" w:lineRule="exact"/>
        <w:rPr>
          <w:sz w:val="24"/>
          <w:szCs w:val="24"/>
          <w:color w:val="auto"/>
        </w:rPr>
      </w:pPr>
    </w:p>
    <w:p>
      <w:pPr>
        <w:ind w:left="680" w:hanging="656"/>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0" w:lineRule="exact"/>
        <w:rPr>
          <w:sz w:val="24"/>
          <w:szCs w:val="24"/>
          <w:color w:val="auto"/>
        </w:rPr>
      </w:pPr>
    </w:p>
    <w:p>
      <w:pPr>
        <w:ind w:left="680" w:right="80" w:hanging="643"/>
        <w:spacing w:after="0" w:line="250"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309" w:lineRule="exact"/>
        <w:rPr>
          <w:sz w:val="24"/>
          <w:szCs w:val="24"/>
          <w:color w:val="auto"/>
        </w:rPr>
      </w:pPr>
    </w:p>
    <w:p>
      <w:pPr>
        <w:ind w:left="3960"/>
        <w:spacing w:after="0"/>
        <w:tabs>
          <w:tab w:leader="none" w:pos="65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NO. 000-26224</w:t>
      </w:r>
    </w:p>
    <w:p>
      <w:pPr>
        <w:spacing w:after="0" w:line="29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INTEGRA LIFESCIENCES HOLDINGS CORPORATION</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8"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5000" w:type="dxa"/>
            <w:vAlign w:val="bottom"/>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180" w:type="dxa"/>
            <w:vAlign w:val="bottom"/>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51-0317849</w:t>
            </w:r>
          </w:p>
        </w:tc>
        <w:tc>
          <w:tcPr>
            <w:tcW w:w="0" w:type="dxa"/>
            <w:vAlign w:val="bottom"/>
          </w:tcPr>
          <w:p>
            <w:pPr>
              <w:spacing w:after="0"/>
              <w:rPr>
                <w:sz w:val="1"/>
                <w:szCs w:val="1"/>
                <w:color w:val="auto"/>
              </w:rPr>
            </w:pPr>
          </w:p>
        </w:tc>
      </w:tr>
      <w:tr>
        <w:trPr>
          <w:trHeight w:val="146"/>
        </w:trPr>
        <w:tc>
          <w:tcPr>
            <w:tcW w:w="5000" w:type="dxa"/>
            <w:vAlign w:val="bottom"/>
          </w:tcPr>
          <w:p>
            <w:pPr>
              <w:jc w:val="center"/>
              <w:ind w:right="158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80" w:type="dxa"/>
            <w:vAlign w:val="bottom"/>
          </w:tcPr>
          <w:p>
            <w:pPr>
              <w:jc w:val="center"/>
              <w:ind w:left="15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5000" w:type="dxa"/>
            <w:vAlign w:val="bottom"/>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80" w:type="dxa"/>
            <w:vAlign w:val="bottom"/>
          </w:tcPr>
          <w:p>
            <w:pPr>
              <w:jc w:val="center"/>
              <w:ind w:left="156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95"/>
        </w:trPr>
        <w:tc>
          <w:tcPr>
            <w:tcW w:w="5000" w:type="dxa"/>
            <w:vAlign w:val="bottom"/>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7"/>
              </w:rPr>
              <w:t>1100 Campus Road</w:t>
            </w:r>
          </w:p>
        </w:tc>
        <w:tc>
          <w:tcPr>
            <w:tcW w:w="3180" w:type="dxa"/>
            <w:vAlign w:val="bottom"/>
          </w:tcPr>
          <w:p>
            <w:pPr>
              <w:jc w:val="right"/>
              <w:ind w:right="462"/>
              <w:spacing w:after="0"/>
              <w:rPr>
                <w:sz w:val="20"/>
                <w:szCs w:val="20"/>
                <w:color w:val="auto"/>
              </w:rPr>
            </w:pPr>
            <w:r>
              <w:rPr>
                <w:rFonts w:ascii="Times New Roman" w:cs="Times New Roman" w:eastAsia="Times New Roman" w:hAnsi="Times New Roman"/>
                <w:sz w:val="18"/>
                <w:szCs w:val="18"/>
                <w:b w:val="1"/>
                <w:bCs w:val="1"/>
                <w:color w:val="auto"/>
              </w:rPr>
              <w:t>08540</w:t>
            </w:r>
          </w:p>
        </w:tc>
        <w:tc>
          <w:tcPr>
            <w:tcW w:w="0" w:type="dxa"/>
            <w:vAlign w:val="bottom"/>
          </w:tcPr>
          <w:p>
            <w:pPr>
              <w:spacing w:after="0"/>
              <w:rPr>
                <w:sz w:val="1"/>
                <w:szCs w:val="1"/>
                <w:color w:val="auto"/>
              </w:rPr>
            </w:pPr>
          </w:p>
        </w:tc>
      </w:tr>
      <w:tr>
        <w:trPr>
          <w:trHeight w:val="222"/>
        </w:trPr>
        <w:tc>
          <w:tcPr>
            <w:tcW w:w="500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Princeton ,  New Jersey</w:t>
            </w:r>
          </w:p>
        </w:tc>
        <w:tc>
          <w:tcPr>
            <w:tcW w:w="3180" w:type="dxa"/>
            <w:vAlign w:val="bottom"/>
            <w:vMerge w:val="restart"/>
          </w:tcPr>
          <w:p>
            <w:pPr>
              <w:jc w:val="center"/>
              <w:ind w:left="1562"/>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80"/>
        </w:trPr>
        <w:tc>
          <w:tcPr>
            <w:tcW w:w="5000" w:type="dxa"/>
            <w:vAlign w:val="bottom"/>
            <w:vMerge w:val="restart"/>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5000" w:type="dxa"/>
            <w:vAlign w:val="bottom"/>
            <w:vMerge w:val="continue"/>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(609) 275-0500</w:t>
      </w:r>
    </w:p>
    <w:p>
      <w:pPr>
        <w:spacing w:after="0" w:line="1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3" w:lineRule="exact"/>
        <w:rPr>
          <w:sz w:val="24"/>
          <w:szCs w:val="24"/>
          <w:color w:val="auto"/>
        </w:rPr>
      </w:pPr>
    </w:p>
    <w:tbl>
      <w:tblPr>
        <w:tblLayout w:type="fixed"/>
        <w:tblInd w:w="8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300" w:type="dxa"/>
            <w:vAlign w:val="bottom"/>
          </w:tcPr>
          <w:p>
            <w:pPr>
              <w:spacing w:after="0"/>
              <w:rPr>
                <w:sz w:val="16"/>
                <w:szCs w:val="16"/>
                <w:color w:val="auto"/>
              </w:rPr>
            </w:pPr>
          </w:p>
        </w:tc>
        <w:tc>
          <w:tcPr>
            <w:tcW w:w="1560" w:type="dxa"/>
            <w:vAlign w:val="bottom"/>
            <w:gridSpan w:val="2"/>
          </w:tcPr>
          <w:p>
            <w:pPr>
              <w:jc w:val="center"/>
              <w:ind w:left="38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36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Exchange on Which Registered</w:t>
            </w:r>
          </w:p>
        </w:tc>
      </w:tr>
      <w:tr>
        <w:trPr>
          <w:trHeight w:val="20"/>
        </w:trPr>
        <w:tc>
          <w:tcPr>
            <w:tcW w:w="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246"/>
        </w:trPr>
        <w:tc>
          <w:tcPr>
            <w:tcW w:w="34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7"/>
              </w:rPr>
              <w:t>Common Stock, Par Value $.01 Per Share</w:t>
            </w:r>
          </w:p>
        </w:tc>
        <w:tc>
          <w:tcPr>
            <w:tcW w:w="4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IART</w:t>
            </w:r>
          </w:p>
        </w:tc>
        <w:tc>
          <w:tcPr>
            <w:tcW w:w="136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 Global Select Market</w:t>
            </w:r>
          </w:p>
        </w:tc>
      </w:tr>
    </w:tbl>
    <w:p>
      <w:pPr>
        <w:spacing w:after="0" w:line="16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8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62" w:lineRule="exact"/>
        <w:rPr>
          <w:sz w:val="24"/>
          <w:szCs w:val="24"/>
          <w:color w:val="auto"/>
        </w:rPr>
      </w:pPr>
    </w:p>
    <w:p>
      <w:pPr>
        <w:ind w:right="2520"/>
        <w:spacing w:after="0" w:line="30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7"/>
          <w:szCs w:val="17"/>
          <w:color w:val="auto"/>
        </w:rPr>
        <w:t>☐</w:t>
      </w:r>
    </w:p>
    <w:p>
      <w:pPr>
        <w:spacing w:after="0" w:line="4" w:lineRule="exact"/>
        <w:rPr>
          <w:sz w:val="24"/>
          <w:szCs w:val="24"/>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96" w:lineRule="exact"/>
        <w:tabs>
          <w:tab w:leader="none" w:pos="680" w:val="left"/>
          <w:tab w:leader="none" w:pos="128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67" w:lineRule="exact"/>
        <w:rPr>
          <w:sz w:val="24"/>
          <w:szCs w:val="24"/>
          <w:color w:val="auto"/>
        </w:rPr>
      </w:pPr>
    </w:p>
    <w:p>
      <w:pPr>
        <w:ind w:right="440"/>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30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018" w:right="479" w:bottom="1440" w:gutter="0" w:footer="0" w:header="0"/>
        </w:sectPr>
      </w:pPr>
    </w:p>
    <w:bookmarkStart w:id="1" w:name="page2"/>
    <w:bookmarkEnd w:id="1"/>
    <w:p>
      <w:pPr>
        <w:jc w:val="both"/>
        <w:spacing w:after="0" w:line="27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68"/>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84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5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8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53" w:lineRule="exact"/>
        <w:rPr>
          <w:sz w:val="20"/>
          <w:szCs w:val="20"/>
          <w:color w:val="auto"/>
        </w:rPr>
      </w:pPr>
    </w:p>
    <w:p>
      <w:pPr>
        <w:ind w:right="70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72" w:lineRule="exact"/>
        <w:rPr>
          <w:sz w:val="20"/>
          <w:szCs w:val="20"/>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4"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84" w:lineRule="exact"/>
        <w:rPr>
          <w:sz w:val="20"/>
          <w:szCs w:val="20"/>
          <w:color w:val="auto"/>
        </w:rPr>
      </w:pPr>
    </w:p>
    <w:p>
      <w:pPr>
        <w:spacing w:after="0" w:line="196" w:lineRule="exact"/>
        <w:tabs>
          <w:tab w:leader="none" w:pos="73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As of June 28, 2024, the aggregate market value of the registrant’s common stock held by non-affiliates was approximately $2,189.1 million based upon the closing sales price of the registrant’s common stock on The Nasdaq Global Select Market on such date. The number of shares of the registrant’s Common Stock, $0.01 par value, outstanding as of February 24, 2025 was 77,218,920.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9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color w:val="auto"/>
        </w:rPr>
        <w:t>Certain portions of the registrant’s definitive proxy statement relating to its scheduled May 9, 2025 Annual Meeting of Stockholders, which will be filed with the Securities and Exchange Commission, are incorporated by reference in Part III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60" w:type="dxa"/>
            <w:vAlign w:val="bottom"/>
            <w:gridSpan w:val="11"/>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7"/>
              </w:rPr>
              <w:t>INTEGRA LIFESCIENCES HOLDINGS CORPORATION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6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3"/>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6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58"/>
        </w:trPr>
        <w:tc>
          <w:tcPr>
            <w:tcW w:w="580" w:type="dxa"/>
            <w:vAlign w:val="bottom"/>
            <w:tcBorders>
              <w:bottom w:val="single" w:sz="8" w:color="0000FF"/>
            </w:tcBorders>
          </w:tcPr>
          <w:p>
            <w:pPr>
              <w:spacing w:after="0" w:line="158" w:lineRule="exact"/>
              <w:rPr>
                <w:sz w:val="20"/>
                <w:szCs w:val="20"/>
                <w:color w:val="auto"/>
              </w:rPr>
            </w:pPr>
            <w:r>
              <w:rPr>
                <w:rFonts w:ascii="Times New Roman" w:cs="Times New Roman" w:eastAsia="Times New Roman" w:hAnsi="Times New Roman"/>
                <w:sz w:val="16"/>
                <w:szCs w:val="16"/>
                <w:color w:val="0000FF"/>
              </w:rPr>
              <w:t>PART I</w:t>
            </w:r>
          </w:p>
        </w:tc>
        <w:tc>
          <w:tcPr>
            <w:tcW w:w="9640" w:type="dxa"/>
            <w:vAlign w:val="bottom"/>
            <w:gridSpan w:val="22"/>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6"/>
        </w:trPr>
        <w:tc>
          <w:tcPr>
            <w:tcW w:w="58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4"/>
              </w:rPr>
              <w:t>Item 1. Business</w:t>
            </w:r>
          </w:p>
        </w:tc>
        <w:tc>
          <w:tcPr>
            <w:tcW w:w="8720" w:type="dxa"/>
            <w:vAlign w:val="bottom"/>
            <w:gridSpan w:val="20"/>
          </w:tcPr>
          <w:p>
            <w:pPr>
              <w:spacing w:after="0"/>
              <w:rPr>
                <w:sz w:val="21"/>
                <w:szCs w:val="21"/>
                <w:color w:val="auto"/>
              </w:rPr>
            </w:pPr>
          </w:p>
        </w:tc>
        <w:tc>
          <w:tcPr>
            <w:tcW w:w="860" w:type="dxa"/>
            <w:vAlign w:val="bottom"/>
            <w:gridSpan w:val="2"/>
          </w:tcPr>
          <w:p>
            <w:pPr>
              <w:spacing w:after="0"/>
              <w:rPr>
                <w:sz w:val="21"/>
                <w:szCs w:val="21"/>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0000FF"/>
                <w:w w:val="74"/>
              </w:rPr>
              <w:t>6</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20</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22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w w:val="93"/>
              </w:rPr>
              <w:t>Item 1B. Unresolved Staff Comments</w:t>
            </w:r>
          </w:p>
        </w:tc>
        <w:tc>
          <w:tcPr>
            <w:tcW w:w="7360" w:type="dxa"/>
            <w:vAlign w:val="bottom"/>
            <w:gridSpan w:val="11"/>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34</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89"/>
              </w:rPr>
              <w:t>Item 1C. Cybersecurity</w:t>
            </w:r>
          </w:p>
        </w:tc>
        <w:tc>
          <w:tcPr>
            <w:tcW w:w="920" w:type="dxa"/>
            <w:vAlign w:val="bottom"/>
            <w:gridSpan w:val="6"/>
          </w:tcPr>
          <w:p>
            <w:pPr>
              <w:spacing w:after="0"/>
              <w:rPr>
                <w:sz w:val="16"/>
                <w:szCs w:val="16"/>
                <w:color w:val="auto"/>
              </w:rPr>
            </w:pPr>
          </w:p>
        </w:tc>
        <w:tc>
          <w:tcPr>
            <w:tcW w:w="7360" w:type="dxa"/>
            <w:vAlign w:val="bottom"/>
            <w:gridSpan w:val="11"/>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35</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85"/>
              </w:rPr>
              <w:t>Item 2. Properties</w:t>
            </w:r>
          </w:p>
        </w:tc>
        <w:tc>
          <w:tcPr>
            <w:tcW w:w="360" w:type="dxa"/>
            <w:vAlign w:val="bottom"/>
            <w:gridSpan w:val="2"/>
          </w:tcPr>
          <w:p>
            <w:pPr>
              <w:spacing w:after="0"/>
              <w:rPr>
                <w:sz w:val="16"/>
                <w:szCs w:val="16"/>
                <w:color w:val="auto"/>
              </w:rPr>
            </w:pPr>
          </w:p>
        </w:tc>
        <w:tc>
          <w:tcPr>
            <w:tcW w:w="8280" w:type="dxa"/>
            <w:vAlign w:val="bottom"/>
            <w:gridSpan w:val="17"/>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36</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15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0"/>
              </w:rPr>
              <w:t>Item 3. Legal Proceedings</w:t>
            </w:r>
          </w:p>
        </w:tc>
        <w:tc>
          <w:tcPr>
            <w:tcW w:w="8100" w:type="dxa"/>
            <w:vAlign w:val="bottom"/>
            <w:gridSpan w:val="16"/>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36</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Item 4. Mine Safety Disclosures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36</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PART II</w:t>
            </w:r>
          </w:p>
        </w:tc>
        <w:tc>
          <w:tcPr>
            <w:tcW w:w="9640" w:type="dxa"/>
            <w:vAlign w:val="bottom"/>
            <w:gridSpan w:val="22"/>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Item 5. Market for Registrant's Common Equity, Related Stockholder Matters and Issuer Purchases of Equity Securities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75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Item 6. [</w:t>
            </w:r>
            <w:r>
              <w:rPr>
                <w:rFonts w:ascii="Times New Roman" w:cs="Times New Roman" w:eastAsia="Times New Roman" w:hAnsi="Times New Roman"/>
                <w:sz w:val="16"/>
                <w:szCs w:val="16"/>
                <w:color w:val="000000"/>
              </w:rPr>
              <w:t>Reserved]</w:t>
            </w:r>
          </w:p>
        </w:tc>
        <w:tc>
          <w:tcPr>
            <w:tcW w:w="2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38</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1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w w:val="97"/>
              </w:rPr>
              <w:t>Item 7. Management's Discussion and Analysis of Financial Condition and Results of Operations</w:t>
            </w:r>
          </w:p>
        </w:tc>
        <w:tc>
          <w:tcPr>
            <w:tcW w:w="3540" w:type="dxa"/>
            <w:vAlign w:val="bottom"/>
            <w:gridSpan w:val="4"/>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38</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1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Item 7A. Quantitative and Qualitative Disclosures About Market Risk</w:t>
            </w:r>
          </w:p>
        </w:tc>
        <w:tc>
          <w:tcPr>
            <w:tcW w:w="3540" w:type="dxa"/>
            <w:vAlign w:val="bottom"/>
            <w:gridSpan w:val="4"/>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54</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36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Item 8. Financial Statements and Supplementary Data</w:t>
            </w:r>
          </w:p>
        </w:tc>
        <w:tc>
          <w:tcPr>
            <w:tcW w:w="5280" w:type="dxa"/>
            <w:vAlign w:val="bottom"/>
            <w:gridSpan w:val="7"/>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55</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20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w w:val="97"/>
              </w:rPr>
              <w:t>Item 9. Changes in and Disagreements with Accountants on Accounting and Financial Disclosures</w:t>
            </w:r>
          </w:p>
        </w:tc>
        <w:tc>
          <w:tcPr>
            <w:tcW w:w="3440" w:type="dxa"/>
            <w:vAlign w:val="bottom"/>
            <w:gridSpan w:val="3"/>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55</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20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2"/>
              </w:rPr>
              <w:t>Item 9A. Controls and Procedures</w:t>
            </w:r>
          </w:p>
        </w:tc>
        <w:tc>
          <w:tcPr>
            <w:tcW w:w="4140" w:type="dxa"/>
            <w:vAlign w:val="bottom"/>
            <w:gridSpan w:val="9"/>
          </w:tcPr>
          <w:p>
            <w:pPr>
              <w:spacing w:after="0"/>
              <w:rPr>
                <w:sz w:val="16"/>
                <w:szCs w:val="16"/>
                <w:color w:val="auto"/>
              </w:rPr>
            </w:pPr>
          </w:p>
        </w:tc>
        <w:tc>
          <w:tcPr>
            <w:tcW w:w="3440" w:type="dxa"/>
            <w:vAlign w:val="bottom"/>
            <w:gridSpan w:val="3"/>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56</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20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Item 9B. Other Information</w:t>
            </w:r>
          </w:p>
        </w:tc>
        <w:tc>
          <w:tcPr>
            <w:tcW w:w="7580" w:type="dxa"/>
            <w:vAlign w:val="bottom"/>
            <w:gridSpan w:val="12"/>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56</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8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w w:val="97"/>
              </w:rPr>
              <w:t>Item 9C. Disclosure Regarding Foreign Jurisdictions that Prevent Inspections</w:t>
            </w:r>
          </w:p>
        </w:tc>
        <w:tc>
          <w:tcPr>
            <w:tcW w:w="480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56</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22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PART III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w w:val="96"/>
              </w:rPr>
              <w:t>Item 10. Directors, Executive Officers and Corporate Governance</w:t>
            </w:r>
          </w:p>
        </w:tc>
        <w:tc>
          <w:tcPr>
            <w:tcW w:w="5540" w:type="dxa"/>
            <w:vAlign w:val="bottom"/>
            <w:gridSpan w:val="8"/>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57</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Item 11. Executive Compensation</w:t>
            </w:r>
          </w:p>
        </w:tc>
        <w:tc>
          <w:tcPr>
            <w:tcW w:w="5540" w:type="dxa"/>
            <w:vAlign w:val="bottom"/>
            <w:gridSpan w:val="8"/>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57</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964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Item 12. Security Ownership of Certain Beneficial Owners and Management and Related Stockholder Matters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57</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gridSpan w:val="4"/>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69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Item 13. Certain Relationships, Related Transactions, and Director Independence</w:t>
            </w:r>
          </w:p>
        </w:tc>
        <w:tc>
          <w:tcPr>
            <w:tcW w:w="272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57</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50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Item 14. Principal Accountant Fees and Services</w:t>
            </w:r>
          </w:p>
        </w:tc>
        <w:tc>
          <w:tcPr>
            <w:tcW w:w="4580" w:type="dxa"/>
            <w:vAlign w:val="bottom"/>
            <w:gridSpan w:val="5"/>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57</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87"/>
              </w:rPr>
              <w:t>PART IV</w:t>
            </w:r>
          </w:p>
        </w:tc>
        <w:tc>
          <w:tcPr>
            <w:tcW w:w="9640" w:type="dxa"/>
            <w:vAlign w:val="bottom"/>
            <w:gridSpan w:val="22"/>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6"/>
        </w:trPr>
        <w:tc>
          <w:tcPr>
            <w:tcW w:w="580" w:type="dxa"/>
            <w:vAlign w:val="bottom"/>
          </w:tcPr>
          <w:p>
            <w:pPr>
              <w:spacing w:after="0"/>
              <w:rPr>
                <w:sz w:val="21"/>
                <w:szCs w:val="21"/>
                <w:color w:val="auto"/>
              </w:rPr>
            </w:pPr>
          </w:p>
        </w:tc>
        <w:tc>
          <w:tcPr>
            <w:tcW w:w="32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w w:val="95"/>
              </w:rPr>
              <w:t>Item 15. Exhibits and Financial Statements Schedule</w:t>
            </w:r>
          </w:p>
        </w:tc>
        <w:tc>
          <w:tcPr>
            <w:tcW w:w="6360" w:type="dxa"/>
            <w:vAlign w:val="bottom"/>
            <w:gridSpan w:val="9"/>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57</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32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Item 16. Form 10-K Summary</w:t>
            </w:r>
          </w:p>
        </w:tc>
        <w:tc>
          <w:tcPr>
            <w:tcW w:w="6360" w:type="dxa"/>
            <w:vAlign w:val="bottom"/>
            <w:gridSpan w:val="9"/>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62</w:t>
            </w: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tcBorders>
              <w:left w:val="single" w:sz="8" w:color="0000FF"/>
            </w:tcBorders>
            <w:gridSpan w:val="7"/>
            <w:shd w:val="clear" w:color="auto" w:fill="0000FF"/>
          </w:tcPr>
          <w:p>
            <w:pPr>
              <w:spacing w:after="0" w:line="20" w:lineRule="exact"/>
              <w:rPr>
                <w:sz w:val="1"/>
                <w:szCs w:val="1"/>
                <w:color w:val="auto"/>
              </w:rPr>
            </w:pPr>
          </w:p>
        </w:tc>
        <w:tc>
          <w:tcPr>
            <w:tcW w:w="78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4"/>
              </w:rPr>
              <w:t>SIGNATURES</w:t>
            </w:r>
          </w:p>
        </w:tc>
        <w:tc>
          <w:tcPr>
            <w:tcW w:w="9240" w:type="dxa"/>
            <w:vAlign w:val="bottom"/>
            <w:gridSpan w:val="21"/>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63</w:t>
            </w:r>
          </w:p>
        </w:tc>
      </w:tr>
      <w:tr>
        <w:trPr>
          <w:trHeight w:val="20"/>
        </w:trPr>
        <w:tc>
          <w:tcPr>
            <w:tcW w:w="5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all references in this Annual Report on Form 10-K to “Integra LifeSciences,” “Integra,” “the Company,” “we,” “our,” and “us” refer to Integra LifeSciences Holdings Corporation, a Delaware corporation and its consolidated subsidiaries.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Securities Exchange Act of 1934, as amended (the “Exchange Act”). These forward-looking statements are subject to a number of risks, uncertainties and assumptions about us including, among other things:</w:t>
      </w:r>
    </w:p>
    <w:p>
      <w:pPr>
        <w:spacing w:after="0" w:line="116" w:lineRule="exact"/>
        <w:rPr>
          <w:sz w:val="20"/>
          <w:szCs w:val="20"/>
          <w:color w:val="auto"/>
        </w:rPr>
      </w:pPr>
    </w:p>
    <w:p>
      <w:pPr>
        <w:jc w:val="both"/>
        <w:ind w:left="640" w:hanging="315"/>
        <w:spacing w:after="0" w:line="241" w:lineRule="auto"/>
        <w:tabs>
          <w:tab w:leader="none" w:pos="6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color w:val="auto"/>
        </w:rPr>
        <w:t>the on-going and possible future effects of global challenges, including macroeconomic uncertainties, such as supply chain disruptions, inflation, bank failures, high interest rates and availability of capital markets, geopolitical uncertainty and instability, the spread or escalation of wars and other armed conflict, other economic disruptions and U.S. and global recession concerns, on our customers and suppliers, and on our business, financial condition, results of operations and cash flows;</w:t>
      </w:r>
    </w:p>
    <w:p>
      <w:pPr>
        <w:spacing w:after="0" w:line="3" w:lineRule="exact"/>
        <w:rPr>
          <w:rFonts w:ascii="Arial" w:cs="Arial" w:eastAsia="Arial" w:hAnsi="Arial"/>
          <w:sz w:val="21"/>
          <w:szCs w:val="21"/>
          <w:color w:val="auto"/>
        </w:rPr>
      </w:pPr>
    </w:p>
    <w:p>
      <w:pPr>
        <w:ind w:left="640" w:right="2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both domestically and in our international markets, including the effect of the continuing worldwide macroeconomic uncertainty and increasing trade regulations and tariffs;</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estimates concerning future financial performance, financing plans and the impact of competition;</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our business;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particularly capital equipment;</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and deliver products in sufficient quantities to meet sales demands;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substantial regulation related to quality standards applicable to our manufacturing and quality processes could have an adverse effect on our business, financial condition, or results of operations;</w:t>
      </w:r>
    </w:p>
    <w:p>
      <w:pPr>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all matters identified in the United States Food and Drug Administration (the “FDA”) observations and warning letters that we received or may receive;</w:t>
      </w:r>
    </w:p>
    <w:p>
      <w:pPr>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and possible future effects of supply chain constraints, including the availability of critical raw materials and components, as well as cost inflation in materials, packaging and transportation;</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our ongoing restructuring, integration and manufacturing transfer and expansion activities;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regulations affecting our business, and enforcement of those regulations;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internationally;</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debt and equity financing to fund capital expenditures, working capital requirements and acquisitions;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willingness to adopt our recently launched and planned products, third-party payors’ willingness to provide or continue reimbursement for any of our products and our ability to secure regulatory approval for products in development;</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launched by our competitors;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including trade secrets;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acquisitions, integrate operations post-acquisition and maintain relationships with customers of acquired entities;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manage ongoing organizational and strategic changes, including our ability to attract, motivate and retain key employees and maintain engagement and efficiency in remote work environments;</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relating to our financial condition or results of operations, including the impact of interest rate and foreign currency exchange fluctuations;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future public health crises, including the timing, scope and effect of U.S. and international governmental, regulatory, fiscal, monetary and public health responses to such crises; and</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described in Item 1A. “Risk Factors” in this Annual Report on Form 10-K.</w:t>
      </w:r>
    </w:p>
    <w:p>
      <w:pPr>
        <w:spacing w:after="0" w:line="2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Forward-looking statements can be identified by forward-looking words such as “believe,” “may,” “could,” “might,” “will,” “estimate,” “continue,” “anticipate,” “intend,” “seek,” “plan,” “expect,” “should,” “would,” “expect,” “target,” “pursue,” “forecast,” “hope” and similar expressions in this Annual Report on Form 10K. Forward-looking statements in this Annual Report on Form 10-K include, but are not limited to, statements regarding our five-pillar growth strategy; our hope to secure approval for DuraSorb in 2026; our business strategy and plans, including plans to deliver future innovation both within the ENT business and across other CSS technology platforms; our expectations regarding the operationalization of the Braintree facility and the timing thereof. These statements are only predictions and involve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Given these uncertainties, you should not place undue reliance on these forward-looking statements. Also, these forward-looking statements represent our estimates and assumptions only as of the date of this report. Except as required by law, we undertake no obligation to publicly update or revise any forward-looking statements, whether as a result of new information,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 w:name="page5"/>
    <w:bookmarkEnd w:id="4"/>
    <w:p>
      <w:pPr>
        <w:jc w:val="both"/>
        <w:spacing w:after="0" w:line="245" w:lineRule="auto"/>
        <w:rPr>
          <w:sz w:val="20"/>
          <w:szCs w:val="20"/>
          <w:color w:val="auto"/>
        </w:rPr>
      </w:pPr>
      <w:r>
        <w:rPr>
          <w:rFonts w:ascii="Times New Roman" w:cs="Times New Roman" w:eastAsia="Times New Roman" w:hAnsi="Times New Roman"/>
          <w:sz w:val="18"/>
          <w:szCs w:val="18"/>
          <w:color w:val="auto"/>
        </w:rPr>
        <w:t>future events or otherwise. Factors that could cause or contribute to differences in our future financial results include the cautionary statements set forth herein and in our other filings with the Securities and Exchange Commission, including those set forth under “Risk Factors” set forth in Part I, Item 1A of this Annual Report on Form 10-K. We qualify all of our forward-looking statements by these cautionary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Integra LifeSciences Holdings Corporation was founded in 1989 and is a leading global medical technology company innovating treatment pathways to advance patient outcomes and set new standards of surgical, neurologic, ear, nose, and throat (“ENT”) and regenerative care.</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(“Nasdaq”) under the symbol “IART.” We have developed numerous product lines from this technology for applications ranging from burn and deep tissue wounds to the repair of dura mater in the brain, as well as nerves and tendons. We have expanded our base regenerative technology business to include ENT, surgical instruments, neurosurgical products and advanced wound care through global acquisitions and product development to meet the evolving needs of our customers and enhance patient care.</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Integra products are sold in more than 120 countries through a direct sales force as well as distributors and wholesalers. We manufacture and sell medical technologies and products in two reportable business segments: Codman Specialty Surgical (“CSS”) and Tissue Technologies (“TT”). The CSS segment, which represents approximately two-thirds of our total revenue, consists of market-leading technologies and instrumentation used for a wide range of specialties, such as neurosurgery, neurocritical care and otolaryngology. We are the world leader in neurosurgery and one of the top three providers in the U.S.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key manufacturing and research facilities located in California, Maryland, Massachusetts, New Jersey, Ohio, Puerto Rico, Tennessee, Utah, France, Germany, Ireland, Israel and Switzerland. We source most of our handheld surgical instruments and dural sealant products through specialized third-party vendors.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aspire to continue to be a worldwide leader in neurosurgery and reconstructive surgery with a portfolio of leading businesses that delivers outstanding customer experiences through innovation, execution and teamwork to positively impact the lives of millions of patients and their families.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strategies are focused around five pillars. Of these five pillars, we have identified three core growth drivers: (1) innovating for outcomes, (2) growing internationally, and (3) broadening our impact on care pathways. Our execution of the core growth drivers is enabled by two key levers: (4) driving operational and customer excellence and (5) cultivating a high-performance culture. As outlined in greater detail below, we believe these five pillars will enable us to realize and advance our integrated growth strategy.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end, our executive leadership team has established the following key priorities aligned to the following five pillars:</w:t>
      </w:r>
    </w:p>
    <w:p>
      <w:pPr>
        <w:spacing w:after="0" w:line="1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Innovating for Outcomes</w:t>
      </w:r>
      <w:r>
        <w:rPr>
          <w:rFonts w:ascii="Times New Roman" w:cs="Times New Roman" w:eastAsia="Times New Roman" w:hAnsi="Times New Roman"/>
          <w:sz w:val="18"/>
          <w:szCs w:val="18"/>
          <w:color w:val="auto"/>
        </w:rPr>
        <w:t>. An important part of Integra’s growth strategy is introducing new products to strengthen and expand our portfolio through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to support regulatory approval and strong reimbursement of our product portfolio around the world, including new indications for existing technologies. For example, in 2021, we filed a pre-market approval (“PMA”) application for a specific indication for Surgimend® in the use of post-mastectomy breast reconstruction. We anticipate PMA approval following the operationalization of the Braintree facility, which is expected in the first half of 2026. We are also pursuing a PMA for DuraSorb for use in implant-based breast reconstruction (“IBBR”). We completed enrollment for the DuraSorb U.S. investigational device exemption clinical study for two-stage breast reconstruction in June 2023; and in 2024 we have continued to advance the PMA application. Currently, we hope to secure PMA approval for DuraSorb in 2026.</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2024 we expanded our urinary bladder matrix platform with the U.S. launch of MicroMatrix® Flex, a dual-syringe system enabling the convenient mixing and precise delivery of MicroMatrix® paste to provide convenient access to hard-to-reach spaces and to help prepare an even wound surface in challenging wound areas.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in 2024, we successfully re-launched our CereLink intracranial pressure (“ICP”) monitor system. CereLink provides enhanced accuracy, usability and advanced data presentation that provides clinicians with uncompromised, advanced continuous ICP monitoring when treating patients with traumatic brain injuries.</w:t>
      </w:r>
    </w:p>
    <w:p>
      <w:pPr>
        <w:spacing w:after="0" w:line="6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Growing Internationally. </w:t>
      </w:r>
      <w:r>
        <w:rPr>
          <w:rFonts w:ascii="Times New Roman" w:cs="Times New Roman" w:eastAsia="Times New Roman" w:hAnsi="Times New Roman"/>
          <w:sz w:val="17"/>
          <w:szCs w:val="17"/>
          <w:color w:val="auto"/>
        </w:rPr>
        <w:t>Over the years, we have been significantly expanding our global footprint through investments in our commercial and manufacturing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organizations, the expansion and development of international markets and new product introductions. As part of our In-China-For-China strategy, we continue to build out our assembly capabilities in our new facility in Suzhou, China. Several new products were introduced in select international markets in 2023 and 2024, including MicroMatrix® and Certas Plus® Programmable Valve, which were launched in Europe, and CUSA Clarity laparoscopic tip,</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 w:name="page7"/>
    <w:bookmarkEnd w:id="6"/>
    <w:p>
      <w:pPr>
        <w:jc w:val="both"/>
        <w:spacing w:after="0" w:line="305" w:lineRule="auto"/>
        <w:rPr>
          <w:sz w:val="20"/>
          <w:szCs w:val="20"/>
          <w:color w:val="auto"/>
        </w:rPr>
      </w:pPr>
      <w:r>
        <w:rPr>
          <w:rFonts w:ascii="Times New Roman" w:cs="Times New Roman" w:eastAsia="Times New Roman" w:hAnsi="Times New Roman"/>
          <w:sz w:val="17"/>
          <w:szCs w:val="17"/>
          <w:color w:val="auto"/>
        </w:rPr>
        <w:t>which was launched in Australia, New Zealand, Japan, Canada, South Africa and Israel. In addition, DuraGen® Secure, received approval in Japan, while DuraGen Plus, an absorbable and sutureless collagen onlay indicated as a dura substitute for the repair of dura mater, and Certas Plus were approved in China.</w:t>
      </w:r>
    </w:p>
    <w:p>
      <w:pPr>
        <w:spacing w:after="0" w:line="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Broadening Impact on Care Pathways</w:t>
      </w:r>
      <w:r>
        <w:rPr>
          <w:rFonts w:ascii="Times New Roman" w:cs="Times New Roman" w:eastAsia="Times New Roman" w:hAnsi="Times New Roman"/>
          <w:sz w:val="18"/>
          <w:szCs w:val="18"/>
          <w:color w:val="auto"/>
        </w:rPr>
        <w:t>. We seek ways to develop and acquire products and technologies that impact the lives of patients, starting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journey that a patient takes from diagnosis and treatment planning to surgery and postoperative care. We are well-established in acute care in the hospital setting and continue to leverage that strong position to grow in this segment and shape treatment pathways into preoperative care and additional sites of care. On April 1, 2024, we successfully completed the acquisition of Acclarent, Inc. (“Acclarent”). Acclarent is an innovator and market leader in ENT procedures and the acquisition of Acclarent has positioned Integra as one of the leading providers of ENT products and technologies. Furthermore, we believe that, owing to the ENT business being an anatomical adjacency to neurosurgery, the acquisition will allow Integra to deliver future innovation both within the ENT business and across our other CSS technology platforms.</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Driving Operations and Customer Excellence. </w:t>
      </w:r>
      <w:r>
        <w:rPr>
          <w:rFonts w:ascii="Times New Roman" w:cs="Times New Roman" w:eastAsia="Times New Roman" w:hAnsi="Times New Roman"/>
          <w:sz w:val="18"/>
          <w:szCs w:val="18"/>
          <w:color w:val="auto"/>
        </w:rPr>
        <w:t>We have been making investments to build more responsive and scalable processes, enhance the reliability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quality systems and supply chain, and drive productivity initiatives to further supply and lower costs. We continue to invest in technologies, systems and processes to enhance the customer experience. We also continue to invest in our capacity expansion. This includes ongoing projects of transferring our Boston manufacturing to a new location in Braintree, Massachusetts and further investing in capacity and validating manufacturing processes in our manufacturing facility in Plainsboro, New Jersey. We are implementing a Compliance Master Plan (the “CMP”), a systematic and holistic approach to improving our quality management system across our manufacturing and supply network. The primary objectives of the CMP are to remediate quality system gaps, harmonize the quality management system across the company, and enhance the quality culture at the company.</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Cultivating a High-Performance Culture. </w:t>
      </w:r>
      <w:r>
        <w:rPr>
          <w:rFonts w:ascii="Times New Roman" w:cs="Times New Roman" w:eastAsia="Times New Roman" w:hAnsi="Times New Roman"/>
          <w:sz w:val="18"/>
          <w:szCs w:val="18"/>
          <w:color w:val="auto"/>
        </w:rPr>
        <w:t>In seeking to sustain a culture of excellence and accountability, we focus on employee empowerment,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building an environment where all employees can contribute to their fullest potential. These efforts have been recognized through our inclusion in several best workplace lists globally in 2023 and 2024. Additionally, we continue to advance our broader organizational sustainability initiatives and published our third annual environmental, social and governance (“ESG”) report. For more information on our ESG strategy, goals, performance, and achievements, please visit “Our Company—ESG Report” at https://www.integralife.com/esg-report. Information on our website is not incorporated by reference herein and is not part of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currently manufacture and sell our medical technologies and products in the following two reportable business segments: Codman Specialty Surgical and Tissue Technologies. We include financial information regarding our reportable business segments and certain geographic information under “Item 7. Management’s Discussion and Analysis of Financial Condition and Results of Operations” and </w:t>
      </w:r>
      <w:r>
        <w:rPr>
          <w:rFonts w:ascii="Times New Roman" w:cs="Times New Roman" w:eastAsia="Times New Roman" w:hAnsi="Times New Roman"/>
          <w:sz w:val="18"/>
          <w:szCs w:val="18"/>
          <w:i w:val="1"/>
          <w:iCs w:val="1"/>
          <w:color w:val="auto"/>
        </w:rPr>
        <w:t>Note 16. Segment and Geographic Information</w:t>
      </w:r>
      <w:r>
        <w:rPr>
          <w:rFonts w:ascii="Times New Roman" w:cs="Times New Roman" w:eastAsia="Times New Roman" w:hAnsi="Times New Roman"/>
          <w:sz w:val="18"/>
          <w:szCs w:val="18"/>
          <w:color w:val="auto"/>
        </w:rPr>
        <w:t xml:space="preserve"> to the Notes to Consolidated Financial Statements (Part IV, Item 15 of this Annual Report on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Codman Specialty Surgical</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CSS segment consists of neurosurgery, specialty instrumentation, and ENT surgical solutions, augmented by the 2024 acquisition of Acclarent, a U.S. leader in ENT solutions. Acclarent pioneered the balloon sinuplasty market, and has expanded balloon dilation for Eustachian Tube, and surgical navigation and instrumentation for ENT and skull-base procedures. In neurosurgery, we are a global leader in neuro-access, neuro-surgical and neuro-monitoring technologies. The product portfolio represents a continuum of care from pre-operative, to the neurosurgery operating room, to the neuro-critical care unit and post care for both adult and pediatric patients suffering from brain tumors, brain injury, cerebrospinal fluid pressure complications and other neurological conditions. We offer leading technologies in dural repair, ultrasonic tissue ablation, ICP monitoring, hydrocephalus management, and cranial stabilization systems, while providing a rich research and development pipeline for growth.</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specialty instrumentation portfolio includes a catalog of surgical headlamps, surgical instruments, as well as after-market service. With thousands of surgical instrument products, including specialty surgical instruments, we call on the central sterile processing unit of hospitals and acute care surgical centers. Additionally, through a strong U.S. distribution model, we can serve the needs of medical offices.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global commercial network includes clinical specialists, a large direct global sales force and strategic partnerships and distributors that serve hospitals, integrated health networks, group purchasing organizations, clinicians, surgery centers and health care providers. Outside the U.S., we have a combination of direct and indirect sales channels in international markets to sell certain product lines.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Tissue Technologies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7" w:name="page8"/>
    <w:bookmarkEnd w:id="7"/>
    <w:p>
      <w:pPr>
        <w:jc w:val="both"/>
        <w:spacing w:after="0" w:line="228" w:lineRule="auto"/>
        <w:rPr>
          <w:sz w:val="20"/>
          <w:szCs w:val="20"/>
          <w:color w:val="auto"/>
        </w:rPr>
      </w:pPr>
      <w:r>
        <w:rPr>
          <w:rFonts w:ascii="Times New Roman" w:cs="Times New Roman" w:eastAsia="Times New Roman" w:hAnsi="Times New Roman"/>
          <w:sz w:val="18"/>
          <w:szCs w:val="18"/>
          <w:color w:val="auto"/>
        </w:rPr>
        <w:t>Our TT segment focuses on three main areas: complex wound surgery, surgical reconstruction, and peripheral nerve repair and consists of five unique regenerative technology areas - highly engineered bovine collagen, bovine dermis, porcine urinary bladder, human amniotic tissue, and resorbable synthetic mesh. This broad regenerative platform, which includes multiple leading brands such as Integra® Dermal Regeneration Template, PriMatrix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AmnioExcel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SurgiMend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MicroMatrix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DuraSorb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NeuraGen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primarily addresses the needs of plastic, reconstructive and general surgeons focused on the treatment of acute wounds, such as burns, chronic wounds, including diabetic foot ulcers, and surgical tissue repair, such as hernia, tendon, peripheral nerve repair and protection.</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specialized sales organization composed of directly employed sales representatives, as well as specialty distributors, organized based upon their call point. Our wound reconstruction sales representatives call on surgeons doing procedures in limb salvage, trauma, wound reconstruction and burns, and chronic wounds primarily in the inpatient wound care clinic setting. We also have a dedicated surgical reconstruction sales team focused on plastic and reconstructive surgery and hernia procedures with differentiated products. Finally, we have a distributor network focused on biologics. Outside the U.S., we have a combination of direct and indirect sales channels in international markets to sell certain product lines.</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This business segment also includes private-label sales of a broad set of our regenerative and wound care technologies. Our customers are other medical technology companies that sell to end markets primarily in spine, surgical and wound care.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healthcare industry is highly competitive and characterized by continual change and improvements in technology. This is particularly the case in the market segments in which we operate. A number of companies have developed or are expected to develop products that compete or will compete with our products. Many of these competitors offer a broader product portfolio and have greater brand recognition than we do, which may make these competitors more attractive to hospitals, group purchasing organizations, laboratories, physicians and other potential customers. Competitors may develop superior products or products of similar quality for sale at the same or lower prices. Moreover, our products could be rendered obsolete by changes to industry standards or guidelines or advances in technology. We can give no assurance that we will be able to compete successfully with existing or new competitors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competitors for CSS include divisions within Medtronic, Inc., Stryker Corporation, Steris PLC, and B. Braun Medical, Inc. In addition, we compete with many smaller specialized companies and larger companies that do not otherwise focus on the offerings of Codman Specialty Surgical technologies. We rely on the depth and breadth of our sales and marketing organization, our innovative technologies, and our procurement and manufacturing operations to maintain our competitive position.</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competitors for TT include Smith &amp; Nephew plc, Organogenesis Holdings Inc., MiMedx Group, Inc., Allergan PLC, Becton Dickinson and Company, and Axogen, Inc. We compete with additional companies who partially participate in soft tissue reconstruction of complex wounds, peripheral nerve repair and surgical reconstruction. In addition, our products also compete against medical practices that treat a condition without using a medical device or any particular product, such as medical practices that utilize autograft tissue instead of our dermal regeneration products, duraplasty products and nerve repair products. Depending on the product line, we compete based on our products' features, strength of our sales force or distributors, sophistication of our technology and cost effectiveness of our solution.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success of our products depends on our ability to differentiate ourselves and to demonstrate that our products deliver the clinical and operational attributes that are most important and cost-effective to customers. These attributes include, but are not limited to, superiority in efficacy, ease of use, reliability, accuracy, quality and cost. We believe our continued success depends in large part upon our ability to invest in product enhancements and technologies that will help us distinguish our product portfolio from our competitors.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STRATEGY</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focus on identifying unmet surgical needs and addressing those needs with innovative solutions and products. Investment in research and development is critical to driving our future growth. Our research and development efforts are focused on the further development and improvement of our existing products, the design and development of new innovative medical technologies and regulatory compliance across all our business segments. We apply our core competency in regenerative technology to innovate products for neurosurgical, wound applications, plastic surgery, and reconstructive surgery and we have extensive R&amp;D development programs for our core platforms of electromechanical technologies. Additionally, we conduct projects and clinical studies to generate efficacy and health economic evidence.</w:t>
      </w:r>
    </w:p>
    <w:p>
      <w:pPr>
        <w:spacing w:after="0" w:line="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Regenerative Technologies</w:t>
      </w:r>
      <w:r>
        <w:rPr>
          <w:rFonts w:ascii="Times New Roman" w:cs="Times New Roman" w:eastAsia="Times New Roman" w:hAnsi="Times New Roman"/>
          <w:sz w:val="17"/>
          <w:szCs w:val="17"/>
          <w:color w:val="auto"/>
        </w:rPr>
        <w:t>. We were the first company to receive an FDA claim for regeneration of dermal tissue and are a world leader in regenerative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including the healing 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8" w:name="page9"/>
    <w:bookmarkEnd w:id="8"/>
    <w:p>
      <w:pPr>
        <w:jc w:val="both"/>
        <w:spacing w:after="0" w:line="260" w:lineRule="auto"/>
        <w:rPr>
          <w:sz w:val="20"/>
          <w:szCs w:val="20"/>
          <w:color w:val="auto"/>
        </w:rPr>
      </w:pPr>
      <w:r>
        <w:rPr>
          <w:rFonts w:ascii="Times New Roman" w:cs="Times New Roman" w:eastAsia="Times New Roman" w:hAnsi="Times New Roman"/>
          <w:sz w:val="18"/>
          <w:szCs w:val="18"/>
          <w:color w:val="auto"/>
        </w:rPr>
        <w:t>chronic and acute wounds, tendon and nerve repair. Our regenerative technology platform includes our legacy Integra® Dermal Regeneration Template (“IDRT”) products and complementary technologies that we have acquired. Our collagen manufacturing capability, combined with our history of innovation, including our launch of NeuraGen 3D, provides us with strong platform technologies for multiple indications.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third quarter of 2021, we filed a PMA application for a specific indication for Surgimend® in the use of post-mastectomy breast reconstruction and in July 2024 received approvable pending GMP status from FDA, which approved and closed out the clinical portion of this PMA application. We anticipate PMA approval following the operationalization of the Braintree facility, which is expected in the first half of 2026.</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we acquired SIA, which has also submitted a PMA application for DuraSorb with IBBR, and in June 2023 we completed enrollment in the DuraSorb U.S. investigational device exemption clinical study for two-stage breast reconstruction; and in 2024 we have continued to advance the PMA application. Currently, we hope to secure PMA approval for DuraSorb in 2026. By offering two distinct product solutions, we believe we have the opportunity to build a leading position in the IBBR market.</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Following the completion of design control activities in 2022, we launched both Cytal and MicroMatrix in Europe in 2023. In March 2024, MicroMatrix® Flex, used in the management of wounds with hard-to-reach geometries, such as deep wounds that present with tunneling or undermining, became commercially available in the U.S.</w:t>
      </w:r>
    </w:p>
    <w:p>
      <w:pPr>
        <w:spacing w:after="0" w:line="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Neurosurgical Solutions, Surgical Instruments, and ENT Solutions. </w:t>
      </w:r>
      <w:r>
        <w:rPr>
          <w:rFonts w:ascii="Times New Roman" w:cs="Times New Roman" w:eastAsia="Times New Roman" w:hAnsi="Times New Roman"/>
          <w:sz w:val="18"/>
          <w:szCs w:val="18"/>
          <w:color w:val="auto"/>
        </w:rPr>
        <w:t>The CSS neurosurgical business consists of a broad portfolio of market-leading brands,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Codman®, DuraGen®, DuraSeal®, CUSA®, CereLink®, Mayfield®, Bactiseal®, and Certas® Plus,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Because our electromechanical products and instruments address significant needs in surgical procedures and limit uncertainty for surgeons, we continue to invest in registrations, clearances, and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cerebrospinal fluid (“CSF”) management, neuro-critical care monitoring, minimally invasive instruments and electrosurgery and ultrasonic medical technologies, as well as our ambition to transform the standard of care in neurosurgery with product advancements in minimally invasive surgery (“MIS”) and the surgical management of intracerebral hemorrhage (“ICH”). Our lighting franchise is among the most dynamic in the industry.</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focused on the development of core clinical applications in our electromechanical technologies portfolio. We continue to update our CUSA® Clarity platform by incorporating new ultrasonic handpiece and integrated electrosurgical capabilities. We have made several enhancements to our CUSA® Clarity Tissue Ablation System. The extended laparoscopic tip was launched in the U.S. to enhance laparoscopic liver procedures. In addition, a single-sided bone tip received 510(k) clearance from the FDA. Commercial launch was completed successfully in early 2023. In August 2023, we launched a modified 23 kHz CUSA® Electrosurgery Module (“CEM”) for Clarity handpieces that can be used with additional electrosurgery generators. We continue to work with several instrument partners to bring new surgical instrument platforms to the market.</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continued to advance the early-stage technology platforms we acquired in 2019. Through the acquisition of Arkis Biosciences, Inc. (“Arkis”) we added a platform technology, CerebroFlo® external ventricular drainage (“EVD”), a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project.</w:t>
      </w:r>
    </w:p>
    <w:p>
      <w:pPr>
        <w:spacing w:after="0" w:line="7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We also continued to advance our innovation from the Rebound Therapeutics Corporation (“Rebound Therapeutics”), which was acquired in 2019. Rebound Therapeutics specializes in a single-use medical device, known as the Aurora Surgiscope, which is the only tubular retractor system designed for cranial surgery with an integrated access channel, camera and lighting. The 9mm Surgiscope received 510(k) clearance from the FDA in the fourth quarter of 2023.</w:t>
      </w:r>
    </w:p>
    <w:p>
      <w:pPr>
        <w:spacing w:after="0" w:line="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first quarter of 2024, we relaunched our CereLink ICP monitoring system, after initiating an immediate voluntary global product removal of all CereLink® intracranial pressure monitors in 2022. Cerelink provides enhanced accuracy, usability and advanced data presentation to clinicians treating patients with traumatic brain injuries.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2024, we acquired Acclarent, expanding our capabilities in the U.S. ENT market. Acclarent pioneered the balloon sinuplasty market and has a broad portfolio including the RELIEVA SPINPLUS® Balloon Sinuplasty System. Acclarent also pioneered eustachian tube balloon dilation, and currently markets the AERA® Eustachian Tube Dilation System, which received 510(k) clearance for expanded pediatric indications in 2023. Acclarent sells the TruDi® Navigation System, which includes a portfolio of navigated surgical instrumentation.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9" w:name="page10"/>
    <w:bookmarkEnd w:id="9"/>
    <w:p>
      <w:pPr>
        <w:jc w:val="both"/>
        <w:spacing w:after="0" w:line="275" w:lineRule="auto"/>
        <w:rPr>
          <w:sz w:val="20"/>
          <w:szCs w:val="20"/>
          <w:color w:val="auto"/>
        </w:rPr>
      </w:pPr>
      <w:r>
        <w:rPr>
          <w:rFonts w:ascii="Times New Roman" w:cs="Times New Roman" w:eastAsia="Times New Roman" w:hAnsi="Times New Roman"/>
          <w:sz w:val="18"/>
          <w:szCs w:val="18"/>
          <w:color w:val="auto"/>
        </w:rPr>
        <w:t>See Item 1A. Risk Factors, under the heading Risks Related to our Regulatory Environment and under Item 7. General Management’s Discussion and Analysis of Financial Condition and Results of Operations - FDA Matters of this Annual Report on Form 10-K for further discussion.</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MANUFACTURE AND AVAILABILITY OF RAW MATERIALS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manufacture products at manufacturing facilities located in various countries throughout the world. We purchase many of the components and raw materials used in manufacturing our products from numerous suppliers in various countries.</w:t>
      </w:r>
    </w:p>
    <w:p>
      <w:pPr>
        <w:spacing w:after="0" w:line="4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general, raw materials essential to our businesses are readily available from multiple sources. For reasons of quality assurance, availability, or cost effectiveness, certain components and raw materials are available only from one or a limited number of suppliers. We have established long-term supply contracts with many of our suppliers and our practice is to maintain sufficient inventory of components so that our production will not be significantly disrupted even if a particular component or material is not available for a period of time. Due to the high standards and FDA requirements applicable to manufacturing our products, such as the FDA’s Quality System Regulation and Good Manufacturing Practices, we may not be able to quickly establish additional or replacement sources for certain components or materials. Some of our manufacturing operations are located outside of the U.S., including in Puerto Rico, Switzerland, Ireland and France. Those manufacturing operations are also subject to additional challenges and risks associated with international operations described under the caption “Risk Factors” set forth in Part I, Item 1A of this Annual Report on Form 10-K. In the event we are unable to obtain sufficient quantities of raw materials or components on commercially reasonable terms or in a timely manner, our ability to manufacture our products on a timely and cost-competitive basis may be compromised, which may have a material adverse effect on our business, financial condition and results of operations.</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of our products, including but not limited to our dermal regeneration products, duraplasty products, wound care products, and nerve and tendon repair products, contain natural collagen material derived from bovine tissue. We take great care to provide medical products that are safe and free of agents that can cause disease. In particular, the collagen used in the products that we manufacture is derived from the deep flexor tendon of cattle less than 24-months old or from fetal bovine dermis from New Zealand, a country that has never had a reported case of bovine spongiform encephalopathy (“BSE”) (otherwise known as mad cow disease), and from the U.S. The World Health Organization classifies different types of cattle tissue for relative risk of BSE transmission. Deep flexor tendon and fetal bovine dermis are in the lowest-risk category for BSE transmission, and therefore considered to have a negligible risk of containing the agent that causes BSE.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seek patent and trademark protection for our key technology, products and product improvements, both in the U.S.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83"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18"/>
          <w:szCs w:val="18"/>
          <w:color w:val="auto"/>
        </w:rPr>
        <w:t>Acclarent Aera®, AccuDrain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AmnioExcel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Aquasonic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Auragen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Aurora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Surgiscope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Bactiseal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BioDFence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BioDOptix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Brainet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Budde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Buzz™, CereLink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CerebroFlo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EVD Catheter with Endexo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Codman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Codman Accu-Flo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Codman Bicol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Codman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Certas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Plus, Codman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Hakim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Programmable valve, Codman Holter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Codman ICP Express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Codman Microsensor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Codman VersaTru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Codman VPV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Contour-Flex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Cranioplastic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CRW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CRW Precision™, Ctherm™, CUSA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Cytal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DirectLink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DuraGen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DuraSeal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DuraSorb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Gentrix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HeliCote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HeliPlug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HeliTape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HeliMend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Helistat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Helitene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Hermetic™, Hy-Tape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Integra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IntegraLink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Isocool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Jarit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Lead-Lok™, Licox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LimiTorr™, Luxtec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Mayfield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MatriStem UBM™, MediHoney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MicroFrance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MicroMatrix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Miltex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Mischler™, MoniTorr ICP™, Natus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NeuraGen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NeuraWrap™, Nicolet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Omnigraft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Omni-Tract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OSV II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Padgett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PriMatrix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Pureflow™, Q-Snor™, Redmond™, Relieva Spinplus®, Revize™, Ruggles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Signacreme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SurgiMend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TCC-EZ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TenoGlide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TissueMend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TruDi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Ultra VS™, VersaTru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Xtrasorb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zRIP™, and the Integra logo are some of the material trademarks of Integra LifeSciences Corporation and its subsidiaries. MAYFIELD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registered trademark of SM USA, Inc., and is used by Integra under license.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during our fourth quarter tend to be stronger than other quarters because many hospitals increase their purchases of our products during the fourth quarter to coincide with the end of their budget cycles in the U.S. In general, our first quarter usually has lower revenues than the preceding fourth quarter, the second and third quarters have higher revenues than the first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0" w:name="page11"/>
    <w:bookmarkEnd w:id="10"/>
    <w:p>
      <w:pPr>
        <w:ind w:right="1200"/>
        <w:spacing w:after="0" w:line="369" w:lineRule="auto"/>
        <w:rPr>
          <w:sz w:val="20"/>
          <w:szCs w:val="20"/>
          <w:color w:val="auto"/>
        </w:rPr>
      </w:pPr>
      <w:r>
        <w:rPr>
          <w:rFonts w:ascii="Times New Roman" w:cs="Times New Roman" w:eastAsia="Times New Roman" w:hAnsi="Times New Roman"/>
          <w:sz w:val="18"/>
          <w:szCs w:val="18"/>
          <w:color w:val="auto"/>
        </w:rPr>
        <w:t xml:space="preserve">quarter, and the fourth quarter revenues are the highest in the year. The main exceptions to this pattern occur because of material acquisitions. </w:t>
      </w:r>
      <w:r>
        <w:rPr>
          <w:rFonts w:ascii="Times New Roman" w:cs="Times New Roman" w:eastAsia="Times New Roman" w:hAnsi="Times New Roman"/>
          <w:sz w:val="18"/>
          <w:szCs w:val="18"/>
          <w:b w:val="1"/>
          <w:bCs w:val="1"/>
          <w:color w:val="auto"/>
        </w:rPr>
        <w:t>GOVERNMENT REGULATION AND COMPLIANCE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manufacturer and marketer of medical devices and Human Tissue and Cell Based Products (“HCT/Ps”) and therefore are subject to extensive regulation by the FDA, the Centers for Medicare &amp; Medicaid Services (“CMS”) of the U.S. Department of Health and Human Services (“HHS”), other federal governmental agencies and, in some jurisdictions, by state and foreign governmental authorities. These regulations govern the introduction of new medical devices and HCT/Ps, the observance of certain standards with respect to the design, manufacture, testing, labeling, promotion and sales of the products, the maintenance of certain records, the ability to track devices, the reporting of adverse affects and potential product defects, the import and export of products, and other matters. FDA product approvals, as well as equivalent approvals or certifications issued by foreign authorities or bodies, may be withdrawn or suspended, or other enforcement actions may occur, if compliance with regulatory standards is not maintained or if problems occur following initial marketing.</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business is also affected by patient and data privacy laws and government payer cost containment initiatives, as well as environmental health and safety laws and regulations.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Food and Drug Administration</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products are subject to extensive regulation particularly as to safety, efficacy and adherence to the FDA Quality System Regulation, and related manufacturing standards. Medical device products are subject to rigorous FDA and other governmental agency regulations in the United States and similar regulations of foreign agencies abroad. The FDA regulates the design, development, research, preclinical and clinical testing, introduction, manufacture, advertising, labeling, packaging, marketing, distribution, import and export, and record keeping for such products, in order to ensure that medical products distributed in the United States are safe and effective for their intended use. In addition, the FDA is authorized to establish special controls to provide reasonable assurance of the safety and effectiveness of most devices. Non-compliance with applicable requirements can result in import detentions, fines, civil and administrative penalties, injunctions, suspensions or losses of regulatory approvals, recall or seizure of products, operating restrictions, refusal of the government to approve product export applications or allow us to enter into supply contracts, and criminal prosecution. The regulatory process for obtaining product approvals and clearances can be onerous and costly.</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Under the Federal Food, Drug and Cosmetic Act (the “FD&amp;C Act”), authorization to commercially distribute a new medical device in the U.S. is generally obtained in one of two primary ways, both of which require review by the FDA. The first, known as pre-market notification or the 510(k) process, requires us to demonstrate that our medical device is substantially equivalent to a legally marketed medical device. A 510(k) pre-market notification filing must contain information establishing that the device to be sold is substantially equivalent to a device commercially distributed prior to May 28, 1976 or to a device that has been determined by the FDA to be substantially equivalent. The PMA process is the second, more rigorous process, which requires us to independently demonstrate that a medical device is safe and effective for its intended use. This process is generally much more time-consuming and expensive than the 510(k) process. The PMA process involves a complex and lengthy testing process and may require several years to obtain. We may need to first obtain an investigational device exemption (for significant risk devices), known as an IDE, in order to conduct extensive clinical testing of the device to obtain the necessary clinical data for submission to the FDA. The FDA will approve a PMA only if after evaluating the supporting technical data it finds that the PMA contains sufficient, valid scientific evidence to assure that the device is safe and effective for its intended use(s). This approval may be granted with post-approval requirements including inspection of manufacturing facilities and/or additional patient follow-up for an indefinite period of time.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also may require a post-approval clinical study as a condition of approval. To perform clinical trials for significant risk devices in the U.S. on an unapproved product, we are required to obtain an IDE from the FDA. The FDA also may require a filing for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approval, as the case may be, or require us to change the device, its manufacturing process or its labeling, to supply additional proof of its safety and effectiveness or to recall, repair, replace or refund the cost of the medical device. Because we currently export medical devices manufactured in the U.S. that have not been approved by the FDA for distribution in the U.S., we are required to obtain approval/registration in the country to which we are exporting and maintain certain records relating to exports and make these available to the FDA for inspection, if required.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Cells, Tissues and Cellular and Tissue-Based Products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Integra, through its wholly-owned subsidiary BioD LLC (“BioD”), is involved with the recovery, processing, storage, transportation and distribution of donated amniotic tissue. The FDA has specific regulations governing HCT/Ps. An HCT/P is 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1" w:name="page12"/>
    <w:bookmarkEnd w:id="11"/>
    <w:p>
      <w:pPr>
        <w:jc w:val="both"/>
        <w:spacing w:after="0" w:line="275" w:lineRule="auto"/>
        <w:rPr>
          <w:sz w:val="20"/>
          <w:szCs w:val="20"/>
          <w:color w:val="auto"/>
        </w:rPr>
      </w:pPr>
      <w:r>
        <w:rPr>
          <w:rFonts w:ascii="Times New Roman" w:cs="Times New Roman" w:eastAsia="Times New Roman" w:hAnsi="Times New Roman"/>
          <w:sz w:val="18"/>
          <w:szCs w:val="18"/>
          <w:color w:val="auto"/>
        </w:rPr>
        <w:t>product containing, or consisting of, human cells or tissue intended for transplantation into a human patient. Examples of HCT/Ps include bone, ligament, skin and cornea.</w:t>
      </w:r>
    </w:p>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Some HCT/Ps fall within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the FDA.</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361 of the Public Health Service Act (“Section 361”)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Good Tissue Practices when processing, storing, labeling, and distributing HCT/Ps, including required labeling information, stringent record keeping, and adverse event reporting.</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Delaware, Illinois, Maryland, New York, Oregon, and Tennessee. In Tennessee, we are registered with the FDA Center for Biological Evaluations and Research.</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Procurement of certain human organs and tissue for transplantation is subject to the restrictions of the National Organ Transplant Act,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BioD is a registered Tissue Bank and is involved with the recovery, storage and transportation of donated human amniotic tissue.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Device Regulations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FDA requires that a manufacturer obtain 510(k) clearance or a PMA for a variety of reasons, such as introducing a new medical device or new indication for use of an existing medical device, before introducing it into the U.S. market. The type of marketing authorization is generally linked to the classification of the device. The FDA classifies medical devices into three classes based on risk. Regulatory control increases from Class I (lowest risk) to Class III (highest risk). The FDA generally must clear or approve the commercial sale of new medical devices in Classes II and III. Commercial sales of our Class II medical devices (except for Class II exempt devices) and Class III medical devices within the U.S. must be preceded by either a pre-market notification filing pursuant to Section 510(k) of the FD&amp;C Act (Class II) or the granting of a pre-market approval, or PMA (Class III).</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process of obtaining a Section 510(k) clearance generally requires the submission of performance data and may require clinical data, which in some cases can be extensive, to demonstrate that the device is “substantially equivalent” to another device that is currently marketed under a 510(k); a device that is referred to as “predicate device.” As a result, FDA clearance requirements may extend the development process for a considerable length of time. In the case of a PMA, the FDA may require additional review by an advisory panel, which can further lengthen the process. The PMA process, which is reserved for new devices that are not substantially equivalent to any predicate device and for high-risk devices (i.e., Class III devices) that are used to support or sustain human life or which present a potential, unreasonable risk of illness or injury, may take several years and requires the submission of extensive performance and clinical information.</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Medical devices can be marketed only for the indications for which they are cleared or approved. After a device has received 510(k) clearance for a specific intended use, any change or modification that significantly affects its safety or effectiveness, such as a significant change in the design, materials, method of manufacture or intended use, may require a new 510(k) clearance or PMA approval and payment of an FDA user fee. The determination as to whether or not a modification could significantly affect the device’s safety or effectiveness is initially left to the manufacturer using available FDA guidance; however, the FDA may review this determination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6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also are required to register with the FDA as a medical device manufacturer and any devices we manufacture and distribute pursuant to clearance or approval by the FDA are subject to comprehensive and continuing regulation by the FDA and certain state agencies. These include product listing and establishment registration requirements, which help facilitate FDA inspections and other regulatory actions, and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The De Novo medical device clearance pathway is a regulatory process established by the FDA for novel medical devices that do not have a legally marketed predicate device and so do not qualify for the 510(k) clearance pathway, but are considered low to moderate risk. The De Novo clearance pathway allows such devices to be classified as either Class I or Class II providing a marketing pathway when general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2" w:name="page13"/>
    <w:bookmarkEnd w:id="12"/>
    <w:p>
      <w:pPr>
        <w:jc w:val="both"/>
        <w:spacing w:after="0" w:line="238" w:lineRule="auto"/>
        <w:rPr>
          <w:sz w:val="20"/>
          <w:szCs w:val="20"/>
          <w:color w:val="auto"/>
        </w:rPr>
      </w:pPr>
      <w:r>
        <w:rPr>
          <w:rFonts w:ascii="Times New Roman" w:cs="Times New Roman" w:eastAsia="Times New Roman" w:hAnsi="Times New Roman"/>
          <w:sz w:val="18"/>
          <w:szCs w:val="18"/>
          <w:color w:val="auto"/>
        </w:rPr>
        <w:t>controls alone, or general and special controls, provide reasonable assurance of safety and effectiveness.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U.S. Department of Justice. The majority of Integra manufacturing facilities participate in the Medical Device Single Audit Program and are audited annually for compliance with the Quality System for US FDA, Canada, Australia, Brazil, and Japan.</w:t>
      </w:r>
    </w:p>
    <w:p>
      <w:pPr>
        <w:spacing w:after="0" w:line="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i w:val="1"/>
          <w:iCs w:val="1"/>
          <w:color w:val="auto"/>
        </w:rPr>
        <w:t>Postmarket Requirements</w:t>
      </w:r>
      <w:r>
        <w:rPr>
          <w:rFonts w:ascii="Times New Roman" w:cs="Times New Roman" w:eastAsia="Times New Roman" w:hAnsi="Times New Roman"/>
          <w:sz w:val="17"/>
          <w:szCs w:val="17"/>
          <w:color w:val="auto"/>
        </w:rPr>
        <w:t>. After a device is cleared or approved for commercial distribution, numerous regulatory requirements apply. These include the FDA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 Postmarket requirements are also followed globally where our products are registered and approved. These foreign jurisdictions have similar requirements to the FDA which include reporting requirements such as adverse events and recalls.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Medical device regulations also are in effect in many of the countries in which we do business outside the U.S. These regulations may vary substantially from country to country. To market our products in most countries, we must obtain regulatory approvals or certifications and comply with extensive safety and quality regulations in those countries. The time required to obtain approval or certification to market our products in a foreign country may be longer or shorter than that required for FDA clearance or approval, and the requirements may differ.</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European Economic Area (“EEA”), which is comprised of the 27 member states of the European Union (the “EU”) plus Norway, Iceland and Liechtenstein, medical devices need to comply with specific requirements. Medical device manufacturers are required to affix the CE mark (i.e., a mandatory conformity marking for certain products sold within the EEA) to their medical devices, often after the intervention of a Notified Body and the issuing of a CE Certificate of Conformity.</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Regulation 2017/745 on medical devices (the “EU MDR”) sets out the basic regulatory framework currently applicable to medical devices in the EEA. The EU MDR became applicable on May 26, 2021, repealing the prior Council Directive 93/42/EEC (the “EU MDD”), which had been regulating medical devices in the EEA for more than 20 years. This represented a major change in the regulatory landscape of medical devices in the EEA. The EU MDR sets out certain transitional provisions that allow for medical devices covered by the repealed EU MDD (called “legacy devices”) to still be marketed in the EEA for a certain period of time. Currently, manufacturers can place on the EEA market legacy devices until maximum December 31, 2027 or December 31, 2028, depending on the type of device and subject to meeting certain conditions.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requirements set forth in the EU MDR are generally consistent with those laid out in the EU MDD, but in many topics there are additional or stricter requirements. Although we continue to transition our certification profile to meet the new EU MDR requirements, these stricter regulations set forth in the EU MDR may pose additional challenges for Integra to continue marketing products in the EU. See “</w:t>
      </w:r>
      <w:r>
        <w:rPr>
          <w:rFonts w:ascii="Times New Roman" w:cs="Times New Roman" w:eastAsia="Times New Roman" w:hAnsi="Times New Roman"/>
          <w:sz w:val="17"/>
          <w:szCs w:val="17"/>
          <w:i w:val="1"/>
          <w:iCs w:val="1"/>
          <w:color w:val="auto"/>
        </w:rPr>
        <w:t>Item 1A. Risk Factors - We are subject to stringent domestic</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and foreign medical device regulations and oversight and any adverse action may adversely affect our ability to compete in the marketplace and our financial condition and business operations</w:t>
      </w:r>
      <w:r>
        <w:rPr>
          <w:rFonts w:ascii="Times New Roman" w:cs="Times New Roman" w:eastAsia="Times New Roman" w:hAnsi="Times New Roman"/>
          <w:sz w:val="18"/>
          <w:szCs w:val="18"/>
          <w:color w:val="auto"/>
        </w:rPr>
        <w:t>” of this Annual Report on Form 10-K.</w:t>
      </w:r>
    </w:p>
    <w:p>
      <w:pPr>
        <w:spacing w:after="0" w:line="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the EEA, medical devices are currently required to comply with the General Safety and Performance Requirements (or “GSPR”) in Annex I of the EU MDR (for legacy devices, this corresponds to the Essential Requirements of Annex I of the EU MDD). Compliance with GSPR is a prerequisite to be able to affix the CE mark to medical devices, without which they cannot be commercialized in the EEA. To demonstrate compliance with the GSPR and obtain the right to affix the CE mark, a manufacturer must undergo a conformity assessment procedure, which varies according to the type of medical device and its classification. In the EEA medical devices are classified into four different risk classes: Class I (which is further divided into (i) devices that are placed on the market in sterile condition, (ii) have a measuring function, (iii) are reusable surgical instruments, and (iv) all others), IIa, IIb and III. Apart from low risk medical devices (Class I if they have no measuring function, are not sterile, and are not reusable surgical instruments), where the manufacturer can issue an EU Declaration of Conformity based on a self-assessment of the conformity of the devices with the GSPR, a conformity assessment procedure requires the intervention of a Notified Body, which is an organization accredited by the competent authority of an EEA country to conduct conformity assessments. The Notified Body typically audits and examines the products’ technical documentation and the quality management system for the manufacture, design and final inspection of the medical devices before issuing a CE Certificate of Conformity. After receiving the CE Certificate of Conformity from the Notified Body upon successful completion of the conformity assessment, the manufacturer can draw up an EU Declaration of Conformity which allows it to affix the CE mark to the products.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8"/>
          <w:szCs w:val="18"/>
          <w:color w:val="auto"/>
        </w:rPr>
        <w:t>Besides its involvement in the initial conformity assessment procedure, the Notified Body is required to carry out an annual audit (surveillance audit) and is also required to randomly perform unannounced audits at least once every five years. The quality management system and technical documentation of manufacturers will be required to be recertified periodically, as CE Certificates of Conformity issued by a Notified Body remain valid only for the period indicated in them, in no case exceeding five years. The EU MDR also provides various requirements relating to post-market surveillance and vigilance, including the obligation for manufacturers to implement a post-market surveillance system. Once a device is on the EEA market, manufacturers must comply with certain vigilance requirements, such as reporting serious incidents and field safety corrective actions (even those occurring outside the EEA) to the relevant competent authorities.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MDD, EU MDR, ISO 9000 series and ISO 13485 are recognized international quality standards that are designed to ensure that we develop and manufacture quality medical devices. A Notified Body audits our facilities annually to verify our compliance with the ISO 13485 Quality System standard. Other countries are also instituting regulations regarding medical devices or interpreting and enforcing existing regulations more strictly. Compliance with these regulations requires extensive documentation and clinical reports for our products, revisions to labeling, and other requirements such as facility inspections to comply with the registration requirements.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Certain countries, including those in the EEA, have issued regulations that govern products that contain materials derived from animal sources. Regulatory authorities are particularly concerned with materials infected with the agent that causes BSE. These regulations affect our dermal regeneration products, duraplasty products, hernia repair products, biomaterial products for the spine, nerve and tendon repair products and certain other products, all of which contain material derived from bovine tissue. Although we take great care to ensure that our products are safe and free of agents that can cause disease, products that contain materials derived from animals, including our products, may become subject to additional regulation, or even be banned in certain countries, because of concern over the potential for prior transmission. Significant new regulations, a ban of our products, or a movement away from bovine-derived products because of an outbreak of BSE could have a material, adverse effect on our current business or our ability to expand our business. See “Item 1A. Risk Factors – </w:t>
      </w:r>
      <w:r>
        <w:rPr>
          <w:rFonts w:ascii="Times New Roman" w:cs="Times New Roman" w:eastAsia="Times New Roman" w:hAnsi="Times New Roman"/>
          <w:sz w:val="18"/>
          <w:szCs w:val="18"/>
          <w:i w:val="1"/>
          <w:iCs w:val="1"/>
          <w:color w:val="auto"/>
        </w:rPr>
        <w:t>Risks Related to our Regulatory Environment</w:t>
      </w:r>
      <w:r>
        <w:rPr>
          <w:rFonts w:ascii="Times New Roman" w:cs="Times New Roman" w:eastAsia="Times New Roman" w:hAnsi="Times New Roman"/>
          <w:sz w:val="18"/>
          <w:szCs w:val="18"/>
          <w:color w:val="auto"/>
        </w:rPr>
        <w:t>” of this Annual Report on Form 10-K.</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Regarding HCT/Ps and as happens in the U.S., these products can have various regulatory qualifications (medical devices, medicinal products or blood/tissues/cells products). The donation, collection, procurement, testing, processing, preservation, storage, import, export and distribution in the EEA of human blood, tissues and cells is currently mainly regulated by Directive 2002/98/EC (the “Blood Directive”), Directive 2004/23/EC (the “Tissues and Cells Directive”) and the implementing acts adopted by each EEA country. This legislation also partially applies to manufactured products derived from human blood, tissues and cells. In July 2024, Regulation (EU) 2024/1938 on standards of quality and safety for substances of human origin intended for human application (the “SoHO Regulation”) was published. This new Regulation will apply from August7,2027 and replace the Blood Directive and the Tissues and Cells Directive, changing the regulatory framework for the use of these substances in the EEA.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Reimbursement</w:t>
      </w:r>
    </w:p>
    <w:p>
      <w:pPr>
        <w:spacing w:after="0" w:line="1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Market acceptance of our medical products in the U.S. and other countries is dependent upon the purchasing and procurement practices of our customers and patient need for our products and procedures and, the coverage and reimbursement of patients’ medical expenses by government healthcare programs, private insurers or other healthcare payors. The delivery of our devices is subject to regulation by the HHS and comparable state and non-U.S. agencies responsible for reimbursement and regulation of healthcare items and services. Healthcare providers that purchase medical devices generally rely on third-party payors, including, in the U.S., the Medicare and Medicaid 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Government payors, such as Medicare, are increasingly seeking additional clinical evidence beyond the data required to obtain marketing clearance, before covering our products for their patients.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or denial of, or provision of uneconomical reimbursement for new products may affect our customers' revenue and ability to purchase our products. Any changes in the healthcare regulatory, payment or enforcement landscape relative to our customers’ healthcare services have the potential to significantly affect our operations and revenue.</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Implementation of legislative or regulatory reforms to reimbursement systems, including price regulation, competitive bidding and tendering, coverage and payment policies, comparative effectiveness of therapies, technology assessments and managed-care arrangements, or adverse decisions relating to our products by administrators of these systems in coverage or reimbursement, could significantly reduce reimbursement or result in the denial of coverage, which could have an impact on the acceptance of and demand for our products and the prices that our customers are willing to pay for them.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For example, the Affordable Care Act (“ACA”), went into effect in 2010, and, among other things, includes changes to the coverage and payment for products under government health care programs. In the United States, there have been, and we expect there to continue to be, a number of legislative and regulatory initiatives, at both the federal and state government levels, to change the healthcare system in ways that, if approved,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which went into effect in April 2013 and, due to subsequent legislative amendments, will remain in effect through 2031. Sequestration is currently set at 2% and will increase to 2.25% for the first half of fiscal year 2030, to 3% for the second half of fiscal year 2030, and to 4% for the remainder of the sequestration period that lasts through the first six months of fiscal year 2031.</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Some of the provisions of the ACA and related laws have been, and may continue to be, subject to judicial and Congressional challenges, and to modifications in their interpretation or implementation. We plan to continue to evaluate the effect that the ACA and its possible modification may have on our business.</w:t>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has also been heightened governmental scrutiny over the manner in which manufacturers set prices for their marketed products, which has resulted in several recent Congressional inquiries and proposed bills designed to, among other things, bring more transparency to product pricing and review the relationship between pricing and manufacturer programs. Individual states in the U.S. have also become increasingly active in enacting legislation and implementing regulations designed to control product pricing.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national level in the U.S. and other jurisdictions globally, as well as at some regional, state and/or local levels within the U.S. or other jurisdictions, directed at broadening the availability of healthcare and containing or lowering the cost of healthcare. Such reforms could have an adverse effect on anticipated revenues from product that we may successfully develop and for which we may obtain marketing approval and may affect our overall financial condition and ability to develop product.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Healthcare Fraud and Abuse Laws</w:t>
      </w:r>
      <w:r>
        <w:rPr>
          <w:rFonts w:ascii="Times New Roman" w:cs="Times New Roman" w:eastAsia="Times New Roman" w:hAnsi="Times New Roman"/>
          <w:sz w:val="18"/>
          <w:szCs w:val="18"/>
          <w:color w:val="auto"/>
        </w:rPr>
        <w:t>. In the U.S., we are subject to laws and regulations pertaining to healthcare fraud and abuse, including anti-kickback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false claims, and other health care fraud laws that regulate, among other things, the means by which companies in the health care industry may sell and market their products to hospitals and health care professionals and regulate the arrangements and engagements with customers. We are also subject to other federal and state laws that constrain the way we can market and sell our products, or require reporting of certain transfers of value to health care professionals. Some of the laws and regulations we are subject to include:</w:t>
      </w:r>
    </w:p>
    <w:p>
      <w:pPr>
        <w:spacing w:after="0" w:line="75" w:lineRule="exact"/>
        <w:rPr>
          <w:sz w:val="20"/>
          <w:szCs w:val="20"/>
          <w:color w:val="auto"/>
        </w:rPr>
      </w:pPr>
    </w:p>
    <w:p>
      <w:pPr>
        <w:jc w:val="both"/>
        <w:ind w:left="640" w:hanging="315"/>
        <w:spacing w:after="0" w:line="24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(the “AKS”), which prohibits, among other things, persons or entities from knowingly and willfully soliciting, offering, receiving or paying any remuneration, directly or indirectly, overtly or covertly, in cash or in kind, in exchange for or to induce either the referral of an individual for the furnishing or arranging for a good or service, or for the purchasing, leasing, ordering, or arranging for or recommending any good, facility, service or item for which payment may be made in whole or in part under federal healthcare programs, such as the Medicare and Medicaid programs. The term “remuneration” expressly includes kickbacks and bribes, and also has been broadly interpreted to include anything of value, including, for example, gifts, discounts, the furnishing of supplies or equipment, credit arrangements, payments of cash, waivers of payments, ownership interests and providing anything at less than its fair market value. The AKS is broad and prohibits many arrangements and practices that are lawful in businesses outside of the healthcare industry. There are a number of statutory exceptions and regulatory safe harbors that may protect certain business arrangements from prosecution if strictly complied with, however, those exceptions and safe harbors are drawn narrowly. There are also no available exceptions or safe harbors for many common business activities. Practices that involve remuneration to those who prescribe, purchase, recommend 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 w:name="page16"/>
    <w:bookmarkEnd w:id="15"/>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arrange for the purchase, order or recommendation of medical devices, including discounts, providing items or services for free or engaging such individuals as consultants, advisors, or speakers, may be subject to scrutiny if they do not fit squarely within an available exception or safe harbor and would be subject to a facts and circumstances analysis to determine compliance with the AKS. A violation of the AKS can be established without proving that the person or entity had actual knowledge of the statute or specific intent to violate it. A claim that includes items or services resulting from an AKS violation constitutes a false or fraudulent claim for purposes of the federal civil False Claims Act (the “False Claims Act”).</w:t>
      </w:r>
    </w:p>
    <w:p>
      <w:pPr>
        <w:spacing w:after="0" w:line="78" w:lineRule="exact"/>
        <w:rPr>
          <w:sz w:val="20"/>
          <w:szCs w:val="20"/>
          <w:color w:val="auto"/>
        </w:rPr>
      </w:pPr>
    </w:p>
    <w:p>
      <w:pPr>
        <w:jc w:val="both"/>
        <w:ind w:left="640" w:hanging="315"/>
        <w:spacing w:after="0" w:line="24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which prohibits, among other things, persons, or entities from knowingly presenting or causing to be presented a false or fraudulent claim for payment of government funds or knowingly presenting or causing to be presented a false record or statement material to an obligation to pay money to the government or knowingly and improperly avoiding, decreasing, or concealing an obligation to pay money to the federal government. Medical device manufacturers have been investigated and have reached substantial financial settlements with the federal government under the False Claims Act for a variety of alleged improper activities, including causing false claims to be submitted as a result of the marketing of their products including for unapproved and thus non-reimbursable uses and interactions with prescribers and other customers, including those that may have affected their billing or coding practices and submission of claims to the federal government. Actions under the False Claims Act can be brought by qui tam relators, or whistleblowers, on behalf of themselves and the government, and those relators can share in any settlement or resolution. If an entity is determined to have violated the False Claims Act, it may be required to pay up to three times the actual damages sustained by the government, plus civil penalties for each separate false claim.</w:t>
      </w:r>
    </w:p>
    <w:p>
      <w:pPr>
        <w:spacing w:after="0" w:line="83" w:lineRule="exact"/>
        <w:rPr>
          <w:rFonts w:ascii="Times New Roman" w:cs="Times New Roman" w:eastAsia="Times New Roman" w:hAnsi="Times New Roman"/>
          <w:sz w:val="18"/>
          <w:szCs w:val="18"/>
          <w:color w:val="auto"/>
        </w:rPr>
      </w:pPr>
    </w:p>
    <w:p>
      <w:pPr>
        <w:jc w:val="both"/>
        <w:ind w:left="640" w:hanging="315"/>
        <w:spacing w:after="0" w:line="25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and Portability Act of 1996, and its implementing regulations (collectively,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it in order to have committed a violation.</w:t>
      </w:r>
    </w:p>
    <w:p>
      <w:pPr>
        <w:spacing w:after="0" w:line="77"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U.S. federal laws, such as anti-kickback and false claims laws that apply to items or services reimbursed by any third-party payor, including commercial insurers.</w:t>
      </w:r>
    </w:p>
    <w:p>
      <w:pPr>
        <w:spacing w:after="0" w:line="56"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require medical device companies to comply with the industry’s voluntary compliance guidelines and the applicable compliance guidance promulgated by the federal government or otherwise restrict payments (or require reporting transfers of value) that may be made to healthcare providers and other potential referral sources.</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53"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the Open Payments program, and its implementing regulations, require certain manufacturers of drugs, devices, biologics and medical supplies that are reimbursable (directly or indirectly) under Medicare, Medicaid, or the Children’s Health Insurance Program to report annually to the CMS information related to certain payments made in the preceding calendar year and other transfers of value to physicians, physician assistants, nurse practitioners, clinical nurse specialists, certified nurse anesthetists, certified nurse-midwives and teaching hospitals, as well as ownership and investment interests held by physicians and their immediate family members.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Anti-bribery laws exist in many of the countries in which we sell our products outside the U.S., as well as the United States Foreign Corrupt Practices Act (the “FCPA”) which addresses the activities of U.S. companies in foreign markets. Our products also are subject to regulation regarding reimbursement, and U.S. healthcare laws apply when a customer submits a claim for a product that is reimbursed under a federally funded healthcare program. These global laws require that we exercise care in designing our sales and marketing practices, including interactions with healthcare professionals, and customer discount arrangements. See </w:t>
      </w:r>
      <w:r>
        <w:rPr>
          <w:rFonts w:ascii="Times New Roman" w:cs="Times New Roman" w:eastAsia="Times New Roman" w:hAnsi="Times New Roman"/>
          <w:sz w:val="18"/>
          <w:szCs w:val="18"/>
          <w:i w:val="1"/>
          <w:iCs w:val="1"/>
          <w:color w:val="auto"/>
        </w:rPr>
        <w:t>“Item 1A. Risk Factors – We are exposed to a variety of risks relating to our international sales and operations”</w:t>
      </w:r>
      <w:r>
        <w:rPr>
          <w:rFonts w:ascii="Times New Roman" w:cs="Times New Roman" w:eastAsia="Times New Roman" w:hAnsi="Times New Roman"/>
          <w:sz w:val="18"/>
          <w:szCs w:val="18"/>
          <w:color w:val="auto"/>
        </w:rPr>
        <w:t xml:space="preserve"> of this Annual Report on Form 10-K for further details.</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Import-export</w:t>
      </w:r>
      <w:r>
        <w:rPr>
          <w:rFonts w:ascii="Times New Roman" w:cs="Times New Roman" w:eastAsia="Times New Roman" w:hAnsi="Times New Roman"/>
          <w:sz w:val="18"/>
          <w:szCs w:val="18"/>
          <w:color w:val="auto"/>
        </w:rPr>
        <w:t>. Our international operations subject us to laws regarding sanctioned countries, entities and persons, customs, and import-export.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these laws restrict, and in some cases can prevent, U.S. companies from directly or indirectly selling goods, technology or services to people or entities in certain countries. In addition, these laws require that we exercise care in our business dealings with entities in and from foreign countries. In addition to our need to comply with such regulations in connection with our direct activities, we also sell and provide goods, technology and services to agents, representatives and distributors who may export such items to customers and end-users. If we, or the third parties through which we do business, are not in compliance with applicable import, export control or economic sanctions laws and regulations, we may be subject to civil or criminal enforcement action, and varying degrees of liability. Such actions may disrupt or delay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sales of our products or services or result in restrictions on our distribution and sales of products or services that may materially impact our business.</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Environmental Health and Safety</w:t>
      </w:r>
      <w:r>
        <w:rPr>
          <w:rFonts w:ascii="Times New Roman" w:cs="Times New Roman" w:eastAsia="Times New Roman" w:hAnsi="Times New Roman"/>
          <w:sz w:val="18"/>
          <w:szCs w:val="18"/>
          <w:color w:val="auto"/>
        </w:rPr>
        <w:t>. Our research, development and manufacturing processes involve the controlled use of certain hazardous materials.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country-specific, federal, state and local laws and regulations governing the use, manufacture, storage, handling and disposal of these materials and certain waste products. We believe that our environmental, health and safety procedures for handling and disposing of these materials comply with the standards prescribed by the controlling laws and regulations. However, risk of accidental releases or injury from these materials is possible. These risks are managed to minimize or eliminate associated business impacts. In the event of this type of accident, we could be held liable for damages and face a liability that could exceed our resources. We could be subject to a regulatory shutdown of a facility that could prevent the distribution and sale of products manufactured there for a significant period of time, and we could suffer a casualty loss that could require a shutdown of the facility in order to repair it, any of which could have a material, adverse effect on our business. Although we continuously strive to maintain full compliance with respect to all applicable global environmental, health and safety laws and regulations, we could incur substantial costs to fully comply with future laws and regulations, and our operations, business or assets may be negatively affected. Furthermore, global environmental, health and safety compliance is an ongoing process. We have compliance procedures in place for compliance with Employee Health &amp; Safety laws, driven by a centrally led organizational structure that ensures proper implementation, which is essential to our overall business objectives.</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we are subject to numerous federal, state, foreign and local laws relating to safe working conditions, environmental protection and fire hazard control, among others. We may be required to incur significant costs to comply with these laws and regulations in the future and complying with these laws may result in a material adverse effect upon our business, financial condition and results of operations.</w:t>
      </w:r>
    </w:p>
    <w:p>
      <w:pPr>
        <w:spacing w:after="0" w:line="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Data Privacy and Cybersecurity Laws and Regulations. </w:t>
      </w:r>
      <w:r>
        <w:rPr>
          <w:rFonts w:ascii="Times New Roman" w:cs="Times New Roman" w:eastAsia="Times New Roman" w:hAnsi="Times New Roman"/>
          <w:sz w:val="17"/>
          <w:szCs w:val="17"/>
          <w:color w:val="auto"/>
        </w:rPr>
        <w:t>As a business with a significant global footprint, compliance with evolving regulations and standards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spacing w:after="0" w:line="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For example, in the U.S., the collection, maintenance, protection, use, transmission, disclosure and disposal of certain personal information and the security of medical devices are regulated at the U.S. federal and state, and industry levels. U.S. federal and state laws protect the confidentiality of certain patient health information, including patient medical records, and restrict the use and disclosure of patient health information by health care providers and other persons or entities that create, receive, maintain, or transmit health information. For example, in the U.S., depending on the facts and circumstances, we could be subject to the requirements of HIPAA. HIPAA imposes privacy and security obligations on covered entity health care providers, health plans, and health care clearinghouses, as well as their “business associates” – certain persons or entities that create, receive, maintain, or transmit protected health information in connection with providing a specified service or performing a function on behalf of a covered entity. HIPAA also regulates standardization of data content, codes and formats used in health care transactions and standardization of identifiers for health plans and providers. Penalties for violations of HIPAA regulations include significant civil and criminal penalties for each violation.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hospital systems that are connected to such devices. The FDA also issued guidance on post market management of cyber security in medical devices.</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section 5 of the Federal Trade Commission (“FTC”), the FTC expects a company’s data privacy and security measures to be reasonable and appropriate in light of the sensitivity and volume of consumer information it holds, the size and complexity of its business, and the cost of available tools to improve security and reduce vulnerabilities. Failure to meet these standards may constitute unfair or deceptive acts or practices in violation of the FTC Act. The FTC also has the power to enforce the Health Breach Notification Rule, which imposes notification obligations on companies for breaches of certain health information contained in personal health records.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state level, the California Consumer Privacy Act (“CCPA”), as amended by the California Privacy Rights Act (“CPRA”), establishes certain requirements for data use and sharing transparency and provides California consumers (as defined in the law) certain rights concerning the use, disclosure, and retention of their personal data. Such rights include rights to access and delete personal information, opt out of certain personal information sharing, and receive detailed information about how personal information is used. The CCPA provides for civil penalties for violations, as well as a private right of action for data breaches—involving certain types of personal information—that is expected to increase data breach litigation. The CCPA may increase our compliance costs and potential liability. Numerous other states, such as Virginia, Colorado, Utah, and Connecticut, have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enacted privacy laws similar to the CCPA, and some states, like Washington and Nevada, have enacted health privacy specific laws that grant heightened rights with respect to health information. Moreover, as a result of the broad scale release and availability of Artificial Intelligence (“AI”) technologies such as generative AI, there is a global trend towards more regulation (e.g., the EU AI Act and AI laws passed in U.S. states) to ensure the ethical use, privacy, and security of AI and the data that it processes. Compliance with such laws will likely be an increasing and substantial cost in the future.</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Outside the U.S., we are impacted by the privacy and data security requirements at the international, national and regional level, and on an industry specific basis. Legal requirements in these countries relating to the collection, storage, handling and transfer of personal data and, potentially, intellectual property continue to evolve with increasingly strict enforcement regimes. In Europe, for example, we are subject to the EU General Data Protection Regulation, including as implemented in the UK (collectively, “GDPR”) which imposes restrictions on the collection, use and transfer of personal data and includes, among other things, a requirement for prompt notice of data breaches to data subjects and supervisory authorities in certain circumstances and significant fines for non-compliance, which can go up to €20 million or up to 4% of the total worldwide annual turnover of the preceding financial year, whichever is higher. The GDPR also requires companies processing personal data of individuals residing in the EU to comply with EU privacy and data protection rules.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when we rely on third-party service providers processing personal data of subjects in the EU, we must enter into suitable agreements with these providers and receive sufficient assurances that the providers meet the requirements of the GDPR. The obligations under the GDPR may therefore be onerous and adversely affect our business, financial condition, results of operations and prospects. Please refer to “</w:t>
      </w:r>
      <w:r>
        <w:rPr>
          <w:rFonts w:ascii="Times New Roman" w:cs="Times New Roman" w:eastAsia="Times New Roman" w:hAnsi="Times New Roman"/>
          <w:sz w:val="18"/>
          <w:szCs w:val="18"/>
          <w:i w:val="1"/>
          <w:iCs w:val="1"/>
          <w:color w:val="auto"/>
        </w:rPr>
        <w:t>Item 1A. Risk Factors – Failure to comply with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the confidentiality of sensitive personal information or standards related to the transmission of electronic health data, may require us to make significant changes to our products, or incur penalties or other liabilities</w:t>
      </w:r>
      <w:r>
        <w:rPr>
          <w:rFonts w:ascii="Times New Roman" w:cs="Times New Roman" w:eastAsia="Times New Roman" w:hAnsi="Times New Roman"/>
          <w:sz w:val="18"/>
          <w:szCs w:val="18"/>
          <w:color w:val="auto"/>
        </w:rPr>
        <w:t>” of this Annual Report on Form 10-K for additional discussion of the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compliance with data privacy and cybersecurity laws and regulations.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laws and regulations impact the ways in which we use and manage personal data, protected health information, and our information technology systems. They also impact our ability to move, store, and access data across geographic boundaries. Compliance with these requirements may require changes in business practices, complicate our operations, and add complexity and additional management and oversight needs. They also may complicate our clinical research activities, as well as product offerings that involve transmission or use of clinical data.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people are our greatest asset and we view human capital management and the strength of our employees as integral to the long-term success of our business. We understand that we rely on our employees worldwide to propel our organization forward with great ideas, innovations and leadership.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Workforce Demographics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approximately 4,396 regular full and part time employees.</w:t>
      </w:r>
    </w:p>
    <w:p>
      <w:pPr>
        <w:spacing w:after="0" w:line="1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Approximately 70% of our employees are located in the United States, 20% in Europe, 9% in Asia Pacific which includes Australia and New Zealand and 1% in Latin America and Canada.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Building a Strong Workforce</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talented and engaged workforce is a business priority and a key to our long-term success. We believe our company is stronger when we leverage broad perspectives to meet the needs of our shareholders, customers, colleagues and the communities we serve. Our commitment to workforce development starts at the top with our Board of Directors and Chief Executive Officer. At all levels of the Company, we focus on attracting, retaining, and developing talent that drives innovation and results. Through various Employee Resource Groups (“ERGs”), leadership councils and external partnerships, we provide opportunities for colleagues to contribute to our culture, develop professionally and provide feedback to our executive team. In fiscal year 2024, we maintained seven (7) Integra-sponsored ERGs, which are employee-led groups, provide career development, leadership opportunities and networking connections across the organization.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Benefits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compensation philosophy is designed to reinforce and align with our mission, business strategy, and financial needs. We invest in the physical, emotional and financial well-being of our employees through our robust compensation and benefit programs. We provide market-competitive compensation and benefits based on benchmarking surveys we conduct regularly for all position levels against relevant peer companies. Our annual and long-term incentive packages are linked directly to business and individual performance, with a balance of short- and long-term financial and strategic objectives. We have an employee stock purchase plan. Eligibility for non-salary benefits such as salary continuance, life insurance, health insurance, and similar benefits, follows local regulations and practices.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We are a pay-for-performance company committed to fair pay. All compensation decisions are made without regard to personal characteristics such as, but not limited to, gender, race, color, national or ethnic origin, age, disability, sexual orientation, gender identity or expression, genetic information, religion, or veteran status. As part of our commitment to compensation equity, Integra regularly conducts a pay equity analysis, reviewing how our organization compensates employees against external and internal data in conjunction with the role and scope of each position and making adjustments if necessary.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Development and Retention</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comprehensive and effective human capital development programs in place because we believe that the personal success of our employees is critical to the overall success of our business. To build a diverse and talented organization, we have invested in honing our recruiting and hiring processes to attract top talent and engage new hires from the very beginning of their experience at Integra.</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a variety of opportunities for our employees to learn and grow. Continued learning and development is a critical component of employee job satisfaction, retention, and career advancement—and ultimately, a driver of business success. We encourage and promote experiential, collaborative, and formal learning programs. Employees are also encouraged to discuss with their managers the skills, training, and experience needed to grow and develop. In addition to several skills-based trainings available (technical, sales, leadership ability) to all employees, managers may recommend external job-specific development programs to employees. These programs are paid for directly by Integra.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Health and Safety</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committed to providing a safe environment for all employees and visitors. We rely on our environmental, health and safety management systems as well as entrusting our managers to oversee and ensure health and safety at their respective sites and foster a workplace culture to achieve that end. We implement our approach globally by our systems and support at regional and country levels from colleagues that implement proper safety protocols, identify and correct hazards, and remain safety conscious at all times. Managers are expected to enforce health and safety regulations, including compliance with applicable federal, state and local laws. Our Environmental Health and Safety (“EH&amp;S”) organizational structure incorporates both workplace EH&amp;S coordinators and compliance teams. We have developed an Incident Procedure Policy and General Safety Rules that guide our colleagues to improve our workplace environment, improve safety, and reduce risk and costs.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Engagement and Wellbeing</w:t>
      </w:r>
    </w:p>
    <w:p>
      <w:pPr>
        <w:spacing w:after="0" w:line="1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regularly seek employee feedback and sentiment about our workplace through global engagement pulse surveys conducted on at least an annual basis. After each survey is complete, we share detailed results with senior management and all employees within each department. We are incorporating employee survey results into our corporate strategies – across company, division and function levels – and have further used this employee feedback to modify corporate programs and initiatives. We believe this process enables us to monitor employee engagement and create a continuously improving, satisfying work environment for our employees.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committed to improving the quality of life of our employees and their families. Our health and wellbeing programs differ by country and typical benefits include comprehensive health insurance, disability coverage, workplace accommodations, parental leave and other leaves of absence based on health or life events (e.g., bereavement), employee assistance programs, fitness reimbursement, and flu shots. We also provide on-demand health advocates to help employees navigate the health insurance system, access to digital health solutions, a weight management program, smoking cessation assistance, a substance use disorder helpline, a diabetes health program and other similar programs to drive healthy behaviors and awareness.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spacing w:after="0" w:line="112"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color w:val="auto"/>
        </w:rPr>
        <w:t xml:space="preserve">Financial information about our geographical areas is set forth in our financial statements </w:t>
      </w:r>
      <w:r>
        <w:rPr>
          <w:rFonts w:ascii="Times New Roman" w:cs="Times New Roman" w:eastAsia="Times New Roman" w:hAnsi="Times New Roman"/>
          <w:sz w:val="18"/>
          <w:szCs w:val="18"/>
          <w:i w:val="1"/>
          <w:iCs w:val="1"/>
          <w:color w:val="auto"/>
        </w:rPr>
        <w:t>Note 16. Segment and Geographic Information</w:t>
      </w:r>
      <w:r>
        <w:rPr>
          <w:rFonts w:ascii="Times New Roman" w:cs="Times New Roman" w:eastAsia="Times New Roman" w:hAnsi="Times New Roman"/>
          <w:sz w:val="18"/>
          <w:szCs w:val="18"/>
          <w:color w:val="auto"/>
        </w:rPr>
        <w:t>, to the Notes to Consolidated Financial Statements (Part IV, Item 15 of this Annual Report on Form 10-K).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of 1934. In accordance with the Exchange Act, we file annual reports on Form 10-K, quarterly reports on Form 10-Q, current reports on Form 8-K, and any amendments to those reports, proxy statements and other information with the Securities and Exchange Commission, (“the SEC”). Our financial information may be viewed, including the information contained in this report, and other reports we file with the SEC, on the Internet, without charge as soon as reasonably practicable after we file them with the SEC, in the “SEC Filings” page of the Investor Relations section of our website at </w:t>
      </w:r>
      <w:r>
        <w:rPr>
          <w:rFonts w:ascii="Times New Roman" w:cs="Times New Roman" w:eastAsia="Times New Roman" w:hAnsi="Times New Roman"/>
          <w:sz w:val="18"/>
          <w:szCs w:val="18"/>
          <w:u w:val="single" w:color="auto"/>
          <w:color w:val="auto"/>
        </w:rPr>
        <w:t>investor.integralife.com</w:t>
      </w:r>
      <w:r>
        <w:rPr>
          <w:rFonts w:ascii="Times New Roman" w:cs="Times New Roman" w:eastAsia="Times New Roman" w:hAnsi="Times New Roman"/>
          <w:sz w:val="18"/>
          <w:szCs w:val="18"/>
          <w:color w:val="auto"/>
        </w:rPr>
        <w:t xml:space="preserve">. A copy may also be obtained for any of these reports, without charge, from our Investor Relations department, 1100 Campus Road, Princeton, NJ 08540. Alternatively, reports filed may be viewed or obtained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information to our investors using our investor relations website (investor.integralife.com), SEC filings, press releases, public conference calls and webcasts. We use these channels as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9" w:name="page20"/>
    <w:bookmarkEnd w:id="19"/>
    <w:p>
      <w:pPr>
        <w:jc w:val="both"/>
        <w:spacing w:after="0" w:line="250" w:lineRule="auto"/>
        <w:rPr>
          <w:sz w:val="20"/>
          <w:szCs w:val="20"/>
          <w:color w:val="auto"/>
        </w:rPr>
      </w:pPr>
      <w:r>
        <w:rPr>
          <w:rFonts w:ascii="Times New Roman" w:cs="Times New Roman" w:eastAsia="Times New Roman" w:hAnsi="Times New Roman"/>
          <w:sz w:val="18"/>
          <w:szCs w:val="18"/>
          <w:color w:val="auto"/>
        </w:rPr>
        <w:t>well as social media to communicate with the public about our Company, our services and other issues.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We have used, and intend to continue to use, our investor relations website as means of disclosing material non-public information and for complying with our disclosure obligations under Regulation FD. Additional corporate governance information, including our certificate of incorporation, bylaws, corporate governance guidelines, board committee charters, and global code of conduct,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 are intended to be inactive textual references only.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CHALLENGES AND MACROECONOMIC CONDITIONS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continuing worldwide macroeconomic and geopolitical uncertainty may adversely affect our business and prospects.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United States and foreign countries have experienced recessionary pressures and face continued concerns about the systemic impacts of adverse economic conditions and geopolitical issues. Any negative impact on economic conditions and international markets, including increased geopolitical instability and other macroeconomic factors, including inflation, supply chain disruptions, interest rate and foreign currency rate fluctuations, and volatility in the capital markets could negatively impact our business, financial condition, and results of operations.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Continued concerns about the systemic impact of potential long-term and wide-spread recession and geopolitical issues, including wars, such as the war between Russia and Ukraine and the conflicts in the Middle East involving Israel, and acts of terrorism, have contributed to increased market volatility and diminished expectations for economic growth in the world. Our business and results of operations have been and may continue to be adversely impacted by changes in macroeconomic conditions, including inflation, rising interest rates, bank failures and the accessibility of capital markets. Uncertainty about global economic conditions may also cause decreased demand for our products and services and increased competition, which could result in lower sales volume and downward pressure on the prices for our products, longer sales cycles, and slower adoption of new technologies. A weakening of macroeconomic conditions may also adversely affect our suppliers, which could result in interruptions in supply.</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Market acceptance of our medical products in the U.S. and other countries is dependent upon the medical equipment purchasing and procurement practices of our customers, patient need for our products and procedures and the reimbursement of patients' medical expenses by government healthcare programs and third-party payors. The continuing uncertainty surrounding global economic conditions and financial markets may cause the purchasers of medical equipment to decrease their procurement activities. Economic uncertainty, an increase in unemployment rates, as well as increasing health insurance premiums, co-payments and deductibles may adversely affect demand for our products and procedures. Furthermore, governments and other third-party payors around the world facing tightening budgets could move to further reduce the reimbursement rates or the scope of coverage offered, which could adversely affect the sales of our products.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w:t>
      </w:r>
    </w:p>
    <w:p>
      <w:pPr>
        <w:spacing w:after="0" w:line="11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Our operating results, including components of operating results such as gross margin and operating expenses, may fluctuate from time to time. Our operating results have fluctuated in the past and can be expected to do so from time to time in the future. Some of the factors that may cause these fluctuations include:</w:t>
      </w:r>
    </w:p>
    <w:p>
      <w:pPr>
        <w:spacing w:after="0" w:line="34" w:lineRule="exact"/>
        <w:rPr>
          <w:sz w:val="20"/>
          <w:szCs w:val="20"/>
          <w:color w:val="auto"/>
        </w:rPr>
      </w:pPr>
    </w:p>
    <w:p>
      <w:pPr>
        <w:ind w:left="640" w:hanging="315"/>
        <w:spacing w:after="0" w:line="25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worldwide, which could affect the ability of hospitals and other customers to purchase our products and could result in a reduction in elective and non-reimbursed operative procedures;</w:t>
      </w: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acquisitions, our ability to integrate acquisitions, and our restructuring activities including portfolio rationalization, and divestitures;</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 and corrective actions, procedural changes and other actions that we determine are necessary or appropriate to address the results of those inspections, any of which may affect production and our ability to supply our customers with our products;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regulatory scrutiny of certain of our products, including products which we manufacture for others, could result in removal from the market or involve field corrective actions that could affect the marketability of our products;</w:t>
      </w: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for major initiatives, including acquired businesses and integrations thereof and restructuring;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0" w:name="page21"/>
    <w:bookmarkEnd w:id="20"/>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significant customer orders, which tend to increase in the fourth quarter coinciding with the end of budget cycles;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a wide range of customers across all our product lines in the markets our products are sold;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existing products, as well as products in development;</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current employees and recruiting of new employees in light of market competition for talent and relevant skills;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as well as changes in country-specific regulatory requirements;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exchange rates between the U.S. dollar and foreign currencies of countries in which we do business;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variable interest rates of our debt instruments which could impact debt service requirements;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backorders, lost sales and expenses incurred in connection with product recalls or field corrective actions;</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operations and sales resulting from political instability, war, including the war between Russia and Ukraine and the conflicts in the Middle East involving Israel, insurrections, extreme weather conditions, the outbreak of disease, natural disasters, or other events outside our control that damage our manufacturing, distribution, or infrastructure of those facilities, or the suppliers and service providers for those facilities;</w:t>
      </w: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ship our products efficiently or in sufficient quantities to meet sales demands;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or decreases in the supply of raw materials and services, including sterilization, energy, steel and honey;</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research and development expenditures;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our products by private and public health insurers, such as Medicare and Medicaid, and foreign governmental health systems;</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public health concerns or crises, including epidemics and pandemics such as COVID-19, which may negatively impact certain aspects of our business, including the demand for and supply of certain of our products, operations, supply chains and distribution systems, and our ability to generate cash flow;</w:t>
      </w: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existing distribution rights to and from certain third parties;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business if or when we opt to convert such business from distributors to a direct sales model;</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commercial sales representatives to obtain sales targets in a reasonable time frame;</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our sales organization, continued channel expansion, including increased specialization;</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peer-reviewed publications discussing the clinical effectiveness of the products we sell;</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or guidelines that impact the sales and marketing practices for products that we sell;</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or defense of intellectual property rights;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their interpretations; and</w:t>
      </w:r>
    </w:p>
    <w:p>
      <w:pPr>
        <w:spacing w:after="0" w:line="5" w:lineRule="exact"/>
        <w:rPr>
          <w:rFonts w:ascii="Times New Roman" w:cs="Times New Roman" w:eastAsia="Times New Roman" w:hAnsi="Times New Roman"/>
          <w:sz w:val="18"/>
          <w:szCs w:val="18"/>
          <w:color w:val="auto"/>
        </w:rPr>
      </w:pPr>
    </w:p>
    <w:p>
      <w:pPr>
        <w:ind w:left="640" w:hanging="315"/>
        <w:spacing w:after="0" w:line="25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goodwill and intangible asset impairment charges if future operating results of the acquired businesses are significantly less than the results anticipated at the time of the acquisitions.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 our operating results, including any of the above factors, may cause the market price of our common stock to fluctuate.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industry and market segments in which we operate are highly competitive, and we may be unable to compete effectively with other companies.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is intense competition among medical device companies. We compete with established medical technology companies in many of our products. Competition also comes from early-stage companies, universities, research institutions and other non-profit entities.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 or that use other technologies that cost less than our products. Many of our competitors have access to greater financial, technical, research and development, marketing, manufacturing, sales, distribution, administrative, consulting and other resources than we do. Our competitors may be more effective at developing commercial products or navigating the regulatory approval process in the markets in which we operate. They may be able to gain market share by offering lower-cost products or products that enjoy better reimbursement from third-party payors and foreign governmental health systems.</w:t>
      </w:r>
    </w:p>
    <w:p>
      <w:pPr>
        <w:spacing w:after="0" w:line="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competitive position depends on our ability to achieve market acceptance for our products, develop new products, enhance existing products, implement marketing plans, secure regulatory approval for products under development and maintain previously-obtained approvals, demonstrate clinical and economic effectiveness, obtain and maintain funding, coverage and reimbursement under third-party payors and foreign governmental health systems, obtain patent protection and produce products consistently in sufficient quantities to meet demand. We may need to develop new applications for our products to remain competitive. Technological advances by one or more of our current or future competitors or their achievement of superior reimbursement from third-party payors and foreign governmental health systems could render our present or future products obsolete or uneconomical. Our future success will depend upon our ability to compete effectively against current technology as well as to respond effectively to technological advances, changes in customers' requirements or in payor or regulatory evidence requirements. Additionally, purchasing decisions of our customers may be based on clinical evidence 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1" w:name="page22"/>
    <w:bookmarkEnd w:id="21"/>
    <w:p>
      <w:pPr>
        <w:jc w:val="both"/>
        <w:spacing w:after="0" w:line="251" w:lineRule="auto"/>
        <w:rPr>
          <w:sz w:val="20"/>
          <w:szCs w:val="20"/>
          <w:color w:val="auto"/>
        </w:rPr>
      </w:pPr>
      <w:r>
        <w:rPr>
          <w:rFonts w:ascii="Times New Roman" w:cs="Times New Roman" w:eastAsia="Times New Roman" w:hAnsi="Times New Roman"/>
          <w:sz w:val="18"/>
          <w:szCs w:val="18"/>
          <w:color w:val="auto"/>
        </w:rPr>
        <w:t>comparative effectiveness studies and, because of our vast array of products, we might not be able to fund the studies necessary to gain entry or maintain our position or provide the required information to compete effectively. Other companies may have more resources available to fund such studies. For example, competitors have launched and are developing products to compete with our dural repair products, regenerative skin, neuro critical care monitors and ultrasonic tissue ablation devices, among others. In the current environment of managed care, consolidation among health care providers, increased competition, and declining reimbursement rates, we have been increasingly required to compete on the basis of price. Competitive pressures could adversely affect our profitability. Given these factors, we cannot guarantee that we will be able to compete effectively or continue our level of success in the areas in which we compete.</w:t>
      </w:r>
    </w:p>
    <w:p>
      <w:pPr>
        <w:spacing w:after="0" w:line="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Trends toward managed care, healthcare cost containment and other changes in government and private sector initiatives in the U.S. and other countries in which we do business are placing increased emphasis on the delivery of more cost-effective medical therapies that could adversely affect the sale and/or the prices of our products. For example:</w:t>
      </w:r>
    </w:p>
    <w:p>
      <w:pPr>
        <w:spacing w:after="0" w:line="71" w:lineRule="exact"/>
        <w:rPr>
          <w:sz w:val="20"/>
          <w:szCs w:val="20"/>
          <w:color w:val="auto"/>
        </w:rPr>
      </w:pPr>
    </w:p>
    <w:p>
      <w:pPr>
        <w:jc w:val="both"/>
        <w:ind w:left="640" w:hanging="315"/>
        <w:spacing w:after="0" w:line="253"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payors of hospital and physician services, including private and public health insurers, such as Medicare and Medicaid, and foreign governmental health systems, annually revise their payment methodologies, which can result in stricter standards for reimbursement of hospital charges for certain medical procedures or the elimination of reimbursement;</w:t>
      </w:r>
    </w:p>
    <w:p>
      <w:pPr>
        <w:spacing w:after="0" w:line="2"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foreign countries have implemented reforms of their respective healthcare sectors in an effort to reduce healthcare spending, including restricting funding to only those medical technologies and procedures with proven effectiveness, increasing patient co-payments and providing for payback measures. Governmental health systems have revised and continue to consider revisions of healthcare budgets, which could result in stricter standards for implementing certain medical procedures, increased scrutiny of medical devices, and downward pricing pressure;</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Medicaid, private and public health insurer and foreign governmental cutbacks could create downward pricing pressure on our products;</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 Medicare and Medicaid coverage as well as commercial payor coverage determinations could reduce or eliminate reimbursement or coverage for certain of our wound matrix, amniotic, surgical reconstruction and advanced wound dressing products as well as other products in most regions, negatively affecting our market for these products, and future determinations could reduce or eliminate reimbursement or coverage for these products in other regions and could reduce or eliminate reimbursement or coverage for other products;</w:t>
      </w:r>
    </w:p>
    <w:p>
      <w:pPr>
        <w:spacing w:after="0" w:line="1"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consolidation among healthcare facilities and purchasers of medical devices in the U.S., some of whom prefer to limit the number of suppliers from whom they purchase medical products, and these entities may decide to stop purchasing our products or demand discounts on our prices;</w:t>
      </w:r>
    </w:p>
    <w:p>
      <w:pPr>
        <w:ind w:left="640" w:hanging="315"/>
        <w:spacing w:after="0" w:line="24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U.S., we are party to contracts with group purchasing organizations, which negotiate pricing for many member hospitals, require us to discount our prices for certain of our products and limit our ability to raise prices for certain of our products, particularly surgical instruments;</w:t>
      </w:r>
    </w:p>
    <w:p>
      <w:pPr>
        <w:jc w:val="both"/>
        <w:ind w:left="640" w:hanging="315"/>
        <w:spacing w:after="0" w:line="24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economic pressure to contain healthcare costs in domestic and international markets, and, regardless of the consolidation discussed above, providers generally are exploring ways to cut costs by eliminating purchases or driving reductions in the prices that they pay for medical devices, implementing national and provincial tender pricing, such as the volume-based procurement policy implemented in China, or increasing clinical or economic evidence thresholds for product formularies;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ind w:left="640" w:hanging="315"/>
        <w:spacing w:after="0" w:line="24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laws or regulations may permit hospitals to provide financial incentives to doctors for reducing hospital costs, will award physician efficiency, and will encourage partnerships with healthcare service and goods providers to reduce prices; and</w:t>
      </w:r>
    </w:p>
    <w:p>
      <w:pPr>
        <w:ind w:left="640" w:hanging="315"/>
        <w:spacing w:after="0" w:line="25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initiatives by third-party payors and foreign governmental health systems to challenge the prices charged for medical products that could affect our ability to sell products on a competitive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and all of the above factors could materially and adversely affect our levels of revenue and our profitability.</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current strategy involves growth through acquisitions, which requires us to incur substantial costs and potential liabilities for which we may never realize the anticipated benefits, and also requires us to successfully integrate acquired businesses into our business operations in order to avoid our business being materially and adversely affected.</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internally generated growth, our current strategy involves growth through acquisitions. Between January 1, 2022 and December 31, 2024, we have acquired two businesses at a total cost of approximately $329.3 million, which includes our acquisition of Surgical Innovation Associates, Inc. for $51.5 million in December 2022 and our acquisition of Acclarent, Inc. for $277.8 million in April 2024. In addition, on October 2, 2024, we acquired the product rights for Durepair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Regeneration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2" w:name="page23"/>
    <w:bookmarkEnd w:id="22"/>
    <w:p>
      <w:pPr>
        <w:jc w:val="both"/>
        <w:spacing w:after="0" w:line="275" w:lineRule="auto"/>
        <w:rPr>
          <w:sz w:val="20"/>
          <w:szCs w:val="20"/>
          <w:color w:val="auto"/>
        </w:rPr>
      </w:pPr>
      <w:r>
        <w:rPr>
          <w:rFonts w:ascii="Times New Roman" w:cs="Times New Roman" w:eastAsia="Times New Roman" w:hAnsi="Times New Roman"/>
          <w:sz w:val="18"/>
          <w:szCs w:val="18"/>
          <w:color w:val="auto"/>
        </w:rPr>
        <w:t>Matrix for total consideration of $45.0 million. These acquisitions added products to our plastic and reconstructive surgery, ENT, neurosurgery and complex wound management product portfolios and provides additional growth opportunities for our TT segment.</w:t>
      </w:r>
    </w:p>
    <w:p>
      <w:pPr>
        <w:spacing w:after="0" w:line="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may be unable to continue to implement our growth strategy and it may ultimately be unsuccessful. A significant portion of our growth in revenues has resulted from, and is expected to continue to result from, the acquisition of businesses or products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operating, amortization and interest expenses,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and could require significant expenditures to address those controls or subject us to increased risk. As we grow by acquisition, we must manage and integrate the new businesses to bring them into our systems for financial, disclosure, compliance, regulatory and quality control, realize economies of scale, and control costs. Failure to integrate acquired businesses and operations (including acquired employees and systems), retain key customers and suppliers of any acquired business or manage the cost of providing our products or price our products appropriately could preclude realization of the full benefits that we expect from there transactions. Our failure to meet the challenges involved in integrating the business in order to realize the anticipated benefits of the acquisitions could cause an interruption of, or loss of momentum in, our activities and could materially and adversely affect our results of operations. In addition, acquisitions involve other risks, including diversion of management resources otherwise available for the running of our business and the development of our business as well as risks associated with entering markets in which our marketing teams and sales force has limited experience or where experienced distribution alliances are not available. Some acquisitions may include the need for ongoing product development to occur consistent with time sensitive milestones in order for the Company to achieve its commercial projections for the acquisition. Our future profitability will depend in part upon our ability to develop our resources to adapt to these new products or business areas and to identify and enter into or maintain satisfactory distribution networks.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 We may not be able to identify suitable acquisition candidates in the future, obtain acceptable financing or consummate any future acquisitions. Certain potential acquisitions are subject to antitrust and competition laws that could impact our ability to pursue strategic acquisitions and could result in mandated divestitures. If we are unsuccessful in our acquisition strategy, we may be unable to meet our financial targets and our financial performance could be materially and adversely affected. In addition, dispositions of certain key products, technologies and other rights, including pursuant to conditions imposed on us to obtain regulatory approvals, may affect our business operations.</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risks may be heightened in cases where a substantial portion of an acquired businesses’ operations, employees or customers are located outside the U.S. Any one or all of these factors could complicate the integration of acquired employees and operations, increase operating costs or lower anticipated financial performance. Many of these factors are also outside of our control. For example, the conflicts in the Middle East involving Israel, including any escalation or expansion thereof, and the measures enacted by the Israeli and other governments in response, may make it more difficult for us to both integrate Acclarent and realize the anticipated benefits of that acquisition.</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 operations of an acquired business are integrated successfully, we may not realize the full benefits of such acquisition, including the synergies, cost savings or sales or growth opportunities, that we expect. These benefits may not be achieved within the anticipated time frame, or at all. Additional unanticipated costs could be incurred in the integration of a business. All of these factors could cause a reduction to our earnings per share, decrease or delay the expected accretive effect of a transaction, and negatively impact the price of our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business exposes us to operational and economic risks.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Europe, China and Japan.</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and product registration requirements. Among other things, these laws restrict, and in some cases prevent,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3" w:name="page24"/>
    <w:bookmarkEnd w:id="23"/>
    <w:p>
      <w:pPr>
        <w:jc w:val="both"/>
        <w:spacing w:after="0" w:line="260" w:lineRule="auto"/>
        <w:rPr>
          <w:sz w:val="20"/>
          <w:szCs w:val="20"/>
          <w:color w:val="auto"/>
        </w:rPr>
      </w:pPr>
      <w:r>
        <w:rPr>
          <w:rFonts w:ascii="Times New Roman" w:cs="Times New Roman" w:eastAsia="Times New Roman" w:hAnsi="Times New Roman"/>
          <w:sz w:val="18"/>
          <w:szCs w:val="18"/>
          <w:color w:val="auto"/>
        </w:rPr>
        <w:t>As we seek to continue to expand and strengthen our international operations, we may experience difficulty in growing our sales in certain new markets and other international markets in which we are attempting to increase our presence due to, among other things, customer acceptance, undeveloped and/or unfamiliar distribution channels, regulatory restrictions and changes, and business knowledge of these markets.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respect to China, may adversely impact our business and operating results.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proposals are made to significantly change existing trade agreements and relationships between the U.S. and other countries. In recent years, the U.S. government has implemented substantial changes to U.S. trade policies, including import restrictions, increased import tariffs and changes in U.S. participation in multilateral trade agreements, such as the United States-Mexico-Canada Agreement to replace the former North American Free Trade Agreement.</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ongoing global economic competition and trade tensions between the U.S. and China has resulted in the U.S. government assessing supplemental tariffs on certain goods imported from China and China’s assessment of retaliatory tariffs on certain imports of U.S. goods into China. It is unknown whether and to what extent new tariffs, export controls, or other new laws or regulations will be adopted, or the effect that any such actions would have on us or our industry. For example, the recently proposed BIOSECURE Act targets U.S. government contracts, grants, and loans for entities that use equipment and services from certain named Chinese biotech companies, and authorize the U.S. government to name additional Chinese biotechnology companies of concern. If the bill becomes law, or similar laws are passed, they would have the potential to severely restrict the ability of companies to work with certain Chinese biotechnology companies of concern without losing the ability to contract with, or otherwise receive funding from, the U.S. government.</w:t>
      </w:r>
    </w:p>
    <w:p>
      <w:pPr>
        <w:spacing w:after="0" w:line="6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Owing to the complex relationships between the U.S. and such other countries, political, diplomatic, military, or other events could result in business disruptions, including increased regulatory enforcement against companies, tariffs, trade embargoes, capital controls, export restrictions and the termination or modification of existing trade agreements. The imposition of such restrictions could increase the cost of the Company’s products and the components and raw materials that go into making them, require the Company to change its operations and the products it offers and negatively impact consumer confidence and spending, all of which, both individually and in the aggregate, could materially and adversely affect our business, results of operations and financial condition.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and foreign currency hedges could adversely affect our financial results.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 significant revenues outside the U.S. in multiple foreign currencies,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Since we have operations based outside the U.S. and we generate revenues and incur operating expenses in multiple foreign currencies, we experience currency exchange risk with respect to those foreign currency-denominated revenues and expenses. Our most significant currency exchange risk relates to transactions conducted in Australian dollars, British pounds, Canadian dollars, Chinese yuan, Euros, Japanese yen, and Swiss francs.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cannot predict the consolidated effects of exchange rate fluctuations upon our future operating results because of the number of currencies involved, the variability of currency exposure and the potential volatility of currency exchange rates. 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w:t>
      </w:r>
      <w:r>
        <w:rPr>
          <w:rFonts w:ascii="Times New Roman" w:cs="Times New Roman" w:eastAsia="Times New Roman" w:hAnsi="Times New Roman"/>
          <w:sz w:val="18"/>
          <w:szCs w:val="18"/>
          <w:i w:val="1"/>
          <w:iCs w:val="1"/>
          <w:color w:val="auto"/>
        </w:rPr>
        <w:t>Note 6. Derivative Instruments</w:t>
      </w:r>
      <w:r>
        <w:rPr>
          <w:rFonts w:ascii="Times New Roman" w:cs="Times New Roman" w:eastAsia="Times New Roman" w:hAnsi="Times New Roman"/>
          <w:sz w:val="18"/>
          <w:szCs w:val="18"/>
          <w:color w:val="auto"/>
        </w:rPr>
        <w:t xml:space="preserve"> to the Notes to Consolidated Financial Statements (Part IV, Item 15 of this Annual Report on Form 10-K).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financial results could be adversely affected by impairments or other charges.</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flows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Item 7 “Management’s Discussion and Analysis of Financial Condition and Results of Operations - Critical Accounting Estimates” of this Annual Report on Form 10-K, and </w:t>
      </w:r>
      <w:r>
        <w:rPr>
          <w:rFonts w:ascii="Times New Roman" w:cs="Times New Roman" w:eastAsia="Times New Roman" w:hAnsi="Times New Roman"/>
          <w:sz w:val="17"/>
          <w:szCs w:val="17"/>
          <w:i w:val="1"/>
          <w:iCs w:val="1"/>
          <w:color w:val="auto"/>
        </w:rPr>
        <w:t>Note 7. Goodwill and Other Intangibles</w:t>
      </w:r>
      <w:r>
        <w:rPr>
          <w:rFonts w:ascii="Times New Roman" w:cs="Times New Roman" w:eastAsia="Times New Roman" w:hAnsi="Times New Roman"/>
          <w:sz w:val="17"/>
          <w:szCs w:val="17"/>
          <w:color w:val="auto"/>
        </w:rPr>
        <w:t xml:space="preserve"> to the Notes to Consolidated Financial Statements (Part IV, Item 15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4" w:name="page25"/>
    <w:bookmarkEnd w:id="24"/>
    <w:p>
      <w:pPr>
        <w:jc w:val="both"/>
        <w:ind w:right="20"/>
        <w:spacing w:after="0" w:line="305" w:lineRule="auto"/>
        <w:rPr>
          <w:sz w:val="20"/>
          <w:szCs w:val="20"/>
          <w:color w:val="auto"/>
        </w:rPr>
      </w:pPr>
      <w:r>
        <w:rPr>
          <w:rFonts w:ascii="Times New Roman" w:cs="Times New Roman" w:eastAsia="Times New Roman" w:hAnsi="Times New Roman"/>
          <w:sz w:val="17"/>
          <w:szCs w:val="17"/>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w:t>
      </w:r>
    </w:p>
    <w:p>
      <w:pPr>
        <w:spacing w:after="0" w:line="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Also, Company decisions and other economic factors relating to our trade names may occur over time. For instance,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Market acceptance of our products depends on many factors, including our ability to convince prospective customers that our technology is an attractive alternative to other technologies, to manufacture products in sufficient quantities and at acceptable costs, and to supply and service sufficient quantities of our products directly or through our distribution alliances. For example, the use of autograft tissue is a well-established means for repairing the dermis, and it competes for acceptance in the market with our collagen-based wound care products. In addition, unfavorable payment amounts or adverse coverage determinations of private and public health insurers, such as Medicare and Medicaid, and foreign governmental health systems, regarding our products or third-party determinations that favor a competitor’s product over ours, could harm acceptance or continued use of our products. For example, greater market acceptance of our wound graft products may ultimately depend on our ability to demonstrate that coverage and reimbursement are available and favorable, or because they are an attractive, cost-effective alternative to other treatment options.</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there are negative events in the healthcare industry, whether real or perceived, there could be a negative impact on the industry as a whole. The industry is subject to rapid and continuous change arising from, among other things, consolidation, technological improvements, the pressure on governments, third-party payors and providers to reduce healthcare costs, and healthcare reform legislation and initiatives domestically and internationally. In addition, our future success depends, in part, on our ability to license and develop additional products. Even if we determine that a product candidate has medical benefits, the cost of commercializing, either through internal development or payments associated with licensing arrangements, could be too high to justify development and we could ultimately face competitors with more effective products and better reimbursement status that cost less and are ready for commercial introduction before our products. If we are unable to develop additional commercially viable products, our future prospects could be materially and adversely affected.</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One or more of these factors could vary unpredictably, and such variations could have a material, adverse effect on our competitive position. We may not be able to adjust our contemplated plan of development to meet changing market demands.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could be difficult to replace some of our suppliers.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sell:</w:t>
      </w:r>
    </w:p>
    <w:p>
      <w:pPr>
        <w:spacing w:after="0" w:line="78" w:lineRule="exact"/>
        <w:rPr>
          <w:sz w:val="20"/>
          <w:szCs w:val="20"/>
          <w:color w:val="auto"/>
        </w:rPr>
      </w:pPr>
    </w:p>
    <w:p>
      <w:pPr>
        <w:ind w:left="640" w:hanging="315"/>
        <w:spacing w:after="0" w:line="22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collagen-based products and bovine-based products, such as the Integra Dermal Regeneration Template and wound matrix products, the DuraGen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family of products, our Absorbable Collagen Sponges, PriMatrix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SurgiMend products;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made from silicone, such as our neurosurgical shunts and drainage systems and hemodynamic shunts;</w:t>
      </w:r>
    </w:p>
    <w:p>
      <w:pPr>
        <w:spacing w:after="0" w:line="4"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which use many different specialty parts, electrical components, or chemicals from numerous suppliers, such as our intracranial monitors, shunts, catheters, tissue ablation, and headlights;</w:t>
      </w: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biosynthetic products, including the DuraSeal sealant system and DuraSorb biosynthetic mesh scaffold;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which are amniotic tissue-based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which are porcine tissue-based;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use medical grade leptospermum honey, such as our Medihoney products;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5" w:name="page26"/>
    <w:bookmarkEnd w:id="25"/>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TCC-EZ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total contact cast system products.</w:t>
      </w:r>
    </w:p>
    <w:p>
      <w:pPr>
        <w:spacing w:after="0" w:line="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availability of amniotic tissue-based products depends upon, among other factors, the availability of tissue from human donors. Access to donated amniotic tissue could also be adversely impacted by regulatory changes or evolving public perceptions of the donor process.</w:t>
      </w:r>
    </w:p>
    <w:p>
      <w:pPr>
        <w:spacing w:after="0" w:line="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Additionally, many of our products require sterilization by third-party suppliers. To the extent these suppliers are unable to provide sterilization services, whether due to lack of capacity, regulatory requirements, environmental concerns such as those relating to ethylene oxide or otherwise, we may be unable to transition sterilization to other suppliers in a timely or cost-effective manner, or at all, which could have an adverse impact on our operating results. For example, there is increased focus on the use and emission of ethylene oxide by the EPA and state environmental regulatory agencies. Additional regulatory requirements associated with the use and emission of ethylene oxide for sterilization may be imposed in the future, both domestically and outside the U.S. This increased regulation has required certain of the sterilization suppliers we use to temporarily suspend operations and it is possible that additional sterilization suppliers we use might also have to suspend operations, install additional emissions control technology, limit the use of ethylene oxide or take other actions, which would impact or further reduce the available capacity to sterilize medical devices and healthcare products. Although Integra has business continuity plans in place to mitigate the impact of any such disruptions, these plans may not be able to fully offset the full impact of such regulations.</w:t>
      </w:r>
    </w:p>
    <w:p>
      <w:pPr>
        <w:spacing w:after="0" w:line="6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Our supply chain and our cost of goods also may be negatively impacted by unanticipated price increases due to factors such as global economic disruptions, electronic component shortages, trade wars, inflation, including wage inflation, recessionary conditions and geopolitical events, including the war in Ukraine, the conflicts in the Middle East involving Israel and fear of future or ongoing pandemics, all of which are beyond our control or the control of our suppliers.</w:t>
      </w:r>
    </w:p>
    <w:p>
      <w:pPr>
        <w:spacing w:after="0" w:line="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difficulties, delays, performance impact or unexpected costs from consolidation of facilities and transfer of manufacturing facilities.</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recent years, we consolidated several facilities or transferred manufacturing operations from third parties to our existing internal manufacturing facilities and may further undertake similar consolidations or transfers in the future in order to improve our cost structure, achieve increased operating efficiencies, and improve our competitive standing or results of operations and/or to address unfavorable economic conditions. For example, in the second quarter of 2024, the Company announced its plans to operationalize its Braintree, Massachusetts manufacturing facility (the “Braintree facility”) by the first half of 2026 and to transition the restart of the manufacture of PriMatrix and SurgiMend to the Braintree facility rather than attempt to restart the manufacture of these products at the Company’s Boston, Massachusetts manufacturing facility (the “Boston facility”). As part of these initiatives, we may also lose favorable tax incentives or not be able to renew leases on acceptable terms. We may further reduce staff, make changes to certain capital projects, close certain production operations and abandon leases for certain facilities that will not be used in our operations. In conjunction with any actions, we will continue to make significant investments and build the framework for our future growth. We may not realize, in 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7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any of our facilities or those of our suppliers were damaged and/or our manufacturing or business processes interrupted, we could experience lost revenues and our business could be seriously harmed.</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Damage to our manufacturing, distribution, development and/or research facilities because of fire, extreme weather conditions, natural disaster, power loss, communications failure, geopolitical disruption, unauthorized entry or other events, such as a flu or other health epidemic, could significantly disrupt our operations, the operations of suppliers and critical infrastructure and delay or prevent product manufacture and shipment during the time required to repair, rebuild or replace the damaged facilities. Certain of our manufacturing facilities are located in Puerto Rico, which in the past has experienced both severe hurricanes and other natural disasters. Climate change may increase both the frequency and severity of extreme weather conditions and natural disasters and, consequently, risks to our operations and growth.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8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Global supply constraints have and may continue to adversely affect our ability to meet customer demand, and increase our costs to manufacture, transport and warehouse a certain subset of our products. In addition, global supply constraints have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6" w:name="page27"/>
    <w:bookmarkEnd w:id="26"/>
    <w:p>
      <w:pPr>
        <w:jc w:val="both"/>
        <w:spacing w:after="0" w:line="260" w:lineRule="auto"/>
        <w:rPr>
          <w:sz w:val="20"/>
          <w:szCs w:val="20"/>
          <w:color w:val="auto"/>
        </w:rPr>
      </w:pPr>
      <w:r>
        <w:rPr>
          <w:rFonts w:ascii="Times New Roman" w:cs="Times New Roman" w:eastAsia="Times New Roman" w:hAnsi="Times New Roman"/>
          <w:sz w:val="18"/>
          <w:szCs w:val="18"/>
          <w:color w:val="auto"/>
        </w:rPr>
        <w:t>resulted in increases to the costs of production of certain of our products that we may not be able to pass on to our customers. We expect these factors will continue to impact us in the future and obtaining alternative sources of raw materials and components could involve significant costs and regulatory challenges and may not be available to us on commercially reasonable terms, if at all.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significant product liability exposure and our insurance may not cover all potential claims.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product liability and other claims if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Economic and political instability around the world could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Economic and political instability around the world could adversely affect the ability of hospitals and other customers to access funds to enable them to fund their operating and capital budgets. As a result, hospitals and other customers could reduce budgets or put all or part of their budgets on hold or close their operations, which could have a negative effect on our sales, particularly the sales of capital equipment such as our ultrasonic surgical aspirators, neuro monitors and cranial stabilization products, or result in a reduction in elective and non-reimbursed procedures. The occurrence of those economic conditions could make it more difficult for us to accurately forecast and plan our future business activities and depending on their severity, could have a material, adverse effect on our business, financial condition and results of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private label product lines depend significantly on key relationships with third parties, which we could be unable to establish and maintain.</w:t>
      </w:r>
    </w:p>
    <w:p>
      <w:pPr>
        <w:spacing w:after="0" w:line="116" w:lineRule="exact"/>
        <w:rPr>
          <w:sz w:val="20"/>
          <w:szCs w:val="20"/>
          <w:color w:val="auto"/>
        </w:rPr>
      </w:pPr>
    </w:p>
    <w:p>
      <w:pPr>
        <w:jc w:val="both"/>
        <w:ind w:right="200"/>
        <w:spacing w:after="0" w:line="283" w:lineRule="auto"/>
        <w:rPr>
          <w:sz w:val="20"/>
          <w:szCs w:val="20"/>
          <w:color w:val="auto"/>
        </w:rPr>
      </w:pPr>
      <w:r>
        <w:rPr>
          <w:rFonts w:ascii="Times New Roman" w:cs="Times New Roman" w:eastAsia="Times New Roman" w:hAnsi="Times New Roman"/>
          <w:sz w:val="17"/>
          <w:szCs w:val="17"/>
          <w:color w:val="auto"/>
        </w:rPr>
        <w:t>Our private label business depends in part on entering into and maintaining long-term supply agreements with third parties. The third parties with whom we have entered into agreements might terminate these agreements for a variety of reasons, including developing other sources for the products that we supply. The diminution or termination of our most important relationships could adversely affect our expectations for the growth of private label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ENVIRONMENT</w:t>
      </w:r>
    </w:p>
    <w:p>
      <w:pPr>
        <w:spacing w:after="0" w:line="11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domestic and foreign medical device regulations and oversight and any adverse action may adversely affect our ability to compete in the marketplace and our financial condition and business operations.</w:t>
      </w:r>
    </w:p>
    <w:p>
      <w:pPr>
        <w:spacing w:after="0" w:line="4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medical devices and technologies, development activities and manufacturing processes are subject to extensive and rigorous regulation by numerous government agencies, including the FDA and comparable foreign agencies, as discussed in “Part 1, Item 1. Business – Government Regulation” of this Annual Report on Form 10-K. To varying degrees, each of these agencies monitors and enforces our compliance with laws and regulations governing the development, testing, manufacturing, labeling, marketing and distribution of our medical devices. We are also subject to regulations that may apply to certain of our products that are Drug/Device Combination products or are considered to be subject to pharmaceutical regulations outside the U.S. Before a new medical device, or a new use of an existing product can be marketed in the United States, it must first receive either premarket clearance under Section 510(k) of the FD&amp;C Act, a grant of a request for de novo classification, or a PMA from the FDA, unless an exemption applies. The process of obtaining marketing approval or clearance from the FDA and comparable foreign regulatory agencies for new products, or for enhancements or modifications to existing products could be costly, time consuming and burdensome, may be impacted by failed clinical trials or weakened clinical evidence, involve modifications, repairs or replacements of our products and result in limitations on the indicated use of our products, which may negatively impact our ability to market our products and services, result in delays or prevent full commercial realization of future products or service. Furthermore, failure to obtain timely approvals, certifications or renewals may result in penalties and fines. Additional regulations govern the approval, initiation, conduct, monitoring, documentation and reporting of clinical studies to regulatory agencies in the countries or regions in which they are conducted. Failure to comply, could subject us to significant enforcement actions and sanctions, including halting the study, rejection of data generated in the study, seizure of investigational devices or data, sanctions against investigators, civil or criminal penalties, and other actions. In addition, without the data from one or more clinical studies, it may not be possible for us to secure the data necessary to support certain regulatory submissions, to secure reimbursement or demonstrate other requirements. We cannot assure that access to clinical investigators, sites and subjects, documentation and data will be available on the terms and timeframes necessary. We also cannot predict the likelihood, nature or extent of government regulation that may arise from future legislation or administrative or executive action, either in the United States or abroad. Further, changes or shortages in FDA staffing resulting from the change in the federal administration could result in delays in the FDA’s responsiveness or in its ability to review submissions or applications, issue regulations or guidance, or implement or enforce regulatory requirements in a timely fashion or at all, which could negatively impact our business.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7" w:name="page28"/>
    <w:bookmarkEnd w:id="27"/>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extensive complex regulatory requirements by domestic and foreign government agencies and any failure to comply with our ongoing responsibilities under their applicable laws and regulations could result in a material adverse impact on our business. Failure to comply with applicable regulations could result in future product recalls, injunctions preventing the shipment of products or other enforcement actions that could have a material adverse effect on our business. In addition, the FDA has taken the position that device manufacturers are prohibited from promoting their products other than for the uses and indications set forth in the cleared or approved product labeling, and any failure to comply could subject us to significant civil or criminal exposure, administrative obligations and costs, and/or other potential penalties from, and/or agreements with, the federal government. Similar restrictions exist in many other countries where we do business, included EEA.</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also are subject to the EU MDR, which was adopted by the EU as a common legal framework for all EU Member States (and also applies to Norway, Iceland and Liechtenstein). The EU MDR became applicable on May 26, 2021, repealing the EU MDD. The EU MDR sets out certain transitional provisions that allow for medical devices covered by the repealed EU MDD (called “legacy devices”) to still be marketed in the EEA for a certain period of time. Most Class I medical devices had to comply with the EU MDR from May 26, 2021. However, the European Commission has recently extended the transition periods to December 31, 2027, for high-risk legacy devices (all Class III devices, and Class IIb implantable devices except sutures, staples, dental fillings, dental braces, tooth crowns, screws, wedges, plates, wires, pins, clips and connectors) and to December 31, 2028 for medium and low-risk devices (other Class IIb devices, Class IIa devices, and Class I devices placed on the market in sterile condition or having a measuring function).</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EU MDR, companies that wish to manufacture and distribute medical devices in EEA must meet certain quality system, performance and safety requirements as well as ongoing product monitoring responsibilities. Companies must also affix a “CE” marking to their products. The right to affix the “CE” marking requires that the manufacturer has previously undergone a conformity assessment procedure for the relevant medical devices, in most cases involving a Notified Body (an organization accredited by the competent authority of an EEA country to conduct conformity assessments). Complying with the requirements of these regulations may require us to incur significant expenditures. Expenditures for EU MDR compliance activities amounted to $44.6 million for the year ended December 31, 2024 and we anticipate incurring additional expenditures in connection with our on-going efforts to obtain certification for our products under the EU MDR. Various penalties exist for non-compliance with the requirements of the EU MDR and the related laws of EEA countries which, if incurred, could have a material adverse impact on our business, results of operations and cash flows.</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Further, the regulatory environment in China continues to evolve, and officials in the Chinese government exercise broad discretion in deciding how to interpret and apply regulations. It is possible that the Chinese government's current or future interpretation and application of existing or new regulations will negatively impact our China operations, result in regulatory investigations or lead to fines or penalties.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Should we delay or fail to comply with one or more of the regulatory requirements we could have reduced sales, increased costs, delays to new product introductions, enhancements or our strategic plans, or harm to our reputation or competitiveness, which could have a material adverse effect on our business and financial results.</w:t>
      </w:r>
    </w:p>
    <w:p>
      <w:pPr>
        <w:spacing w:after="0" w:line="5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addition, maintaining compliance with multiple regulators, and multiple centers within the FDA, adds complexity and cost to our manufacturing processes. Our manufacturing facilities and those of our contract manufacturers are subject to periodic regulatory inspections by the FDA and other regulatory agencies, and these facilities are subject to the FDA's Quality System Regulation and Good Manufacturing Practices. Please refer to “Item 7. Management's Discussion and Analysis of Financial Condition and Results of Operations – FDA Matters" (Part II, Item 7 of this Annual Report on Form 10-K) for more information relating to the warning letter we received from the FDA related to inspection observations of the quality systems at our Boston facility and our remediation efforts and expectations regarding the operationalization of our Braintree facility and the transition of manufacturing activities from the Boston facility to the Braintree facility and the warning letter we received from the FDA in December 2024 (the “December 2024 Warning Letter”) related to quality system issues identified during FDA inspections at three of the Company’s facilities located in Mansfield, Massachusetts, Plainsboro, New Jersey, and Princeton, New Jersey. We or our contractors may fail to satisfy these regulatory requirements in the future, and any failure to do so may prevent us from selling our products. Further, there can be no assurance that the Company will build and operationalize the Braintree facility, transition manufacturing activities to the Braintree facility or realize the anticipated benefits of the Company’s consolidation of its efforts at Braintree on the planned timeline, or at all, which could have a material adverse effect on our business and financial results.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activities may subject us to risks under federal and state laws prohibiting “kickbacks” and false or fraudulent claims.</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subject to laws and regulations that govern the means by which companies in the healthcare industry may market their products to healthcare professionals and may compete by discounting the prices of their products, including for example, the federal AKS, the False Claims Act, HIPAA,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restitution and exclusion from</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8" w:name="page29"/>
    <w:bookmarkEnd w:id="28"/>
    <w:p>
      <w:pPr>
        <w:spacing w:after="0" w:line="259" w:lineRule="auto"/>
        <w:rPr>
          <w:sz w:val="20"/>
          <w:szCs w:val="20"/>
          <w:color w:val="auto"/>
        </w:rPr>
      </w:pPr>
      <w:r>
        <w:rPr>
          <w:rFonts w:ascii="Times New Roman" w:cs="Times New Roman" w:eastAsia="Times New Roman" w:hAnsi="Times New Roman"/>
          <w:sz w:val="18"/>
          <w:szCs w:val="18"/>
          <w:color w:val="auto"/>
        </w:rPr>
        <w:t>participation in federal and state healthcare programs, including Medicare and Medicaid. For a more detailed discussion of these laws, see “Item 1. Business — Government Regulation and Compliance — Other Regulations — Healthcare Fraud and Abuse Laws.”</w:t>
      </w:r>
    </w:p>
    <w:p>
      <w:pPr>
        <w:spacing w:after="0" w:line="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international operations are subject to the provisions of the U.S. FCPA of 1977, which prohibits U.S. companies and their representatives from offering or making improper payments to foreign officials for the purpose of obtaining or retaining business. In many countries, the healthcare professionals we regularly interact with may meet the definition of a foreign official for purposes of the FCPA. Our international operations are also subject to various other international anti-bribery laws such as the UK Anti-Bribery Act. Despite meaningful measures that we undertake to facilitate lawful conduct, which include training and compliance programs and internal policies and procedures, we may not always prevent unauthorized, reckless or criminal acts by our employees or agents, or employees or agents of businesses or operations we may acquire. Violations of these laws, or allegations of such violations, could disrupt our operations, involve significant management distraction and have a material adverse effect on our business, financial condition and results of operations. We also could be subject to adverse publicity, severe penalties, including criminal and civil penalties, disgorgement, further changes or enhancements to our procedures, policies and controls, personnel changes and other remedial actions. Moreover, our failure to comply with domestic or foreign laws could result in various adverse consequences, including possible delay in approval or refusal to approve a product, recalls, seizures, and withdrawal of an approved product from the market.</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sales and marketing practices of our industry have been the subject of increased scrutiny from federal and state government agencies, and we believe that this trend will continue.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 Since these laws, regulations and ultimate enforcement continue to evolve, we cannot predict with certainty, what, if any, impact, changes to them may have on our business or our customers.</w:t>
      </w:r>
    </w:p>
    <w:p>
      <w:pPr>
        <w:spacing w:after="0" w:line="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medical device products are subject to reporting requirements and recalls, even after receiving regulatory clearance, approval or certification, which could harm our reputation, business and financial results.</w:t>
      </w:r>
    </w:p>
    <w:p>
      <w:pPr>
        <w:spacing w:after="0" w:line="4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Both before and after a device is placed on the market, numerous regulatory requirements apply, which require manufacturers to follow, among other things, design, testing, production, control, documentation and other quality assurance procedures during the manufacturing process; labeling regulations, which prohibit the promotion of products for unapproved or “off-label” uses and impose other restrictions on labeling; and medical device reporting regulations that require us to report to FDA or similar governmental bodies in other countries if our products are ineffective or may have caused or contributed to a death or serious injury or malfunction in a way that would be reasonably likely to contribute to death or serious injury if the malfunction were to recur. The FDA and similar governmental bodies in other countries have the authority to require the recall, repair, replacement, or refund of such products, refuse to grant pending pre-market approval applications or require certificates of non-U.S. governments for exports, and/or require us to notify health professionals and others that the devices present unreasonable risks of substantial harm to the public health, and in certain rare circumstances, ban medical devices. We may voluntarily recall a product if a reasonable possibility of serious injury or any material deficiency in a device is found, or withdraw a product to improve device performance or for other reasons. For example, in May 2023, after consultation with the FDA, we initiated a voluntary global recall of all products manufactured in our Boston facility distributed between March 1, 2018 and May 22, 2023. Additionally, in response to Form 483s issued to the Company by the FDA at the conclusion of the FDA’s inspection of three of the Company’s facilities located in Mansfield, Massachusetts, Plainsboro, New Jersey, and Princeton, New Jersey during June and August of 2024, the Company took a number of voluntary actions including the initiation of shipping holds for several products and a voluntary recall of certain disposable cottonoid patties and strips. In July 2024, we announced plans to implement an enterprise-wide CMP, a systematic and holistic approach to improving our quality management system across our manufacturing and supply network. We currently cannot predict with certainty whether we will be able to effectively implement the CMP and realize the benefits contemplated thereby within the anticipated timeframe, or at all. For more information concerning our remediation efforts, including the implementation of the CMP, and our expectations regarding the Company’s plans to build and operationalize the Braintree manufacturing facility and to transition manufacturing activities from the Boston facility to the Braintree facility and respond to the December 2024 Warning Letter, please see "Item 7. Management's Discussion and Analysis of Financial Condition and Results of Operations - FDA Matters" in this Annual Report on Form 10-K.</w:t>
      </w:r>
    </w:p>
    <w:p>
      <w:pPr>
        <w:spacing w:after="0" w:line="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Recalls of any of our products may divert managerial and financial resources and have an adverse effect on our financial condition and results of operations and cash flows. A recall could harm our reputation with customers and consumers which could reduce the sales of our products. In addition, the FDA or other foreign governmental agencies may implement enforcement actions Any adverse regulatory action, depending on its magnitude, may restrict us from effectively marketing and selling our products and limit our ability to obtain future pre-market clearances or approvals, and could result in a substantial modification to our business practices and operations.</w:t>
      </w:r>
    </w:p>
    <w:p>
      <w:pPr>
        <w:spacing w:after="0" w:line="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adoption of healthcare reform in the U.S. and initiatives sponsored by other governments may adversely affect our business, results of operations and/or financial condition.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9" w:name="page30"/>
    <w:bookmarkEnd w:id="29"/>
    <w:p>
      <w:pPr>
        <w:jc w:val="both"/>
        <w:spacing w:after="0" w:line="249" w:lineRule="auto"/>
        <w:rPr>
          <w:sz w:val="20"/>
          <w:szCs w:val="20"/>
          <w:color w:val="auto"/>
        </w:rPr>
      </w:pPr>
      <w:r>
        <w:rPr>
          <w:rFonts w:ascii="Times New Roman" w:cs="Times New Roman" w:eastAsia="Times New Roman" w:hAnsi="Times New Roman"/>
          <w:sz w:val="18"/>
          <w:szCs w:val="18"/>
          <w:color w:val="auto"/>
        </w:rPr>
        <w:t>Our operations may be substantially affected by potential fundamental changes in the global political, economic and regulatory landscape of the healthcare industry. Government and private sector initiatives to limit the growth of healthcare costs are continuing in the U.S., and in many other countries in which we do business, causing the marketplace to put increased emphasis on the delivery of more cost-effective treatments. These initiatives include price regulation, competitive pricing, coverage and payment policies, comparative effectiveness of therapies, technology assessments and managed-care arrangements. For example, Congress also drafts and introduces, from time to time, legislation that could significantly change the statutory provisions governing the regulation of medical devices.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The adoption of some or all of these initiatives could have a material, adverse effect on our financial condition and results of operations.</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cannot predict what impact ongoing uncertainty regarding federal and state health reform proposals, instability of the insurance markets, changes in the U.S. administration, laws and policies, an expansion in government’s role in and/or additional proposals and/or changes to the U.S. health care system will have on our customer’s purchasing decisions and/or reimbursement which could have a material adverse effect on our business. We expect that additional state and federal and foreign health care reform measures will be adopted in the future, including those initiatives affecting coverage and reimbursement for our products, any of which could limit the amounts that federal and state governments will pay for health care products and services, which could adversely affect the growth of the market for our products or demand for our products, or result in additional pricing pressures. We cannot predict the ultimate content, timing or effect of any healthcare reform legislation or policies or the impact on us. We continue to monitor the implementation of such legislation and, to the extent new market or industry trends or new governmental programs evolve, we will consider implementing or implement programs in response.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products contain materials derived from animal sources and may become subject to additional regulation.</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of our products are derived from bovine or porcine tissue sources. As a result, we may experience difficulties in processing and producing our bovine and porcine tissue products at scale, including problems related to yields, quality control and assurance, tissue availability, adequacy of control policies and procedures and availability of skilled personnel.</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 respect to bovine, among other products, our dermal regeneration products, duraplasty products, wound care products, bone void fillers, nerve and tendon repair products and certain other products, contain material derived from bovine tissue. In 2024, 25.67% of our revenues derived from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The World Organization for Animal Health recognizes the U.S. as having a negligible risk for BSE, which is the highest status available.</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take care to provide that our products are safe and free of agents that can cause disease. In particular, we qualified a source of collagen from a country outside the U.S. that is considered BSE/TSE-free. The World Health Organization classifies different types of bovine tissue for relative risk of BSE transmission. Deep flexor tendon and bovine fetal skin, which are used in our products, are in the lowest-risk categories for BSE transmission and are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regulations, or a ban of our products, could have a material, adverse effect on our current business or our ability to expand our business.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U.S. and purchase tendon from the U.S. and New Zealand. New Zealand has never had a case of BSE. We received approval in the U.S., the EU, Japan, Taiwan, China, Argentina as well as other countries for the use of New Zealand-sourced tendon in the manufacturing of our products. If we cannot continue to use or qualify a source of tendon from New Zealand or another country that has never had a case of BSE, we could be prohibited from selling our collagen products in certain countries.</w:t>
      </w:r>
    </w:p>
    <w:p>
      <w:pPr>
        <w:spacing w:after="0" w:line="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current and potential future requirements relating to protection of the environment, such as hazardous materials regulations, which may impose significant compliance or other costs on us.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0" w:name="page31"/>
    <w:bookmarkEnd w:id="30"/>
    <w:p>
      <w:pPr>
        <w:jc w:val="both"/>
        <w:spacing w:after="0" w:line="251" w:lineRule="auto"/>
        <w:rPr>
          <w:sz w:val="20"/>
          <w:szCs w:val="20"/>
          <w:color w:val="auto"/>
        </w:rPr>
      </w:pPr>
      <w:r>
        <w:rPr>
          <w:rFonts w:ascii="Times New Roman" w:cs="Times New Roman" w:eastAsia="Times New Roman" w:hAnsi="Times New Roman"/>
          <w:sz w:val="18"/>
          <w:szCs w:val="18"/>
          <w:color w:val="auto"/>
        </w:rPr>
        <w:t>Certain of our processes in manufacturing and research and development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transportation, handling, treatment, remediation, and disposal of hazardous materials and certain waste products (“Environmental, Health, Safety and Transportation Laws”). Although we believe that our procedures for handling, transporting, and disposing of hazardous materials comply with the Environmental, Health, Safety and Transportation Laws, such laws may be amended in ways that increase our cost of compliance, perhaps materially.</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potential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and could have a material impact on our operations and cash flows. We may not be able to maintain insurance on acceptable terms or at all.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are subject to risks related to climate change.</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long-term effects of global climate change present both physical risks (from the increased frequency of extreme weather conditions or natural disasters) and transition risks (from regulatory requirements or technology changes). Such extreme weather conditions could pose physical risks to our facilities and disrupt operation of our supply chain and may impact operational costs. Concern over global climate change could result in new legal or regulatory requirements designed to mitigate the effects of climate change on the environment. If such laws or regulations are more stringent than current legal or regulatory requirements, we may experience increased compliance burdens and costs to meet the regulatory obligations and such measures may interrupt our operations or the operations of our suppliers, potentially leading to higher costs, and therefore negatively impact our results of operations.</w:t>
      </w:r>
    </w:p>
    <w:p>
      <w:pPr>
        <w:spacing w:after="0" w:line="7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corporate governance (ESG) issues, including those related to climate change and sustainability, may have an adverse effect on our business, financial condition and results of operations and damage our reputation.</w:t>
      </w:r>
    </w:p>
    <w:p>
      <w:pPr>
        <w:spacing w:after="0" w:line="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There is an increasing focus from certain investors, customers, consumers, employees and other stakeholders concerning ESG matters. Additionally, public interest and legislative pressure related to public companies’ ESG practices continue to grow. While we may create and publish voluntary disclosures regarding ESG matters from time to time,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In addition, collecting, measuring and reporting environmental data is subject to evolving reporting standards, including the SEC’s climate-related reporting requirements, if such reporting requirements survive pending judicial review, California’s disclosure requirements and similar regulations established by other international regulatory bodies, such as the Corporate Sustainability Reporting Directive in the European Union. In addition, a number of our customers who are payors or distributors have adopted, or may adopt, procurement policies that include environmental provisions applicable to us. If we do not adapt to or comply with new regulations, or fail to meet evolving investor, industry or stakeholder expectations and concerns regarding ESG issues, we may incur increased compliance costs, investors may reconsider their capital investment in our Company, and customers may choose to stop purchasing our products, which could have a material adverse effect on our reputation, business or financial condition.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retain our key personnel and attract and retain other highly skilled employees, our business could suffer.</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we fail to recruit, develop and retain the necessary personnel, our business and our ability to obtain new customers, develop new products, provide acceptable levels of customer service and achieve our research and development, operational or strategic or business objectives could suffer. The success of our business is heavily dependent on the leadership of our key management personnel. Our success also depends on our ability to recruit, develop and retain and motivate highly skilled sales, marketing, manufacturing, quality, regulatory and scientific personnel. Competition for these persons in our industry is intense, and we may not be able to successfully recruit, train or retain qualified personnel. In addition, we recognize that attracting, retaining and developing a diverse workforce is a critical success factor for our business. In that regard, we are continuously facing significant competition in our markets and at all levels in the workforce. We also continue to face the challenges of maintaining employee well-being, recognizing that the continued additional financial, family and health burdens that many employees may be experiencing due to macroeconomic uncertainties, including inflation, and other factors, may adversely impact job performance, employee engagement and employee retention. Additionally, in our industry, there is substantial competition for key personnel in the regions in which we operate and plan to expand our business. Labor shortages and competition for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qualified personnel, particularly as employees are increasingly able to work remotely, could cause disruptions in our business operations. Also, facilitating seamless leadership transitions for key positions is a critical factor in sustaining the success of our organization. If we fail to effectively manage any organizational and/or strategic changes, our financial condition, results of operations, and reputation, as well as our ability to successfully attract, motivate and retain key employees, could be harmed.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 AND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additional tax liabilities.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income taxes in the U.S. and many foreign jurisdictions and are commonly audited by various tax authorities. In the ordinary course of our business, there are many transactions and calculations where the ultimate tax determination is uncertain. Significant judgment is required in determining our worldwide provision for income taxes. Although we believe that our tax estimates are reasonable, tax authorities may disagree with certain positions we have taken, and the final determination of tax audits and any related litigation could be materially different from our historical income tax provisions and accruals. In addition, economic and political pressures to increase tax revenue in various jurisdictions may make resolving tax disputes favorably more difficult. The results of an audit or litigation could have a material, adverse effect on our financial statements in the period or periods for which that determination is made and could result in the imposition of fines and penalties.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exposures to additional tax liabilities could negatively impact the Company's operating results.</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are subject to income taxes, as well as taxes that are not income-based, in both the U.S. and many foreign jurisdictions. Taxes could significantly increase due to changes in tax laws or changes in our interpretation of those laws. For example, several countries, including the United States and other members of the Organization for Economic Cooperation and Development (“OECD”) have reached agreement on a global minimum tax initiative (“Pillar Two”). Other OECD countries are also actively considering changes to existing tax laws or have proposed new laws to align with the recommendations and guidelines proposed by the OECD, including Pillar Two. Enactment of such tax laws could increase our tax obligations in countries where we do business or cause us to change the way we operate our business. Beginning in 2024, Pillar Two is in effect in some of the jurisdictions in which we operate. The Pillar Two impact on 2024 was immaterial. However, we cannot provide any assurance that there will not be a material impact to our effective tax rate because of these developments and evolving tax legislation in 2025 and beyond. Taxes could also significantly increase due to changes in accounting guidance. Our future effective tax rate could be unfavorably affected by numerous factors including a change in, or the interpretation of, tax rules and regulations in the jurisdictions in which we operate (including changes in legislation currently being considered), the expiration of or disputes about certain tax agreements in a particular jurisdiction, a change in our geographic earnings mix, and/or to the jurisdictions in which we operate, or a change in the measurement of our deferred taxes.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leverage and debt service obligations could adversely affect our business.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leverage and debt service obligations could adversely affect our business. As of December 31, 2024, our total consolidated external debt was approximately $1.8 billion (See Item 7. Management's Discussion and Analysis of Financial Condition and Results of Operations and </w:t>
      </w:r>
      <w:r>
        <w:rPr>
          <w:rFonts w:ascii="Times New Roman" w:cs="Times New Roman" w:eastAsia="Times New Roman" w:hAnsi="Times New Roman"/>
          <w:sz w:val="18"/>
          <w:szCs w:val="18"/>
          <w:i w:val="1"/>
          <w:iCs w:val="1"/>
          <w:color w:val="auto"/>
        </w:rPr>
        <w:t>Note 5. Debt</w:t>
      </w:r>
      <w:r>
        <w:rPr>
          <w:rFonts w:ascii="Times New Roman" w:cs="Times New Roman" w:eastAsia="Times New Roman" w:hAnsi="Times New Roman"/>
          <w:sz w:val="18"/>
          <w:szCs w:val="18"/>
          <w:color w:val="auto"/>
        </w:rPr>
        <w:t>, to the Notes to Consolidated Financial Statements (Part IV, Item 15 of this Annual Report on Form 10-K) for a discussion of our consolidated external debt). We may also incur additional indebtedness in the future. Our substantial indebtedness could have material, adverse consequences, including:</w:t>
      </w:r>
    </w:p>
    <w:p>
      <w:pPr>
        <w:spacing w:after="0" w:line="77" w:lineRule="exact"/>
        <w:rPr>
          <w:sz w:val="20"/>
          <w:szCs w:val="20"/>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financial obligations;</w:t>
      </w:r>
    </w:p>
    <w:p>
      <w:pPr>
        <w:spacing w:after="0" w:line="24" w:lineRule="exact"/>
        <w:rPr>
          <w:rFonts w:ascii="Times New Roman" w:cs="Times New Roman" w:eastAsia="Times New Roman" w:hAnsi="Times New Roman"/>
          <w:sz w:val="18"/>
          <w:szCs w:val="18"/>
          <w:color w:val="auto"/>
        </w:rPr>
      </w:pPr>
    </w:p>
    <w:p>
      <w:pPr>
        <w:ind w:left="640" w:right="160" w:hanging="315"/>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regulatory and industry conditions, and placing us at a disadvantage compared to our competitors that are less leveraged;</w:t>
      </w: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compete and our flexibility in planning for, or reacting to, changes in our business and the industry in which we operate;</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for working capital, capital expenditures, acquisitions and general corporate or other purposes;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greater interest rate risk and volatility.</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debt service obligations will require us to use a portion of our operating cash flow to pay interest and principal on indebtedness instead of for other corporate purposes, including funding future expansion of our business, acquisitions, and ongoing capital expenditures, which could impede our growth. In addition, the Convertible Senior Notes due 2025 (the “2025 Notes”) will mature in August 2025, unless earlier converted, redeemed, or repurchased. Our ability to comply with, renegotiate or extend the Company’s debt obligations will depend on various factors, including the accessibility of the capital markets and our operating and financial performance, which, in turn, is subject to prevailing economic conditions and financial, business and other factors beyond our control. Any disruptions in our operations, the financial markets, or the overall economy, may adversely affect the availability and cost of credit to us and/or our ability to comply with our existing obligations.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2" w:name="page33"/>
    <w:bookmarkEnd w:id="32"/>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the approval or rejection of patent applications may take several years and our current and future patent applications may not result in the issuance of patents in the U.S. or foreign countries.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depends, in part, upon unpatented trade secrets, which we may be unable to protect.</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competitive position also depends upon unpatented trade secrets, which are difficult to protect. We cannot assure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relationships with us must be kept confidential. We cannot assure, however, that these agreements will provide meaningful protection for our trade secrets or other proprietary information in the event of the unauthorized use or disclosure of confidential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partly on our ability to operate without infringing or misappropriating the proprietary rights of others.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(which could include a cessation of selling the products in question)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 and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relating to our intellectual property rights and promotional practices, which may be expensive.</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and to protect or enforce our intellectual property rights, we may have to initiate or defend legal proceedings, such as infringement suits or opposition proceedings, against or by third parties. In addition, we may have to institute proceedings regarding our competitors’ promotional practices or defend proceedings regarding our promotional practices. Legal proceedings are costly, and, even if we prevail, the cost of the legal proceedings could affect our profitability and cash flows. In addition, litigation is time-consuming and could divert management's attention and resources away from our business. Moreover, in response to our claims against other parties, those parties could assert counterclaims against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AND DATA PRIVACY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incidents or other disruptions to our information technology systems could adversely affect our business.</w:t>
      </w:r>
    </w:p>
    <w:p>
      <w:pPr>
        <w:spacing w:after="0" w:line="1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are increasingly dependent on sophisticated information technology for our infrastructure and to support business decisions.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expectations regarding protection of patient, customer, and employee information, and changing customer patterns. An experienced third party maintains the enterprise business system used to support our transaction processing, accounting and financial reporting, and supply chain and manufacturing processes. Any significant breakdown, intrusion, interruption, corruption, or destruction of these systems, as well as any other cybersecurity incident, could have a material, adverse effect on our business.</w:t>
      </w:r>
    </w:p>
    <w:p>
      <w:pPr>
        <w:spacing w:after="0" w:line="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Third parties may attempt to compromise our systems and may obtain data relating to patients, proprietary or other sensitive information. We may face increased cybersecurity risks due to our reliance on internet technology and the number of our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employees who are working remotely, which may create additional opportunities for cybercriminals to exploit vulnerabilities. If we, or third parties on whom we rely, fail to maintain or protect our information systems and data integrity effectively, we could lose existing customers, have difficulty attracting new customers, suffer backlash from negative public relations, have regulatory sanctions or penalties imposed, have increases in operating expenses, incur expenses or lose revenues as a result of a data privacy incident (including from class action settlements or awards), or suffer other adverse consequences.</w:t>
      </w:r>
    </w:p>
    <w:p>
      <w:pPr>
        <w:spacing w:after="0" w:line="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have programs, processes (including ongoing improvements) and technologies in place to prevent, detect, contain, respond to and mitigate security related threats and potential incidents. Because the techniques used to obtain unauthorized access or interrupt services change frequently and can be difficult to detect, anticipating, identifying or preventing these threats or mitigating them if and when they occur, may be challenging. We are also dependent on third party vendors to supply and/or support certain aspects of our information technology systems which may contain defects in design or manufacture or other problems that could result in system disruption or unexpectedly compromise the information security of our own systems. In addition, as we grow in part through new acquisitions we may face risks due to implementation, modification, or remediation of controls, procedures, and policies relating to data privacy and cybersecurity at the acquired business that may or may not have been identified as part of due diligence or encounter issues as part of integration. We continue to consolidate and integrate the number of systems we operate, and to upgrade and expand our information system capabilities for stable and secure business operations. Despite our implementation of controls to protect our systems and information, we remain vulnerable to cybersecurity incidents such as theft, misplaced, lost or corrupted data, employee errors and/or malfeasance (including misappropriation by departing employees), ransomware, and evolving attacks such as with the assistance of the use of AI tools or involving open source software vulnerabilities, that could potentially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In addition, a cybersecurity incident could result in other negative consequences, including damage to our reputation or competitiveness, remediation or increased protection costs, litigation or regulatory action.</w:t>
      </w:r>
    </w:p>
    <w:p>
      <w:pPr>
        <w:spacing w:after="0" w:line="8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relating to the confidentiality of sensitive personal information or standards related to the transmission of electronic health data, may require us to make significant changes to our products, or incur penalties or other liabilities</w:t>
      </w:r>
      <w:r>
        <w:rPr>
          <w:rFonts w:ascii="Times New Roman" w:cs="Times New Roman" w:eastAsia="Times New Roman" w:hAnsi="Times New Roman"/>
          <w:sz w:val="18"/>
          <w:szCs w:val="18"/>
          <w:i w:val="1"/>
          <w:iCs w:val="1"/>
          <w:color w:val="auto"/>
        </w:rPr>
        <w:t>.</w:t>
      </w:r>
    </w:p>
    <w:p>
      <w:pPr>
        <w:spacing w:after="0" w:line="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State, federal and foreign laws, such as HIPAA, Section 5 of the FTC Act, or the California Consumer Privacy Act, as amended by the CCPA, and other similar state laws regulate the confidentiality of personal information, including sensitive information and the circumstances under which such information may be released. These measures may govern the disclosure and use of personal and patient medical record information and may require users of such information to implement specified security measures, and to notify individuals in the event of privacy and cybersecurity incidents. Evolving laws and regulations in this area could restrict the ability of our customers to obtain, use or disseminate patient information, or could require us to incur additional costs to re-design our products in a timely manner, either of which could have an adverse impact on our results of operations. Other health information standards, such as regulations under HIPAA and FDA guidance and requirements, establish standards regarding device security, electronic health data transmissions and transaction code set rules for specified electronic transactions, for example transactions involving submission of claims to third-party payors. These standards also continue to evolve and are often unclear and difficult to apply. We have incurred and expect that we will continue to incur costs implementing additional security measures to protect against new or enhanced data security or privacy threats, or to comply with current and new federal, state and international laws governing data privacy and cybersecurity which are continuously being enacted and proposed. Moreover, as a result of the broad scale release and availability of AI technologies such as generative AI, there is a global trend towards more regulation (e.g., the EU AI Act and AI laws passed in U.S. states) to ensure the ethical use, privacy, and security of AI and the data that it processes. Compliance with such laws will likely be an increasing and substantial cost in the future. Outside the U.S., we are also impacted by privacy and data security requirements at the international, national and regional level, and on an industry specific basis. More privacy and cybersecurity laws and regulations are being adopted and enforced, with the potential for financial penalties. The EU GDPR, including as implemented in the UK, applies across the EU and includes, among other things, a requirement for prompt notice of data breaches to data subjects and supervisory authorities in certain circumstances as well as requirements prior to transferring personal data to other jurisdictions. The GDPR also requires companies processing personal data of individuals in the EU to comply with EU data protection rules. The GDPR, and its United Kingdom equivalent, is also influential for a growing number of jurisdictions who have adopted, or contemplated adoption, of similar data protection laws. Failure to maintain the confidentiality of personal data in accordance with the applicable regulatory requirements, or to abide by electronic health data transmission standards, could expose us to breach of contract claims, regulatory fines and penalties, litigation expenses, costs for remediation and harm to our reputation.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the filing of this Annual Report on Form 10-K, we had no unresolved comments from the staff of the SEC that were received not less than 180 days before the end of our 2024 fiscal year.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 and Cybersecurity</w:t>
      </w:r>
    </w:p>
    <w:p>
      <w:pPr>
        <w:spacing w:after="0" w:line="1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business relies on the secure electronic transmission, storage and hosting of information, including personal information, financial information, intellectual property, and other sensitive information related to our business, customers and workforce (“sensitive information”) on both our information systems and those of third-party service providers. Given the importance of cybersecurity to our business, we maintain a comprehensive information technology and cybersecurity program to increase both the effectiveness of our systems and our preparedness for cybersecurity risks, including security monitoring for internal and external threats to bolster the confidentiality, integrity and availability of our information assets. We perform evaluations of our cybersecurity program, including periodic internal and external audits, penetration tests and incident response simulations, and our information technology infrastructure and cybersecurity management system are subject to external program assessments on a regular basis. We refer to the National Institute of Standards and Technology Cybersecurity Framework (“NIST CSF”) to help inform our cybersecurity management system and reduce cybersecurity risks, although we do not fully implement all aspects of NIST CSF.</w:t>
      </w:r>
    </w:p>
    <w:p>
      <w:pPr>
        <w:spacing w:after="0" w:line="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engage multiple independent third-party cybersecurity services and consulting firms to review our cybersecurity program and we collaborate with entities such as the Health Information Sharing and Analysis Center, the Cybersecurity &amp; Infrastructure Security Agency, InfraGard, the Department of Homeland Security, the Cyber Fraud Task Forces and the Center for Internet Security to complement our program and bolster our data protection and privacy efforts. To monitor and minimize the risks from cybersecurity threats associated with our use of third-party service providers, we require the completion of standardized information gathering questionnaires from applicable service providers prior to entering any engagement for services focused on information technology or processing sensitive information. Further, we utilize security ratings from industry-recognized sources to provide an external analysis of such third-party service providers. We work closely with these industry-recognized sources to interpret the security ratings results in the context of the specific characteristics of our information technology and cybersecurity systems, which helps inform our assessment of the efficacy and reliability of the third-party vendors we use. We also conduct periodic internal reviews of the performance and reliability of the third-parties we have engaged for cybersecurity services.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Board Oversight</w:t>
      </w:r>
    </w:p>
    <w:p>
      <w:pPr>
        <w:spacing w:after="0" w:line="1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Board has responsibility for the oversight of risk management at the Company, which includes our process for identifying, assessing and mitigating significant financial, operational, strategic, cybersecurity and other risks that may affect the Company. Our Chief Information Officer, or CIO, leads our cybersecurity program and our Director, Cybersecurity leads our cybersecurity team. Our CIO provides periodic (at least semi-annual) reports relating to cybersecurity matters to the Board, as well as our Chief Executive Officer and other members of our senior management, as appropriate. Our executive leadership team and Board provide principal oversight and guidance of our cybersecurity risk management programs and processes. We have established a cybersecurity executive steering committee to review and discuss cybersecurity issues and review our security metrics. The committee is comprised of a cross-functional group of senior executives, including our Chief Executive Officer, Chief Financial Officer, Chief Legal Officer, Chief Information Officer and Director, Cybersecurity, and is responsible for the implementation and oversight of the processes and systems we use to assess and manage risk from cybersecurity threats as well as cybersecurity incidents. Our CIO and committee members have significant work experience related to cybersecurity issues or oversight and members of our cybersecurity team hold vendor-neutral and vendor-specific certifications from organizations such as the Information Systems Audit and Control Association (“ISACA”), the Computing Technology Industry Association (“CTIA“) and the International Information System Security Certification Consortium (“ISC2”). In addition, we require new employees to complete cybersecurity training so they are better able to understand how to identify, protect, and preserve sensitive data and minimize risks related to cybersecurity matters. We supplement this new hire training with annual training and certification programs, which includes social engineering simulations. We continue to expand and improve our global training programs to raise employee awareness of security obligations and members of senior management regularly provide employees with communications regarding the cybersecurity environment to increase employee awareness of cybersecurity trends and emerging risks.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Processes for Assessing, Identifying and Managing Material Risks from Cybersecurity Threats</w:t>
      </w:r>
    </w:p>
    <w:p>
      <w:pPr>
        <w:spacing w:after="0" w:line="1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monitoring capabilities, including our internal auditing procedures, internal control over financial reporting and corporate compliance programs, are designed in part to inform management about our material risks, including those related to cybersecurity risks. In the event of an incident which jeopardizes the confidentiality, integrity, or availability of our information assets, and our risk management systems, we maintain a regularly tested incident response program. Pursuant to the incident response program and its escalation protocols, designated personnel are responsible for assessing the severity of the incident and associated threat, containing the threat, remediating the threat, including recovery or data and access to systems, analyzing the reporting and disclosure obligations associated with the incident, and performing post-incident analysis and program improvements. Although the particular personnel assigned to an incident response team will depend on the particular facts and circumstances, the team is generally led by the CIO or another member of the cybersecurity executive steering committee and will include other information technology and legal personnel. For incidents that meet certain characteristics under the program,</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5" w:name="page36"/>
    <w:bookmarkEnd w:id="35"/>
    <w:p>
      <w:pPr>
        <w:jc w:val="both"/>
        <w:spacing w:after="0" w:line="259" w:lineRule="auto"/>
        <w:rPr>
          <w:sz w:val="20"/>
          <w:szCs w:val="20"/>
          <w:color w:val="auto"/>
        </w:rPr>
      </w:pPr>
      <w:r>
        <w:rPr>
          <w:rFonts w:ascii="Times New Roman" w:cs="Times New Roman" w:eastAsia="Times New Roman" w:hAnsi="Times New Roman"/>
          <w:sz w:val="18"/>
          <w:szCs w:val="18"/>
          <w:color w:val="auto"/>
        </w:rPr>
        <w:t>the incident response team will escalate and update both the Company’s Board and members of senior management, including the Chief Executive Officer, Chief Financial Officer and Chief Legal Officer.</w:t>
      </w:r>
    </w:p>
    <w:p>
      <w:pPr>
        <w:spacing w:after="0" w:line="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our Board receives regular reports from management on matters relating to strategic and operational initiatives, financial performance, cybersecurity and legal developments. The Company’s Enterprise Risk Management program, which has been adopted by the Company to further enhance oversight of risks inherent to our business and allow members of the Board and management to gain a greater understanding of the efforts being undertaken to manage the risks confronting the Company, covers cybersecurity risks.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support current needs and future growth, we use a strategic information systems multi-year planning process that involves senior management and is integrated into our overall business planning. Information systems projects, including those for cybersecurity, are prioritized based upon strategic, financial, regulatory, risk and other business advantage criteria.</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Risks</w:t>
      </w:r>
    </w:p>
    <w:p>
      <w:pPr>
        <w:spacing w:after="0" w:line="1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of December 31, 2024, we have not experienced any material risks from cybersecurity threats, including from previous cybersecurity incidents, that have materially affected the business strategy, results of operations or financial condition of the Company or are reasonably likely to have such a material effect. However, we previously have and anticipate we will continue to face risks associated with cybersecurity incidents. Although we make efforts to maintain the security and integrity of our networks and systems, and the sensitive information that resides on or is transmitted through them, and we have implemented various cybersecurity policies and procedures to manage the risk of a security incident or disruption, there can be no assurance that our security efforts and measures will be effective or that attempted security incidents or disruptions would not be successful or damaging. We also carry insurance that provides protection against the potential losses arising from a cybersecurity incident, although the amount of coverage may not be sufficient or provide applicable</w:t>
      </w:r>
    </w:p>
    <w:p>
      <w:pPr>
        <w:spacing w:after="0" w:line="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coverage for a given incident. See “</w:t>
      </w:r>
      <w:r>
        <w:rPr>
          <w:rFonts w:ascii="Times New Roman" w:cs="Times New Roman" w:eastAsia="Times New Roman" w:hAnsi="Times New Roman"/>
          <w:sz w:val="18"/>
          <w:szCs w:val="18"/>
          <w:i w:val="1"/>
          <w:iCs w:val="1"/>
          <w:color w:val="auto"/>
        </w:rPr>
        <w:t>Risk Factors–Risks Related to Cybersecurity and Data Privacy—Cyber-attacks or other disruptions to our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 systems could adversely affect our business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“—Failure to comply with laws relating to the confidentiality of sensitive personal information or standards related to the transmission of electronic health data, may require us to make significant changes to our products, or incur penalties or other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2024, we lease approximately 166,991 square feet of space in Princeton, NJ, where we house our principal headquarters, sales operations, and support functions. This lease expires in 2035.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facilities in Saint Aubin Le Monial, France, Rietheim-Weilheim, Germany and Cincinnati, Ohio and we lease all of our other facilities.</w:t>
      </w:r>
    </w:p>
    <w:p>
      <w:pPr>
        <w:spacing w:after="0" w:line="11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We have key manufacturing and research facilities located in California, Maryland, Massachusetts, New Jersey, Ohio, Puerto Rico, Tennessee, Utah, France, Germany, Ireland, Israel, and Switzerland. Our instrument procurement operations are located in Germany.</w:t>
      </w:r>
    </w:p>
    <w:p>
      <w:pPr>
        <w:spacing w:after="0" w:line="5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Our primary distribution centers are located in Kentucky, Nevada, Australia, Belgium, Canada, Italy, Japan, and China. In addition, we lease several smaller facilities to support additional administrative, assembly, and distribution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Company's primary operations, we have dedicated repair facilities located in multiple countries around the world.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manufacturing facilities are registered with the FDA. Our facilities are subject to FDA inspection to ensure compliance with Quality System regulations.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the status of FDA inspections, see the “Item 1. Business –Government Regulation and Compliance” and “Item 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 FDA Matters” in this Annual Report on Form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Information pertaining to legal proceedings can be found in </w:t>
      </w:r>
      <w:r>
        <w:rPr>
          <w:rFonts w:ascii="Times New Roman" w:cs="Times New Roman" w:eastAsia="Times New Roman" w:hAnsi="Times New Roman"/>
          <w:sz w:val="18"/>
          <w:szCs w:val="18"/>
          <w:i w:val="1"/>
          <w:iCs w:val="1"/>
          <w:color w:val="auto"/>
        </w:rPr>
        <w:t>Note 15. Commitments and Contingencies</w:t>
      </w:r>
      <w:r>
        <w:rPr>
          <w:rFonts w:ascii="Times New Roman" w:cs="Times New Roman" w:eastAsia="Times New Roman" w:hAnsi="Times New Roman"/>
          <w:sz w:val="18"/>
          <w:szCs w:val="18"/>
          <w:color w:val="auto"/>
        </w:rPr>
        <w:t>, to the Notes to Consolidated Financial Statements (Part IV, Item 15 of this Annual Report on Form 10-K).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6" w:name="page37"/>
    <w:bookmarkEnd w:id="36"/>
    <w:p>
      <w:pPr>
        <w:ind w:right="40"/>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EQUITY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PURCHASES OF</w:t>
      </w:r>
    </w:p>
    <w:p>
      <w:pPr>
        <w:spacing w:after="0" w:line="337" w:lineRule="exact"/>
        <w:rPr>
          <w:sz w:val="20"/>
          <w:szCs w:val="20"/>
          <w:color w:val="auto"/>
        </w:rPr>
      </w:pPr>
    </w:p>
    <w:p>
      <w:pPr>
        <w:sectPr>
          <w:pgSz w:w="11900" w:h="16838" w:orient="portrait"/>
          <w:cols w:equalWidth="0" w:num="2">
            <w:col w:w="8940" w:space="720"/>
            <w:col w:w="1580"/>
          </w:cols>
          <w:pgMar w:left="320" w:top="874"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Holders and Dividends</w:t>
      </w:r>
    </w:p>
    <w:p>
      <w:pPr>
        <w:sectPr>
          <w:pgSz w:w="11900" w:h="16838" w:orient="portrait"/>
          <w:cols w:equalWidth="0" w:num="1">
            <w:col w:w="11240"/>
          </w:cols>
          <w:pgMar w:left="320" w:top="874" w:right="339" w:bottom="1440" w:gutter="0" w:footer="0" w:header="0"/>
          <w:type w:val="continuous"/>
        </w:sectPr>
      </w:pPr>
    </w:p>
    <w:p>
      <w:pPr>
        <w:spacing w:after="0" w:line="1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“IART.” The number of stockholders of record as of February 24, 2025 was approximately 753, which includes stockholders whose shares were held in nominee name.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Senior Credit Facility (as defined below)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years ended December 31, 2024, 2023 or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Registered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registered securities during the years ended December 31, 2024, 2023, or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the Company during the quarter ended December 31, 2024 of equity securities that are registered by us pursuant to Section 12 of the Exchange Act. Subject to applicable law, share repurchases may be made from time to time in open market transactions, privately negotiated transactions including accelerated share repurchase agreements, or pursuant to instruments and plans complying with Rule 10b5-1 under the Exchange Act, among other types of transactions and arrangements.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6"/>
                <w:szCs w:val="16"/>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 purchased by month as</w:t>
            </w:r>
          </w:p>
        </w:tc>
        <w:tc>
          <w:tcPr>
            <w:tcW w:w="10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 value of shares that</w:t>
            </w:r>
          </w:p>
        </w:tc>
        <w:tc>
          <w:tcPr>
            <w:tcW w:w="0" w:type="dxa"/>
            <w:vAlign w:val="bottom"/>
          </w:tcPr>
          <w:p>
            <w:pPr>
              <w:spacing w:after="0"/>
              <w:rPr>
                <w:sz w:val="1"/>
                <w:szCs w:val="1"/>
                <w:color w:val="auto"/>
              </w:rPr>
            </w:pPr>
          </w:p>
        </w:tc>
      </w:tr>
      <w:tr>
        <w:trPr>
          <w:trHeight w:val="82"/>
        </w:trPr>
        <w:tc>
          <w:tcPr>
            <w:tcW w:w="1840" w:type="dxa"/>
            <w:vAlign w:val="bottom"/>
            <w:gridSpan w:val="2"/>
            <w:vMerge w:val="restart"/>
          </w:tcPr>
          <w:p>
            <w:pPr>
              <w:ind w:left="680"/>
              <w:spacing w:after="0" w:line="15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322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part of publicly announced repurchase</w:t>
            </w:r>
          </w:p>
        </w:tc>
        <w:tc>
          <w:tcPr>
            <w:tcW w:w="100" w:type="dxa"/>
            <w:vAlign w:val="bottom"/>
          </w:tcPr>
          <w:p>
            <w:pPr>
              <w:spacing w:after="0"/>
              <w:rPr>
                <w:sz w:val="7"/>
                <w:szCs w:val="7"/>
                <w:color w:val="auto"/>
              </w:rPr>
            </w:pPr>
          </w:p>
        </w:tc>
        <w:tc>
          <w:tcPr>
            <w:tcW w:w="274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may yet be purchased under the plans</w:t>
            </w:r>
          </w:p>
        </w:tc>
        <w:tc>
          <w:tcPr>
            <w:tcW w:w="0" w:type="dxa"/>
            <w:vAlign w:val="bottom"/>
          </w:tcPr>
          <w:p>
            <w:pPr>
              <w:spacing w:after="0"/>
              <w:rPr>
                <w:sz w:val="1"/>
                <w:szCs w:val="1"/>
                <w:color w:val="auto"/>
              </w:rPr>
            </w:pPr>
          </w:p>
        </w:tc>
      </w:tr>
      <w:tr>
        <w:trPr>
          <w:trHeight w:val="78"/>
        </w:trPr>
        <w:tc>
          <w:tcPr>
            <w:tcW w:w="1840" w:type="dxa"/>
            <w:vAlign w:val="bottom"/>
            <w:gridSpan w:val="2"/>
            <w:vMerge w:val="continue"/>
          </w:tcPr>
          <w:p>
            <w:pPr>
              <w:spacing w:after="0"/>
              <w:rPr>
                <w:sz w:val="6"/>
                <w:szCs w:val="6"/>
                <w:color w:val="auto"/>
              </w:rPr>
            </w:pPr>
          </w:p>
        </w:tc>
        <w:tc>
          <w:tcPr>
            <w:tcW w:w="18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purchased by month</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100" w:type="dxa"/>
            <w:vAlign w:val="bottom"/>
          </w:tcPr>
          <w:p>
            <w:pPr>
              <w:spacing w:after="0"/>
              <w:rPr>
                <w:sz w:val="9"/>
                <w:szCs w:val="9"/>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or program</w:t>
            </w:r>
          </w:p>
        </w:tc>
        <w:tc>
          <w:tcPr>
            <w:tcW w:w="0" w:type="dxa"/>
            <w:vAlign w:val="bottom"/>
          </w:tcPr>
          <w:p>
            <w:pPr>
              <w:spacing w:after="0"/>
              <w:rPr>
                <w:sz w:val="1"/>
                <w:szCs w:val="1"/>
                <w:color w:val="auto"/>
              </w:rPr>
            </w:pPr>
          </w:p>
        </w:tc>
      </w:tr>
      <w:tr>
        <w:trPr>
          <w:trHeight w:val="102"/>
        </w:trPr>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10/01/24 - 10/31/24</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220" w:type="dxa"/>
            <w:vAlign w:val="bottom"/>
            <w:shd w:val="clear" w:color="auto" w:fill="CCEEFF"/>
          </w:tcPr>
          <w:p>
            <w:pPr>
              <w:ind w:left="3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0" w:type="dxa"/>
            <w:vAlign w:val="bottom"/>
          </w:tcPr>
          <w:p>
            <w:pPr>
              <w:spacing w:after="0"/>
              <w:rPr>
                <w:sz w:val="1"/>
                <w:szCs w:val="1"/>
                <w:color w:val="auto"/>
              </w:rPr>
            </w:pPr>
          </w:p>
        </w:tc>
      </w:tr>
      <w:tr>
        <w:trPr>
          <w:trHeight w:val="210"/>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11/01/24 - 11/30/24</w:t>
            </w:r>
          </w:p>
        </w:tc>
        <w:tc>
          <w:tcPr>
            <w:tcW w:w="100" w:type="dxa"/>
            <w:vAlign w:val="bottom"/>
          </w:tcPr>
          <w:p>
            <w:pPr>
              <w:spacing w:after="0"/>
              <w:rPr>
                <w:sz w:val="18"/>
                <w:szCs w:val="18"/>
                <w:color w:val="auto"/>
              </w:rPr>
            </w:pPr>
          </w:p>
        </w:tc>
        <w:tc>
          <w:tcPr>
            <w:tcW w:w="184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2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0" w:type="dxa"/>
            <w:vAlign w:val="bottom"/>
          </w:tcPr>
          <w:p>
            <w:pPr>
              <w:spacing w:after="0"/>
              <w:rPr>
                <w:sz w:val="1"/>
                <w:szCs w:val="1"/>
                <w:color w:val="auto"/>
              </w:rPr>
            </w:pPr>
          </w:p>
        </w:tc>
      </w:tr>
      <w:tr>
        <w:trPr>
          <w:trHeight w:val="212"/>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12/01/24 - 12/31/24</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220" w:type="dxa"/>
            <w:vAlign w:val="bottom"/>
            <w:shd w:val="clear" w:color="auto" w:fill="CCEEFF"/>
          </w:tcPr>
          <w:p>
            <w:pPr>
              <w:ind w:left="3000"/>
              <w:spacing w:after="0"/>
              <w:rPr>
                <w:sz w:val="20"/>
                <w:szCs w:val="20"/>
                <w:color w:val="auto"/>
              </w:rPr>
            </w:pPr>
            <w:r>
              <w:rPr>
                <w:rFonts w:ascii="Times New Roman" w:cs="Times New Roman" w:eastAsia="Times New Roman" w:hAnsi="Times New Roman"/>
                <w:sz w:val="16"/>
                <w:szCs w:val="16"/>
                <w:color w:val="auto"/>
              </w:rPr>
              <w:t>—</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0" w:type="dxa"/>
            <w:vAlign w:val="bottom"/>
          </w:tcPr>
          <w:p>
            <w:pPr>
              <w:spacing w:after="0"/>
              <w:rPr>
                <w:sz w:val="1"/>
                <w:szCs w:val="1"/>
                <w:color w:val="auto"/>
              </w:rPr>
            </w:pPr>
          </w:p>
        </w:tc>
      </w:tr>
      <w:tr>
        <w:trPr>
          <w:trHeight w:val="206"/>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auto"/>
              <w:bottom w:val="single" w:sz="8" w:color="auto"/>
            </w:tcBorders>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Borders>
              <w:top w:val="single" w:sz="8" w:color="auto"/>
              <w:bottom w:val="single" w:sz="8" w:color="auto"/>
            </w:tcBorders>
          </w:tcPr>
          <w:p>
            <w:pPr>
              <w:ind w:left="3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18, 2023, the Board of Directors authorized a new $225 million share repurchase program, replacing the existing $225 million program authorized in April 2022, under which $75 million remained authorized at the time of its replacement. The program authorized in July 2023, which expires on December 31, 2025, allows the Company to repurchase its shares opportunistically from time to time. As of December 31, 2024, $50 million remained authorized under the July 2023 share repurchase authorization. The Company may utilize various methods to effect any repurchases, including open market transactions, privately negotiated transactions, transactions structured through investment banking institutions, including accelerated share repurchases, or a combination of the foregoing, some of which may be effected through Rule 10b5-1 plans.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79" w:lineRule="exact"/>
        <w:rPr>
          <w:sz w:val="20"/>
          <w:szCs w:val="20"/>
          <w:color w:val="auto"/>
        </w:rPr>
      </w:pPr>
    </w:p>
    <w:p>
      <w:pPr>
        <w:ind w:right="480"/>
        <w:spacing w:after="0" w:line="370"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 Treasury Stock</w:t>
      </w:r>
      <w:r>
        <w:rPr>
          <w:rFonts w:ascii="Times New Roman" w:cs="Times New Roman" w:eastAsia="Times New Roman" w:hAnsi="Times New Roman"/>
          <w:sz w:val="18"/>
          <w:szCs w:val="18"/>
          <w:color w:val="auto"/>
        </w:rPr>
        <w:t xml:space="preserve"> to the Notes to Consolidated Financial Statements (Part IV, Item 15 of this Annual Report on Form 10-K) for further details. </w:t>
      </w:r>
      <w:r>
        <w:rPr>
          <w:rFonts w:ascii="Times New Roman" w:cs="Times New Roman" w:eastAsia="Times New Roman" w:hAnsi="Times New Roman"/>
          <w:sz w:val="18"/>
          <w:szCs w:val="18"/>
          <w:b w:val="1"/>
          <w:bCs w:val="1"/>
          <w:color w:val="auto"/>
        </w:rPr>
        <w:t>Securities Authorized for Issuance under Equity Compensation Plan</w:t>
      </w:r>
    </w:p>
    <w:p>
      <w:pPr>
        <w:spacing w:after="0" w:line="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regarding our equity compensation plans is incorporated herein by reference to Item 12 of Part III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00"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graph below compares the five-year total return to stockholders on our common stock with the return of the Standard &amp; Poor's (“S&amp;P”) 500 Stock Index and the S&amp;P Healthcare Equipment Index for the five years ended December 31, 2024. The Company’s cumulative shareholder return is based on an investment of $100 on December 31, 2019 and is compared to the cumulative total return of the S&amp;P indices mentioned above over the period with a like amount invested. Measurement points are the last trading day of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5768340" cy="34575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8340" cy="345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18"/>
          <w:szCs w:val="18"/>
          <w:color w:val="auto"/>
        </w:rPr>
        <w:t>Note: The stock price performance shown on the graph above is not indicative of future price performance. This graph shall not be deemed filed for purposes of Section 18 of the Exchange Act or otherwise subject to the liabilities of that section nor shall it be deemed incorporated by reference in any filing under the Securities Act or the Exchange Act, regardless of any general incorporation language in such filing.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following discussion and analysis provides information management believes to be relevant to understanding our financial condition and results of operations. For a full understanding of financial condition and results of operations, it should be read together with the selected audited consolidated financial data and our financial statements with the related notes appearing elsewhere in this report. The discussion focuses on our financial results for the year ended December 31, 2024 and 2023. The comparison of fiscal 2023 to 2022 has been omitted from this Form 10-K, but can be referenced in our Form 10-K for the</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fiscal year ended December 31, 2023—“</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filed with the SEC on February 28, 2024.</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We have made statements in this report which constitute forward-looking statements within the meaning of Section 27A of the Securities Act and Section 21E of the Exchange Act. These forward-looking statements are subject to a number of risks, uncertainties and assumptions about the Company and other matters. The Company’s actual results could differ materially from those anticipated in these forward-looking statements as a result of many factors, including but not limited to those set forth under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 xml:space="preserve">. Please refer to </w:t>
      </w:r>
      <w:r>
        <w:rPr>
          <w:rFonts w:ascii="Times New Roman" w:cs="Times New Roman" w:eastAsia="Times New Roman" w:hAnsi="Times New Roman"/>
          <w:sz w:val="17"/>
          <w:szCs w:val="17"/>
          <w:i w:val="1"/>
          <w:iCs w:val="1"/>
          <w:color w:val="auto"/>
        </w:rPr>
        <w:t>“Special Note Regarding Forward-Looking Statements”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 xml:space="preserve"> for a</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discussion of the factors that could cause actual results to differ materially from those projected in these statements. The following information concerning our business, results of operations and financial condition should also be read in conjunction with the information included under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15. Exhibits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Integra LifeSciences Holdings Corporation was founded in 1989 and is a leading global medical technology company innovating treatment pathways to advance patient outcomes and set new standards of surgical, neurologic, ear, nose, and throat (“ENT”) and regenerative care. Our common stock trades on the Nasdaq Global Select Market (“Nasdaq”) under the symbol “IART.” We have developed numerous product lines from this technology for applications ranging from burn and deep tissue wounds to the repair of dura mater in the brain, as well as nerves and tendons. We have expanded our base regenerative technology business to include ENT, surgical instruments, neurosurgical products and advanced wound care through global acquisitions and product development to meet the evolving needs of our customers and enhance patient care.</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Integra products are sold in more than 120 countries through a direct sales force as well as distributors and wholesalers. We manufacture and sell medical technologies and products in two reportable business segments: Codman Specialty Surgical (“CSS”) and Tissue Technologies (“TT”). The CSS segment, which represents approximately two-thirds of our total revenue, consists of market-leading technologies and instrumentation used for a wide range of specialties, such as neurosurgery, neurocritical care and otolaryngology. We are the world leader in neurosurgery and one of the top three providers in the U.S. in instruments used in precision, specialty, and general surgical procedures. Our TT segment generates about one-third of our overall revenue and focuses on three main areas: complex wound surgery, surgical reconstruction, and peripheral nerve repair.</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key manufacturing and research facilities located in California, Maryland, Massachusetts, New Jersey, Ohio, Puerto Rico, Tennessee, Utah, France, Germany, Ireland, Israel and Switzerland. We source most of our handheld surgical instruments and dural sealant products through specialized third-party vendors.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strategies are focused around five pillars. Of these five pillars, we have identified three core growth drivers: (1) innovating for outcomes, (2) growing internationally, and (3) broadening our impact on care pathways. Our execution of the core growth drivers is enabled by two key levers: (4) driving operational and customer excellence and (5) cultivating a high-performance culture. As outlined in greater detail below, we believe these five pillars will enable us to realize and advance our integrated growth strategy.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end, the executive leadership team has established the following key priorities aligned to the following five pillars: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Innovating for Outcomes</w:t>
      </w:r>
      <w:r>
        <w:rPr>
          <w:rFonts w:ascii="Times New Roman" w:cs="Times New Roman" w:eastAsia="Times New Roman" w:hAnsi="Times New Roman"/>
          <w:sz w:val="18"/>
          <w:szCs w:val="18"/>
          <w:color w:val="auto"/>
        </w:rPr>
        <w:t>. An important part of Integra’s growth strategy is introducing new products to strengthen and expand our portfolio through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to support regulatory approval and strong reimbursement of our product portfolio around the world, including new indications for existing technologies. For example, in 2021, we filed a pre-market approval (“PMA”) application for a specific indication for Surgimend® in the use of post-mastectomy breast reconstruction. We anticipate PMA approval following the operationalization of the Braintree facility, which is expected in the first half of 2026. We are also pursuing a PMA for DuraSorb for use in implant-based breast reconstruction (“IBBR”). We completed enrollment for the DuraSorb U.S. investigational device exemption clinical study for two-stage breast reconstruction in June 2023; and in 2024 we have continued to advance the PMA application. Currently, we hope to secure PMA approval for DuraSorb in 2026.</w:t>
      </w:r>
    </w:p>
    <w:p>
      <w:pPr>
        <w:spacing w:after="0" w:line="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2024 we expanded our urinary bladder matrix platform with the U.S. launch of MicroMatrix® Flex, a dual-syringe system enabling the convenient mixing and precise delivery of MicroMatrix® paste to provide convenient access to hard-to-reach spaces and to help prepare an even wound surface in challenging wound areas.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in 2024, we successfully re-launched our CereLink intracranial pressure (“ICP”) monitor system. CereLink provides enhanced accuracy, usability and advanced data presentation that provides clinicians with uncompromised, advanced continuous ICP monitoring when treating patients with traumatic brain injuries.</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Growing Internationally. </w:t>
      </w:r>
      <w:r>
        <w:rPr>
          <w:rFonts w:ascii="Times New Roman" w:cs="Times New Roman" w:eastAsia="Times New Roman" w:hAnsi="Times New Roman"/>
          <w:sz w:val="17"/>
          <w:szCs w:val="17"/>
          <w:color w:val="auto"/>
        </w:rPr>
        <w:t>Over the years, we have been significantly expanding our global footprint through investments in our commercial and manufacturing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organizations, the expansion and development of international markets and new product introductions. As part of our In-China-For-China strategy, we continue to build out our assembly capabilities in our new facility in Suzhou, China. Several new products were introduced in select international markets in 2023 and 2024, including MicroMatrix® and Certas Plus® Programmable Valve, which were launched in Europe, and CUSA Clarity laparoscopic tip, which was launched in Australia, New Zealand, Japan, Canada, South Africa and Israel. In addition, DuraGen® Secure, received approval in Japan, while DuraGen Plus, an absorbable and sutureless collagen onlay indicated as a dura substitute for the repair of dura mater, and Certas Plus were approved in China.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9" w:name="page40"/>
    <w:bookmarkEnd w:id="39"/>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Broadening Impact on Care Pathways</w:t>
      </w:r>
      <w:r>
        <w:rPr>
          <w:rFonts w:ascii="Times New Roman" w:cs="Times New Roman" w:eastAsia="Times New Roman" w:hAnsi="Times New Roman"/>
          <w:sz w:val="18"/>
          <w:szCs w:val="18"/>
          <w:color w:val="auto"/>
        </w:rPr>
        <w:t>. We seek ways to develop and acquire products and technologies that impact the lives of patients, starting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journey that a patient takes from diagnosis and treatment planning to surgery and postoperative care. We are well-established in acute care in the hospital setting and continue to leverage that strong position to grow in this segment and shape treatment pathways into preoperative care and additional sites of care. On April 1, 2024, we successfully completed the acquisition of Acclarent, Inc. (“Acclarent”). Acclarent is an innovator and market leader in ENT procedures and the acquisition of Acclarent has positioned Integra as one of the leading providers of ENT products and technologies. Furthermore, we believe that, owing to the ENT business being an anatomical adjacency to neurosurgery, the acquisition will allow Integra to deliver future innovation both within the ENT business and across our other CSS technology platforms.</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Driving Operations and Customer Excellence. </w:t>
      </w:r>
      <w:r>
        <w:rPr>
          <w:rFonts w:ascii="Times New Roman" w:cs="Times New Roman" w:eastAsia="Times New Roman" w:hAnsi="Times New Roman"/>
          <w:sz w:val="18"/>
          <w:szCs w:val="18"/>
          <w:color w:val="auto"/>
        </w:rPr>
        <w:t>We have been making investments to build more responsive and scalable processes, enhance the reliability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quality systems and supply chain, and drive productivity initiatives to further supply and lower costs. We continue to invest in technologies, systems and processes to enhance the customer experience. We also continue to invest in our capacity expansion. This includes ongoing projects of transferring our Boston manufacturing to a new location in Braintree, Massachusetts and further investing in capacity and validating manufacturing processes in our manufacturing facility in Plainsboro, New Jersey. We are implementing a Compliance Master Plan (the “CMP”), a systematic and holistic approach to improving our quality management system across our manufacturing and supply network. The primary objectives of the CMP are to remediate quality system gaps, harmonize the quality management system across the company, and enhance the quality culture at the company.</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Cultivating a High-Performance Culture. </w:t>
      </w:r>
      <w:r>
        <w:rPr>
          <w:rFonts w:ascii="Times New Roman" w:cs="Times New Roman" w:eastAsia="Times New Roman" w:hAnsi="Times New Roman"/>
          <w:sz w:val="18"/>
          <w:szCs w:val="18"/>
          <w:color w:val="auto"/>
        </w:rPr>
        <w:t>In seeking to sustain a culture of excellence and accountability, we focus on employee empowerment,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building an environment where all employees can contribute to their fullest potential. These efforts have been recognized through our inclusion in several best workplace lists globally in 2023 and 2024. Additionally, we continue to advance our broader organizational sustainability initiatives and published our third annual environmental, social and governance (“ESG”) report. For more information on our ESG strategy, goals, performance, and achievements, please visit “Our Company—ESG Report” at https://www.integralife.com/esg-report. Information on our website is not incorporated by reference herein and is not part of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Product Introductions and Research and Development Updates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continue to invest in collecting clinical evidence to support our existing products and new product launches, and to ensure that we obtain market access for broader and more cost-effective solutions.</w:t>
      </w:r>
    </w:p>
    <w:p>
      <w:pPr>
        <w:spacing w:after="0" w:line="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Neurosurgical Solutions, Surgical Instruments, and ENT Solutions. </w:t>
      </w:r>
      <w:r>
        <w:rPr>
          <w:rFonts w:ascii="Times New Roman" w:cs="Times New Roman" w:eastAsia="Times New Roman" w:hAnsi="Times New Roman"/>
          <w:sz w:val="18"/>
          <w:szCs w:val="18"/>
          <w:color w:val="auto"/>
        </w:rPr>
        <w:t>The CSS neurosurgical business consists of a broad portfolio of market-leading brands,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Codman®, DuraGen®, DuraSeal®, CUSA®, CereLink®, Mayfield®, Bactiseal®, and Certas® Plus,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Because our electromechanical products and instruments address significant needs in surgical procedures and limit uncertainty for surgeons, we continue to invest in registrations, clearances, and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cerebrospinal fluid (“CSF”) management, neuro-critical care monitoring, minimally invasive instruments and electrosurgery and ultrasonic medical technologies, as well as our ambition to transform the standard of care in neurosurgery with product advancements in minimally invasive surgery (“MIS”) and the surgical management of intracerebral hemorrhage (“ICH”). Our lighting franchise is among the most dynamic in the industry.</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focused on the development of core clinical applications in our electromechanical technologies portfolio. We continue to update our CUSA® Clarity platform by incorporating new ultrasonic handpiece and integrated electrosurgical capabilities. We have made several enhancements to our CUSA® Clarity Tissue Ablation System. The extended laparoscopic tip was launched in the U.S. to enhance laparoscopic liver procedures. In addition, a single-sided bone tip received 510(k) clearance from the FDA. Commercial launch was completed successfully in early 2023. In August 2023, we launched a modified 23 kHz CUSA® Electrosurgery Module (“CEM”) for Clarity handpieces that can be used with additional electrosurgery generators. We continue to work with several instrument partners to bring new surgical instrument platforms to the market.</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continued to advance the early-stage technology platforms we acquired in 2019. Through the acquisition of Arkis Biosciences, Inc. (“Arkis”) we added a platform technology, CerebroFlo® external ventricular drainage (“EVD”), a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project.</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also continued to advance our innovation from the Rebound Therapeutics Corporation (“Rebound Therapeutics”), which was acquired in 2019. Rebound Therapeutics specializes in a single-use medical device, known as the Aurora Surgiscope,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0" w:name="page41"/>
    <w:bookmarkEnd w:id="40"/>
    <w:p>
      <w:pPr>
        <w:jc w:val="both"/>
        <w:spacing w:after="0" w:line="275" w:lineRule="auto"/>
        <w:rPr>
          <w:sz w:val="20"/>
          <w:szCs w:val="20"/>
          <w:color w:val="auto"/>
        </w:rPr>
      </w:pPr>
      <w:r>
        <w:rPr>
          <w:rFonts w:ascii="Times New Roman" w:cs="Times New Roman" w:eastAsia="Times New Roman" w:hAnsi="Times New Roman"/>
          <w:sz w:val="18"/>
          <w:szCs w:val="18"/>
          <w:color w:val="auto"/>
        </w:rPr>
        <w:t>which is the only tubular retractor system designed for cranial surgery with an integrated access channel, camera and lighting. The 9mm Surgiscope received 510(k) clearance from the FDA in the fourth quarter of 2023.</w:t>
      </w:r>
    </w:p>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first quarter of 2024, we relaunched our CereLink ICP monitoring system, after initiating an immediate voluntary global product removal of all CereLink® intracranial pressure monitors in 2022. Cerelink provides enhanced accuracy, usability and advanced data presentation to clinicians treating patients with traumatic brain injuries.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2024, we acquired Acclarent, expanding our capabilities in the U.S. ENT market. Acclarent pioneered the balloon sinuplasty market and has a broad portfolio including the RELIEVA SPINPLUS® Balloon Sinuplasty System. Acclarent also pioneered eustachian tube balloon dilation, and currently markets the AERA® Eustachian Tube Dilation System, which received 510(k) clearance for expanded pediatric indications in 2023. Acclarent sells the TruDi® Navigation System, which includes a portfolio of navigated surgical instrumentation.</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Regenerative Technologies</w:t>
      </w:r>
      <w:r>
        <w:rPr>
          <w:rFonts w:ascii="Times New Roman" w:cs="Times New Roman" w:eastAsia="Times New Roman" w:hAnsi="Times New Roman"/>
          <w:sz w:val="18"/>
          <w:szCs w:val="18"/>
          <w:color w:val="auto"/>
        </w:rPr>
        <w:t>. We were the first company to receive an FDA claim for regeneration of dermal tissue and are a world leader in regenerative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including the healing of chronic and acute wounds, tendon and nerve repair. Our regenerative technology platform includes our legacy Integra® Dermal Regeneration Template (“IDRT”) products and complementary technologies that we have acquired. Our collagen manufacturing capability, combined with our history of innovation, including our launch of NeuraGen 3D, provides us with strong platform technologies for multiple indications.</w:t>
      </w:r>
    </w:p>
    <w:p>
      <w:pPr>
        <w:spacing w:after="0" w:line="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third quarter of 2021, we filed a PMA application for a specific indication for Surgimend® in the use of post-mastectomy breast reconstruction and in July 2024 received approvable pending GMP status from FDA, which approved and closed out the clinical portion of this PMA application. We anticipate PMA approval following the operationalization of the Braintree facility, which is expected in the first half of 2026.</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we acquired SIA, which has also submitted a PMA application for DuraSorb with IBBR, and in June 2023 we completed enrollment in the DuraSorb U.S. investigational device exemption clinical study for two-stage breast reconstruction; and in 2024 we have continued to advance the PMA application. Currently, we hope to secure PMA approval for DuraSorb in 2026. By offering two distinct product solutions, we believe we have the opportunity to build a leading position in the IBBR market.</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Following the completion of design control activities in 2022, we launched both Cytal and MicroMatrix in Europe in 2023. In March 2024, MicroMatrix® Flex, used in the management of wounds with hard-to-reach geometries, such as deep wounds that present with tunneling or undermining, became commercially available in the U.S.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 Medical Device Regulation Updates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ongoing efforts to remain compliant, the Company continues to work towards European Union Medical Device Regulation (“EU MDR”) certifications. Over the past two years, the Company received EU MDR certification in the CSS segment for Hakim Programmable Valves, Certas Plus without Bactiseal catheters, DuraSeal Dural, and DuraGen Suturable in the CSS segment, as well as IDRT, BioPatch, MicroMatrix, and Cytal in the TT segment.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Matters</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December 19, 2024, a subsidiary of Integra LifeSciences Holdings Corporation received a warning letter from the FDA (the “2024 Warning Letter”). The 2024 warning letter relates to quality system issues identified during FDA inspections at three of the Company’s facilities located in Mansfield, Massachusetts, Plainsboro, New Jersey, and Princeton, New Jersey. The warning letter did not identify any new observations that had not already been provided in the Form 483s previously issued to the Company by the FDA at the conclusion of its three inspections in June and August of 2024 (the “2024 Form 483s”). In the 2024 Form 483s, the FDA deemed certain of the Company's devices, including cranial perforators, disposable cottonoid patties and strips, and collagen-based products, to be out of compliance with respect to the quality system regulation. At that time, the Company took a number of voluntary actions including the initiation of shipping holds for several products and a voluntary recall of the disposable patties and strips. The warning letter does not restrict the Company’s ability to manufacture or ship products, require recall of any products, nor restrict the Company’s ability to seek FDA 510(k) clearance of products. The warning letter states that premarket approval applications for Class III devices to which the quality system regulation violations are reasonably related will not be approved until the violations have been corrected. The Company has already submitted several responses to the 2024 Form 483s issued to each of the three manufacturing facilities to the FDA and has submitted a written response to the warning letter in the first quarter of 2025.</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1" w:name="page42"/>
    <w:bookmarkEnd w:id="41"/>
    <w:p>
      <w:pPr>
        <w:jc w:val="both"/>
        <w:spacing w:after="0" w:line="248" w:lineRule="auto"/>
        <w:rPr>
          <w:sz w:val="20"/>
          <w:szCs w:val="20"/>
          <w:color w:val="auto"/>
        </w:rPr>
      </w:pPr>
      <w:r>
        <w:rPr>
          <w:rFonts w:ascii="Times New Roman" w:cs="Times New Roman" w:eastAsia="Times New Roman" w:hAnsi="Times New Roman"/>
          <w:sz w:val="18"/>
          <w:szCs w:val="18"/>
          <w:color w:val="auto"/>
        </w:rPr>
        <w:t>On March 7, 2019, TEI Biosciences, Inc. (“TEI”), one of our wholly-owned subsidiaries, received a Warning Letter (the “2019 Warning Letter”), dated March 6, 2019, from the FDA. The 2019 Warning Letter related to quality systems issues at TEI’s manufacturing facility located in Boston, Massachusetts (the “Boston facility”). The Boston facility manufactures extracellular bovine matrix products in our TT segment that are sold both in wound reconstruction and care and in private label channels. The letter resulted from an inspection held at that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its corrective actions. On October 28, 2021, the FDA initiated an inspection of the facility and at the conclusion of the inspection, issued an FDA Form 483 on November 12, 2021 (the “2021 Form 483”). We provided an initial response to the inspection observations. On March 1, 2023, the FDA commenced an inspection of the Boston facility and issued an FDA Form 483 at the conclusion of this inspection (the “2023 Form 483”). In May 2023, after consultation with the FDA, The Company initiated a voluntary global recall of all products manufactured at the Boston facility, including PriMatrix®, SurgiMend®, Revize™, and TissueMend™, distributed between March 1, 2018 and May 22, 2023. On July 19, 2023, TEI received a Warning Letter, dated July 17, 2023, from the FDA related to quality system issues at the Boston facility (the “2023 Warning Letter”). The 2023 Warning Letter did not identify any new observations that had not already been provided in the 2023 Form 483. The Company has submitted periodic responses to the FDA for both the 2023 Form 483 and the 2023 Warning Letter. We are committed to resolving the matters identified in the Warning Letters and Form 483s and are continuing our significant efforts to remediate the observations.</w:t>
      </w:r>
    </w:p>
    <w:p>
      <w:pPr>
        <w:spacing w:after="0" w:line="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the Warning Letters do not restrict the Company’s ability to seek FDA 510(k) clearance of products, PMAs for Class III devices to which the quality system regulation violations are reasonably related will not be approved until the violations have been addressed. We cannot give any assurances that the FDA will be satisfied with our response to the issues identified by the FDA or as to the expected date of the resolution of such issues. Until the issues cited by the FDA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As required by the 2023 Warning Letter, we retained an outside expert consultant to perform an audit of the Boston facility in March 2024. Since receiving the third-party audit findings for the Boston facility in March, the Company has reassessed its plans and timeline to resume the manufacture of PriMatrix® and SurgiMend®. In parallel, the Company has been furthering its plans to complete the construction and operationalization of its new tissue manufacturing facility in Braintree, Massachusetts. The Company announced in the second quarter of 2024 that it no longer plans to restart the manufacture of PriMatrix® and SurgiMend® at its Boston facility and will, instead, restart manufacturing of these products at the Braintree facility. The Company expects to operationalize the Braintree facility in the first half of 2026. As a result of these decisions, in the second quarter of 2024, the Company recorded a $4.6 million impairment charge, comprised of a $1.7 million impairment of an operating lease right-of-use asset and a $2.9 million write-off of fixed assets, which was recorded as a component of cost of goods sold in the consolidated statements of operations. For further detail on the impairment, see </w:t>
      </w:r>
      <w:r>
        <w:rPr>
          <w:rFonts w:ascii="Times New Roman" w:cs="Times New Roman" w:eastAsia="Times New Roman" w:hAnsi="Times New Roman"/>
          <w:sz w:val="18"/>
          <w:szCs w:val="18"/>
          <w:i w:val="1"/>
          <w:iCs w:val="1"/>
          <w:color w:val="auto"/>
        </w:rPr>
        <w:t>Note 11. Lease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Leases</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 xml:space="preserve">The Company elected to perform impairment testing on certain definite-lived intangibles and goodwill in the first quarter of 2024, which resulted in an intangible impairment of $7.1 million. For further detail on the impairment testing, see </w:t>
      </w:r>
      <w:r>
        <w:rPr>
          <w:rFonts w:ascii="Times New Roman" w:cs="Times New Roman" w:eastAsia="Times New Roman" w:hAnsi="Times New Roman"/>
          <w:sz w:val="18"/>
          <w:szCs w:val="18"/>
          <w:i w:val="1"/>
          <w:iCs w:val="1"/>
          <w:color w:val="auto"/>
        </w:rPr>
        <w:t>Note 7. Goodwill and Other Intangibles</w:t>
      </w:r>
      <w:r>
        <w:rPr>
          <w:rFonts w:ascii="Times New Roman" w:cs="Times New Roman" w:eastAsia="Times New Roman" w:hAnsi="Times New Roman"/>
          <w:sz w:val="18"/>
          <w:szCs w:val="18"/>
          <w:color w:val="auto"/>
        </w:rPr>
        <w:t>.</w:t>
      </w:r>
    </w:p>
    <w:p>
      <w:pPr>
        <w:spacing w:after="0" w:line="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Revenues of products manufactured in the Boston facility for the year ended December 31, 2022 were approximately 5.3% of consolidated revenues. No revenues were recorded in 2024 for products manufactured at the Boston facility.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&amp; DIVESTITURES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growth strategy includes the acquisition of businesses, assets, or product lines to increase the breadth of our offerings and the reach of our product portfolios and drive relevant scale to our customers. As a result, our financial results for the year ended December 31, 2024 may not be directly comparable to those of the corresponding prior-year periods. See </w:t>
      </w:r>
      <w:r>
        <w:rPr>
          <w:rFonts w:ascii="Times New Roman" w:cs="Times New Roman" w:eastAsia="Times New Roman" w:hAnsi="Times New Roman"/>
          <w:sz w:val="18"/>
          <w:szCs w:val="18"/>
          <w:i w:val="1"/>
          <w:iCs w:val="1"/>
          <w:color w:val="auto"/>
        </w:rPr>
        <w:t>Note 4. Acquisitions and Divestitures,</w:t>
      </w:r>
      <w:r>
        <w:rPr>
          <w:rFonts w:ascii="Times New Roman" w:cs="Times New Roman" w:eastAsia="Times New Roman" w:hAnsi="Times New Roman"/>
          <w:sz w:val="18"/>
          <w:szCs w:val="18"/>
          <w:color w:val="auto"/>
        </w:rPr>
        <w:t xml:space="preserve"> of the Notes to Consolidated Financial Statements (Part IV, Item 15 of this Annual Report on Form 10-K) for a further discussion.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auto"/>
        </w:rPr>
        <w:t>Durepair®</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2, 2024, the Company completed the acquisition of the product rights for Durepair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Regeneration Matrix (“Durepair”), a non-synthetic dura substitute for repair of the dura mater during neurosurgical procedures manufactured in our Boston facility and sold under a private label arrangement, from Medtronic plc for total cash consideration of $45.0 million. The Company made a cash payment of $10.0 million upon the closing of the acquisition and will make additional cash payments of $15.0 million upon the first anniversary of the acquisition and $20.0 million upon the second anniversary of the acquisition. The Company accounted for the acquisition of the product rights for Durepair, which consist of certain patents and trademarks, regulatory approvals, and other records, as an asset acquisition in accordance with FASB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because the acquisition does not include an assembled workforce and substantially all of the fair value of the assets acquired is concentrated in a single identifiable intangible asset. Durepair will be reported within Integra’s Codman Specialty Surgical segment.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Acclarent, Inc.</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April 1, 2024, the Company completed the acquisition of Acclarent, a developer and marketer of medical devices used in ENT procedures, from Ethicon, Inc., a subsidiary of Johnson &amp; Johnson, for approximately $282.0 million in cash, subject to customary adjustments set forth in the purchase agreement related to working capital balances transferred to the Company. The Company finalized the working capital adjustment in the amount of $4.2 million, which resulted in a reduction to goodwill, in September 2024 and the adjustment was settled during the three months ended December 31, 2024. The addition of Acclarent’s ENT product portfolio, including sinus balloon dilation, eustachian tube balloon dilation, and surgical navigation systems technologies, and dedicated salesforce will enhance the Company’s position in the ENT specialty device market. Acclarent sales are reported within Integra’s Codman Specialty Surgical segment.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Surgical Innovation Associates, Inc.</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December 6, 2022, the Company completed its acquisition of Surgical Innovation Associates, Inc. (“SIA”) for an acquisition purchase price of $51.5 million. In addition to the purchase price, the acquisition includes two separate contingent considerations payments, which are dependent on (1) achieving certain revenue-based performance milestones in 2023, 2024, and 2025 (up to $50.0 million in additional payments), as well as (2) the approval by the FDA of the PMA application for DuraSorb for certain uses by certain timing targets (up to $40.0 million in additional payments). In the second quarter of 2024, the Company paid out $12.4 million related to the 2023 performance year. Prior to our acquisition, SIA was a privately-held company whose core technology, DuraSorb, is a fully resorbable scaffold of a globally accepted polymer, cleared for use in hernia repair, abdominal wall, and other soft tissue reinforcement. DuraSorb sales are reported within Integra’s Tissue Technologies segment.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31, 2022, the Company completed the sale of its non-core traditional wound care (“TWC”) business to Gentell, Inc. (“Gentell”) for $28.8 million, which consists of $27.8 million in cash plus $1.0 million in contingent consideration which may be received upon achieving certain revenue-based performance milestones two years after the closing date. The proceeds from the sale of the TWC business of $27.8 million is presented in the consolidated statement of cash flows net of cash transferred of $3.5 million and other transaction fees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transaction included the sale of the Company's TWC products, such as sponges, gauze and conforming bandages, and certain advanced wound care dressings, such as supportive, calcium alginate, hydrogel, and foam dressings. The transaction is subject to final working capital adjustments, which are pending finalization between the parties.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OPTIMIZATION AND INTEGRATION ACTIVITIES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our ongoing acquisition strategy and significant growth in recent years, we have undertaken cost-saving initiatives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a result of both audits by regulatory agencies as well as our own reviews of the company’s quality management system, we are implementing a CMP, a systematic and holistic approach to improving our quality management system across our manufacturing and supply network. The primary objectives of the CMP are to remediate quality system gaps, harmonize the quality management system across the company, and enhance the quality culture at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loss for the year ended December 31, 2024 was $(6.9) million, or $(0.09) per diluted share, compared to net income of $67.7 million, or $0.84 per diluted share for the year ended December 31, 2023. The decrease in net income for the year ended December 31, 2024, was driven by impacts from quality and operational issues, along with costs related to the Acclarent acquisition.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includes the following special charges: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742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Acquisition, divestiture and integration-related charges </w:t>
            </w:r>
            <w:r>
              <w:rPr>
                <w:rFonts w:ascii="Times New Roman" w:cs="Times New Roman" w:eastAsia="Times New Roman" w:hAnsi="Times New Roman"/>
                <w:sz w:val="20"/>
                <w:szCs w:val="20"/>
                <w:color w:val="auto"/>
                <w:vertAlign w:val="superscript"/>
              </w:rPr>
              <w:t>(1)</w:t>
            </w: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25,173</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Structural optimization charges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16,084</w:t>
            </w:r>
          </w:p>
        </w:tc>
      </w:tr>
      <w:tr>
        <w:trPr>
          <w:trHeight w:val="215"/>
        </w:trPr>
        <w:tc>
          <w:tcPr>
            <w:tcW w:w="742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Boston recall / Braintree transition</w:t>
            </w:r>
            <w:r>
              <w:rPr>
                <w:rFonts w:ascii="Times New Roman" w:cs="Times New Roman" w:eastAsia="Times New Roman" w:hAnsi="Times New Roman"/>
                <w:sz w:val="20"/>
                <w:szCs w:val="20"/>
                <w:color w:val="auto"/>
                <w:vertAlign w:val="superscript"/>
              </w:rPr>
              <w:t>(2)</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46,970</w:t>
            </w:r>
          </w:p>
        </w:tc>
      </w:tr>
      <w:tr>
        <w:trPr>
          <w:trHeight w:val="21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EU medical device regulation</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44,570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46,559</w:t>
            </w:r>
          </w:p>
        </w:tc>
      </w:tr>
      <w:tr>
        <w:trPr>
          <w:trHeight w:val="231"/>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147,424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134,786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40" w:hanging="134"/>
        <w:spacing w:after="0"/>
        <w:tabs>
          <w:tab w:leader="none" w:pos="14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Note 4. Acquisitions and Divestitures</w:t>
      </w:r>
      <w:r>
        <w:rPr>
          <w:rFonts w:ascii="Times New Roman" w:cs="Times New Roman" w:eastAsia="Times New Roman" w:hAnsi="Times New Roman"/>
          <w:sz w:val="13"/>
          <w:szCs w:val="13"/>
          <w:color w:val="auto"/>
        </w:rPr>
        <w:t xml:space="preserve"> of the Notes to Consolidated Financial Statements (Part IV, Item 15 of this Annual Report on Form 10-K) for details.</w:t>
      </w:r>
    </w:p>
    <w:p>
      <w:pPr>
        <w:spacing w:after="0" w:line="44" w:lineRule="exact"/>
        <w:rPr>
          <w:rFonts w:ascii="Times New Roman" w:cs="Times New Roman" w:eastAsia="Times New Roman" w:hAnsi="Times New Roman"/>
          <w:sz w:val="17"/>
          <w:szCs w:val="17"/>
          <w:color w:val="auto"/>
          <w:vertAlign w:val="superscript"/>
        </w:rPr>
      </w:pPr>
    </w:p>
    <w:p>
      <w:pPr>
        <w:ind w:left="140" w:hanging="134"/>
        <w:spacing w:after="0"/>
        <w:tabs>
          <w:tab w:leader="none" w:pos="14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primarily includes idle capacity charges, inventory write offs, site transfer costs, quality remediation costs, right of use and fixed asset impairments.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reported above are reflected in the consolidated statements of operations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63,182</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18,490</w:t>
            </w:r>
          </w:p>
        </w:tc>
      </w:tr>
      <w:tr>
        <w:trPr>
          <w:trHeight w:val="21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53,979</w:t>
            </w:r>
          </w:p>
        </w:tc>
      </w:tr>
      <w:tr>
        <w:trPr>
          <w:trHeight w:val="21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31"/>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147,424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134,786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and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the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gross margin on product revenues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180" w:type="dxa"/>
            <w:vAlign w:val="bottom"/>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2"/>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 Net Revenues</w:t>
            </w: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Codman Specialty Surgical</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1,143,636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1,058,993</w:t>
            </w:r>
          </w:p>
        </w:tc>
        <w:tc>
          <w:tcPr>
            <w:tcW w:w="0" w:type="dxa"/>
            <w:vAlign w:val="bottom"/>
          </w:tcPr>
          <w:p>
            <w:pPr>
              <w:spacing w:after="0"/>
              <w:rPr>
                <w:sz w:val="1"/>
                <w:szCs w:val="1"/>
                <w:color w:val="auto"/>
              </w:rPr>
            </w:pPr>
          </w:p>
        </w:tc>
      </w:tr>
      <w:tr>
        <w:trPr>
          <w:trHeight w:val="226"/>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Tissue Technologies</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466,891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482,580</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1,610,527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1,541,573</w:t>
            </w:r>
          </w:p>
        </w:tc>
        <w:tc>
          <w:tcPr>
            <w:tcW w:w="0" w:type="dxa"/>
            <w:vAlign w:val="bottom"/>
          </w:tcPr>
          <w:p>
            <w:pPr>
              <w:spacing w:after="0"/>
              <w:rPr>
                <w:sz w:val="1"/>
                <w:szCs w:val="1"/>
                <w:color w:val="auto"/>
              </w:rPr>
            </w:pPr>
          </w:p>
        </w:tc>
      </w:tr>
      <w:tr>
        <w:trPr>
          <w:trHeight w:val="226"/>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728,466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656,838</w:t>
            </w: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on total revenues</w:t>
            </w: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882,061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884,735</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margin as a percentage of total revenues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1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54.8 %</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57.4 %</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2024, total revenues increased by $69.0 million, or 4.5%, to $1,610.5 million from $1,541.6 million during the prior year. Excluding the impacts of the Acclarent acquisition and foreign currency impact, revenues declined low single digits compared to the same period in the prior year, primarily driven by impacts from quality and operational issues.</w:t>
      </w:r>
    </w:p>
    <w:p>
      <w:pPr>
        <w:spacing w:after="0" w:line="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CSS segment, revenues were $1,143.6 million which was an increase of $84.6 million, or 8.0% as compared to the prior-year period, inclusive of $95.0 million related to the Acclarent acquisition and a $6.1 million unfavorable foreign currency impact on revenue. Excluding these impacts, revenue remained flat compared to the same period in the prior year, primarily driven by lower sales due to temporary shipping holds in CSF Management and Dural Access &amp; Repair, partially offset by growth in instruments and advanced energy.</w:t>
      </w:r>
    </w:p>
    <w:p>
      <w:pPr>
        <w:spacing w:after="0" w:line="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TT segment, revenues were $466.9 million, which was a decrease of $15.7 million, or 3.3% as compared to the prior-year period. The TT segment decreased low single digits as compared to the same period in the prior year, primarily attributable to a decline in Integra Skin due to production challenges, partially offset by growth in MicroMatrix® &amp; Cytal and Durasorb.</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Gross margin was $882.1 million for the year ended December 31, 2024, a decrease of $2.7 million from $884.7 million for the same period last year. Gross margin as a percentage of revenues was 54.8% in 2024 and 57.4% in 2023. Gross margins were impacted by charges associated with the Boston recall comprised of $7.1 million related to intangible impairment, $2.9 million related to fixed asset write offs, and $1.7 million related to operating lease right-of-use asset write offs. Additionally, gross margins were also impacted by Acclarent inventory step up amortization of $8.4 million and expenses associated with quality and operational issues.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252"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96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6"/>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r>
      <w:tr>
        <w:trPr>
          <w:trHeight w:val="22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19"/>
        </w:trPr>
        <w:tc>
          <w:tcPr>
            <w:tcW w:w="7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2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50.2 %</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Total operating expenses, which consist of research and development, selling, general and administrative, and intangible asset amortization expenses, increased by $80.4 million or 10.4% to $853.7 million in 2024, compared to $773.2 million in the prior year.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2024 increased by $11.2 million as compared to the prior year, primarily due to the Acclarent research and development, new product development and clinical studies.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1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Selling, general and administrative expenses for the year ended December 31, 2024 increased by $60.3 million as compared to the prior year, primarily driven by the Acclarent acquisition costs and related commercial activities, as well as sustaining our existing cost structure despite temporary shipping holds.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Amortization expense (which does not include amounts reported in cost of product revenues for technology-based intangible assets) in 2024 was $21.3 million compared to $12.4 million in 2023, driven by the impairment of customer relationship intangible related to our Boston facility of $7.1 million, as well as amortization associated with the Acclarent acquisition.</w:t>
      </w:r>
    </w:p>
    <w:p>
      <w:pPr>
        <w:spacing w:after="0" w:line="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may discontinue certain products in the future as we continue to assess the profitability of our product lines. As our profitability assessment evolves, we may make further decisions about our trade names and incur impairment charges or accelerated amortization. Total annual amortization expense is expected to be approximately $106.0 million in 2025, $105.8 million in 2026, $104.9 million in 2027, $101.3 million in 2028, $96.0 million in 2029 and $528.2 million thereafter. Additionally, we expect the amortization of product technology based intangible assets, presented within cost of goods sold, to be an average of 88% of total future amortization expense.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17,202</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(51,377)</w:t>
            </w:r>
          </w:p>
        </w:tc>
      </w:tr>
      <w:tr>
        <w:trPr>
          <w:trHeight w:val="21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r>
      <w:tr>
        <w:trPr>
          <w:trHeight w:val="204"/>
        </w:trPr>
        <w:tc>
          <w:tcPr>
            <w:tcW w:w="7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non-operating income and expense</w:t>
            </w:r>
          </w:p>
        </w:tc>
        <w:tc>
          <w:tcPr>
            <w:tcW w:w="4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(46,648)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(30,457)</w:t>
            </w:r>
          </w:p>
        </w:tc>
      </w:tr>
      <w:tr>
        <w:trPr>
          <w:trHeight w:val="22"/>
        </w:trPr>
        <w:tc>
          <w:tcPr>
            <w:tcW w:w="7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Interest income for the year ended December 31, 2024 increased by $2.8 million as compared to the same period last year primarily due to higher interest on time deposits and cross-currency swap agreements designated as net investment hedges.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Interest expense for the year ended December 31, 2024 increased by $19.3 million as compared to the same period in the prior year mainly due to incremental borrowing for the Acclarent acquisition.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for the year ended December 31, 2024 increased by $0.2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effective income tax rate was 61.9% and 16.4% of income before income taxes in 2024 and 2023, respectively. See </w:t>
      </w:r>
      <w:r>
        <w:rPr>
          <w:rFonts w:ascii="Times New Roman" w:cs="Times New Roman" w:eastAsia="Times New Roman" w:hAnsi="Times New Roman"/>
          <w:sz w:val="18"/>
          <w:szCs w:val="18"/>
          <w:i w:val="1"/>
          <w:iCs w:val="1"/>
          <w:color w:val="auto"/>
        </w:rPr>
        <w:t>Note 12. Income Taxes</w:t>
      </w:r>
      <w:r>
        <w:rPr>
          <w:rFonts w:ascii="Times New Roman" w:cs="Times New Roman" w:eastAsia="Times New Roman" w:hAnsi="Times New Roman"/>
          <w:sz w:val="18"/>
          <w:szCs w:val="18"/>
          <w:color w:val="auto"/>
        </w:rPr>
        <w:t>, in our consolidated financial statements for a reconciliation of the United States federal statutory rate to our effective tax rate. Our effective tax rate could vary from year to year depending on, among other factors, tax law changes, the geographic and business mix and taxable earnings and losses. We consider these factors and others, including our history of generating taxable earnings, in assessing our ability to realize deferred tax assets. We estimate our worldwide effective income tax rate for 2025 to be approximately 36.7%, estimated based on existing tax laws.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the Company had $15.5 million of valuation allowance against the remaining $240.2 million of gross deferred tax assets recorded at December 31, 2024. Our deferred tax asset valuation allowance increased by $3.0 million in 2024, primarily driven by $1.1 million related to the Swiss federal tax credit. The valuation allowance relates to deferred tax assets for which the Company does not believe it has satisfied the more likely than not threshold for realization.</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2024, we had net operating loss carryforwards of $51.2 million for federal income tax purposes, $106.7 million for foreign income tax purposes and $46.5 million for state income tax purposes to offset future taxable income. The federal net operating loss carryforwards decreased in 2024 due to usage during the year. Of the total federal net operating loss carryforwards, $51.2 million expire through 2037. Regarding the foreign net operating loss carryforwards, $87.5 million expire through 2028 and $19.1 million have an indefinite carryforward period. The state net operating loss carryforwards expire through 2042.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6" w:name="page47"/>
    <w:bookmarkEnd w:id="46"/>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2024, the Company has not provided deferred income taxes on unrepatriated earnings from foreign subsidiaries as they are deemed to be indefinitely reinvested unless there is a manner under which to remit the earnings with no material tax cost.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PRODUCT REVENUES AND OPERATIONS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attributes revenues to geographic areas based on the location of the customer. Total revenue by major geographic area consisted of the following:</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1,192,675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1,100,730</w:t>
            </w: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165,221</w:t>
            </w:r>
          </w:p>
        </w:tc>
      </w:tr>
      <w:tr>
        <w:trPr>
          <w:trHeight w:val="21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193,096</w:t>
            </w:r>
          </w:p>
        </w:tc>
      </w:tr>
      <w:tr>
        <w:trPr>
          <w:trHeight w:val="21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82,526</w:t>
            </w:r>
          </w:p>
        </w:tc>
      </w:tr>
      <w:tr>
        <w:trPr>
          <w:trHeight w:val="23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1,610,527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1,541,573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6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Domestic revenues increased by $91.9 million for the year ended December 31, 2024 compared to the same period last year. European sales decreased by $6.7 million for the year ended December 31, 2024 compared to the same period last year. Sales to customers in Asia Pacific decreased by $16.5 million for the year ended December 31, 2024 compared to the same period last year. The Rest of the World for the year ended December 31, 2024 increased by $0.2 million compared to the same period last year.</w:t>
      </w:r>
    </w:p>
    <w:p>
      <w:pPr>
        <w:spacing w:after="0" w:line="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increase in revenues is primarily the result of the Acclarent acquisition, offset by a decline in sales due to shipping holds and production challenges. The international revenues were impacted by a $6.1 million unfavorable foreign exchange impact, with the larger impact in Europe.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December 31, 2024 and December 31, 2023, working capital was $159.6 million and $751.1 million, respectively. Working capital consists of total current assets less total current liabilities as presented in the consolidated balance sheets. The decrease in working capital as compared to the prior year is primarily driven by $573.2 million related to the 2025 Notes, which became current during the year.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Marketable Securities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had cash and cash equivalents totaling approximately $246.4 million and $276.4 million at December 31, 2024 and 2023, respectively, which are valued based on Level 1 measurements in the fair value hierarchy. At December 31, 2024, our non-U.S. subsidiaries held approximately $211.4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Investments</w:t>
      </w:r>
    </w:p>
    <w:p>
      <w:pPr>
        <w:spacing w:after="0" w:line="11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Company had short term investments, primarily consisting of time deposits, which are valued based on Level 1 measurements in the fair value hierarchy, totaling approximately $27.2 million at December 31, 2024 and $32.7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139,955</w:t>
            </w: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(94,178)</w:t>
            </w:r>
          </w:p>
        </w:tc>
      </w:tr>
      <w:tr>
        <w:trPr>
          <w:trHeight w:val="21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(229,925)</w:t>
            </w:r>
          </w:p>
        </w:tc>
      </w:tr>
      <w:tr>
        <w:trPr>
          <w:trHeight w:val="21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fluctuations on cash</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w:t>
            </w:r>
          </w:p>
        </w:tc>
      </w:tr>
      <w:tr>
        <w:trPr>
          <w:trHeight w:val="231"/>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(180,259)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cash flows for the year ended December 31, 2024 decreased by $10.6 million compared to the same period in 2023. Net income after removing the impact of non-cash adjustments decreased for the year ended December 31, 2024, by approximately $61.1 million as compared to 2023, primarily driven by costs related to Acclarent, as well as costs associated with quality and operational issues. The changes in assets and liabilities, net of business acquisitions, decreased cash flows by $31.0 million in 2024 as compared to the decrease in cash flows of $81.6 million for the same period in 2023. The change in 2024 is mainly attributable to increases in inventory and prepaid and other current assets, offset by decreases in accounts receivable.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Uses of cash from investing activities for the year ended December 31, 2024 were $277.8 million related to the Acclarent acquisition, $104.4 million paid for capital expenditures to support the investment in the new Braintree facility, as well as improvement initiatives at a number of our manufacturing facilities, and other technology investments, $49.0 million related to the purchase of short-term investments, $10.0 million related to the purchase of intangible assets for Durepair, and $4.1 million related to settlement of our cross-currency swap designated as net investment hedge.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Sources of cash from investing activities for the year ended December 31, 2024 were $54.5 million for short term investments converted to cash.</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Uses of cash from investing activities for the year ended December 31, 2023, were $66.9 million for capital expenditures to support operations improvement initiatives at a number of our manufacturing facilities, including our Braintree facility in Massachusetts, and other information technology investments and $32.7 million related to the purchase of short-term investments.</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Sources of cash from investing activities for the year ended December 31, 2023 were $5.4 million proceeds on cross-currency swaps designated as net investment hedge.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Uses of cash from financing activities for the year ended December 31, 2024 related to the repayments of $187.1 million under our Senior Credit Facility and Securitization Facility, $52.5 million related to the repurchase of treasury stock under the share repurchase agreements, $11.9 million related to payment of contingent consideration for the SIA acquisition, and $3.5 million in cash taxes paid for net equity settlements.</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Sources of cash from financing activities for the year ended December 31, 2024 were $486.5 million proceeds from borrowings under our Senior Credit Facility and Securitization Facility and $6.4 million proceeds from the exercise of stock options.</w:t>
      </w:r>
    </w:p>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Uses of cash from financing activities for the year ended December 31, 2023 primarily related to the repurchase of treasury stock of under the share repurchase agreements of $275.0 million, repayments of $110.6 million under our Senior Credit Facility (as defined below), $7.9 million related to debt issuance costs, and $5.9 million in cash taxes paid for net equity settlements.</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Sources of cash from financing activities for the year ended December 31, 2023 were $165.1 million borrowings under our Senior Credit Facility and Securitization Facility and $4.3 million proceeds from the exercise of stock options.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Convertible Senior Notes, Securitization and Related Hedging Activities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5. Debt</w:t>
      </w:r>
      <w:r>
        <w:rPr>
          <w:rFonts w:ascii="Times New Roman" w:cs="Times New Roman" w:eastAsia="Times New Roman" w:hAnsi="Times New Roman"/>
          <w:sz w:val="18"/>
          <w:szCs w:val="18"/>
          <w:color w:val="auto"/>
        </w:rPr>
        <w:t xml:space="preserve">, to the Notes to Consolidated Financial Statements (Part IV, Item 15 of this Annual Report on Form 10-K) for further details of our Amended and Restated Senior Credit Agreement, the 2025 Notes, and Securitization Facility and </w:t>
      </w:r>
      <w:r>
        <w:rPr>
          <w:rFonts w:ascii="Times New Roman" w:cs="Times New Roman" w:eastAsia="Times New Roman" w:hAnsi="Times New Roman"/>
          <w:sz w:val="18"/>
          <w:szCs w:val="18"/>
          <w:i w:val="1"/>
          <w:iCs w:val="1"/>
          <w:color w:val="auto"/>
        </w:rPr>
        <w:t>Note 6. Derivative Instruments</w:t>
      </w:r>
      <w:r>
        <w:rPr>
          <w:rFonts w:ascii="Times New Roman" w:cs="Times New Roman" w:eastAsia="Times New Roman" w:hAnsi="Times New Roman"/>
          <w:sz w:val="18"/>
          <w:szCs w:val="18"/>
          <w:color w:val="auto"/>
        </w:rPr>
        <w:t xml:space="preserve"> to the Notes to Consolidated Financial Statements (Part IV, Item 15 of this Annual Report on Form 10-K) for further details of our hedging activities.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Senior Credit Facility is subject to various financial and negative covenants and, at December 31, 2024, the Company was in compliance with all such covenants. Our Consolidated Total Leverage Ratio was 4.04, with the covenant requirement at 5.00 at the end of December 31, 2024. As outlined in the table in </w:t>
      </w:r>
      <w:r>
        <w:rPr>
          <w:rFonts w:ascii="Times New Roman" w:cs="Times New Roman" w:eastAsia="Times New Roman" w:hAnsi="Times New Roman"/>
          <w:sz w:val="18"/>
          <w:szCs w:val="18"/>
          <w:i w:val="1"/>
          <w:iCs w:val="1"/>
          <w:color w:val="auto"/>
        </w:rPr>
        <w:t>Note 5. Debt,</w:t>
      </w:r>
      <w:r>
        <w:rPr>
          <w:rFonts w:ascii="Times New Roman" w:cs="Times New Roman" w:eastAsia="Times New Roman" w:hAnsi="Times New Roman"/>
          <w:sz w:val="18"/>
          <w:szCs w:val="18"/>
          <w:color w:val="auto"/>
        </w:rPr>
        <w:t xml:space="preserve"> the covenant requirement will drop from 5.00 to 4.25 for the fiscal quarter ended December 31, 2025. Based on our current forecast for the next twelve months we expect to remain in compliance with the financial and negative covenants.</w:t>
      </w:r>
    </w:p>
    <w:p>
      <w:pPr>
        <w:spacing w:after="0" w:line="6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The 2025 Notes are scheduled to mature on August 15, 2025. We have sufficient capacity under the revolving credit facility of the Senior Credit Facility to repay the outstanding principal and accrued interest on the 2025 Notes upon maturity.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Plan</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 Treasury Stock</w:t>
      </w:r>
      <w:r>
        <w:rPr>
          <w:rFonts w:ascii="Times New Roman" w:cs="Times New Roman" w:eastAsia="Times New Roman" w:hAnsi="Times New Roman"/>
          <w:sz w:val="18"/>
          <w:szCs w:val="18"/>
          <w:color w:val="auto"/>
        </w:rPr>
        <w:t>, to the Notes to Consolidated Financial Statements (Part IV, Item 15 of this Annual Report on Form 10-K) for further details of our share repurchase programs.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the Board of Directors and will depend upon our financial condition, results of operations, cash flows and other factors deemed relevant by the Board of Directors.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cash and available borrowings under the Senior Credit Facility are sufficient to finance our operations, capital expenditures and potential repayment of the 2025 Notes for the next twelve months and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do not have any off-balance sheet financing arrangements during the year ended December 31, 2024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spacing w:after="0" w:line="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primary obligations include principal and interest payments on the revolving credit facility and term loan component of the Senior Credit Facility, Securitization Facility and 2025 Notes. See </w:t>
      </w:r>
      <w:r>
        <w:rPr>
          <w:rFonts w:ascii="Times New Roman" w:cs="Times New Roman" w:eastAsia="Times New Roman" w:hAnsi="Times New Roman"/>
          <w:sz w:val="18"/>
          <w:szCs w:val="18"/>
          <w:i w:val="1"/>
          <w:iCs w:val="1"/>
          <w:color w:val="auto"/>
        </w:rPr>
        <w:t>Note 5. Debt</w:t>
      </w:r>
      <w:r>
        <w:rPr>
          <w:rFonts w:ascii="Times New Roman" w:cs="Times New Roman" w:eastAsia="Times New Roman" w:hAnsi="Times New Roman"/>
          <w:sz w:val="18"/>
          <w:szCs w:val="18"/>
          <w:color w:val="auto"/>
        </w:rPr>
        <w:t xml:space="preserve">, to the Notes to Consolidated Financial Statements (Part IV, Item 15 of this Annual Report on Form 10-K) for details. The Company also leases some of our manufacturing facilities and office buildings which have required future minimum lease payments. See </w:t>
      </w:r>
      <w:r>
        <w:rPr>
          <w:rFonts w:ascii="Times New Roman" w:cs="Times New Roman" w:eastAsia="Times New Roman" w:hAnsi="Times New Roman"/>
          <w:sz w:val="18"/>
          <w:szCs w:val="18"/>
          <w:i w:val="1"/>
          <w:iCs w:val="1"/>
          <w:color w:val="auto"/>
        </w:rPr>
        <w:t>Note 11. Lease and Related Party Leases</w:t>
      </w:r>
      <w:r>
        <w:rPr>
          <w:rFonts w:ascii="Times New Roman" w:cs="Times New Roman" w:eastAsia="Times New Roman" w:hAnsi="Times New Roman"/>
          <w:sz w:val="18"/>
          <w:szCs w:val="18"/>
          <w:color w:val="auto"/>
        </w:rPr>
        <w:t>, to the Notes to Consolidated Financial Statements (Part IV, Item 15 of this Annual Report on Form 10-K) for a schedule of our future minimum lease payments. Amounts related to the Company’s other obligations, including employment agreements and purchase obligations were not material.</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contingent consideration obligations related to prior and current year acquisitions and future pension contribution obligations. See </w:t>
      </w:r>
      <w:r>
        <w:rPr>
          <w:rFonts w:ascii="Times New Roman" w:cs="Times New Roman" w:eastAsia="Times New Roman" w:hAnsi="Times New Roman"/>
          <w:sz w:val="18"/>
          <w:szCs w:val="18"/>
          <w:i w:val="1"/>
          <w:iCs w:val="1"/>
          <w:color w:val="auto"/>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Benefit Plans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Note 15. Commitments and Contingencies </w:t>
      </w:r>
      <w:r>
        <w:rPr>
          <w:rFonts w:ascii="Times New Roman" w:cs="Times New Roman" w:eastAsia="Times New Roman" w:hAnsi="Times New Roman"/>
          <w:sz w:val="18"/>
          <w:szCs w:val="18"/>
          <w:color w:val="auto"/>
        </w:rPr>
        <w:t>to the Notes to Consolidated Financial Statements (Part IV, Item 15 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Report on Form 10-K) for details. The associated obligations are not fixed. The Company also has a liability for uncertain tax benefits including interest and penalties. See </w:t>
      </w:r>
      <w:r>
        <w:rPr>
          <w:rFonts w:ascii="Times New Roman" w:cs="Times New Roman" w:eastAsia="Times New Roman" w:hAnsi="Times New Roman"/>
          <w:sz w:val="18"/>
          <w:szCs w:val="18"/>
          <w:i w:val="1"/>
          <w:iCs w:val="1"/>
          <w:color w:val="auto"/>
        </w:rPr>
        <w:t>Note 12. Income Taxes</w:t>
      </w:r>
      <w:r>
        <w:rPr>
          <w:rFonts w:ascii="Times New Roman" w:cs="Times New Roman" w:eastAsia="Times New Roman" w:hAnsi="Times New Roman"/>
          <w:sz w:val="18"/>
          <w:szCs w:val="18"/>
          <w:color w:val="auto"/>
        </w:rPr>
        <w:t xml:space="preserve"> to the Notes to Consolidated Financial Statements (Part IV, Item 15 of this Annual Report on Form 10-K) for details. The Company cannot make a reliable estimate of the period in which the uncertain tax benefits may be realized.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Benefits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incurred employee termination costs on restructuring activities of $5.2 million in the consolidated statement of operations for the year ended December 31, 2024. Restructuring costs were included in accrued expenses and other current liabilities in the consolidated balance sheet for the year ended December 31, 2024 and 2023. 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of the Notes to Consolidated Financial Statements (Part IV, Item 15 of this Annual Report on Form 10-K) for further details.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discussion and analysis of financial conditions and results of operations is based upon our consolidated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accounting for business combinations; valuation of goodwill and intangible assets including estimated projected cash flows, discount rates, and estimated useful lives used to value and test goodwill and intangible assets for impairment; income taxes and valuation allowances recorded against deferred tax assets; valuation of stock-based compensation; valuation of retirement benefit plan assets and liabilities; valuation of derivative instruments; and valuation of contingent liabilities. These estimates are based on historical experience and on various other assumptions that are believed to be reasonable under the current circumstances.</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that the following accounting policies, which form the basis for developing these estimates, are those that are most critical to the presentation of our consolidated financial statements and require the more difficult subjective and complex judgments, often because of the need to make estimates about the effect of matters that are inherently uncertain. Because of this uncertainty, actual results could differ from these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Inventories, consisting of purchased materials, direct labor and manufacturing overhead, are stated at the lower of cost (determined by the first-in, first-out method) or net realizable value.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w:t>
      </w:r>
    </w:p>
    <w:p>
      <w:pPr>
        <w:spacing w:after="0" w:line="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to the Notes to Consolidated Financial Statements (Part IV, Item 15 of this Annual Report on Form 10-K) for more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the acquisition of a business in accordance with ASC 805. Amounts paid to acquire a business are allocated to the assets acquired and liabilities assumed based on their respective estimated fair values as of the date of acquisition in accordance with the fair value hierarchy described in FASB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Any excess of the purchase price over the fair value of the net assets acquired is recorded as goodwill. Transaction costs and costs to restructure the acquired company are expensed as incurred. Results of operations of acquired businesses are included in the Company’s results of operations as of the respective acquisition dates.</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determines the fair value of acquired intangible assets based on detailed valuations that use information and assumptions provided by management. Determining the fair value of these intangible assets acquired as part of a business combination requires the Company to make significant estimates. These estimates include the estimated annual net cash flows including application of forecasted revenue, the discount rate that appropriately reflects the risk inherent in each future cash flow stream, and an assessment of the asset’s life cycle, as well as other factors such as the consideration of legal, technical, regulatory, economic, and competitive risks. The fair value assigned to acquired intangible assets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our acquisition of Acclarent, the key areas of judgment relating to the valuation of the acquired definite-lived developed technology intangible assets were net revenue growth rates; cost of sales; operating expenses including selling and marketing costs, research and development costs, and general and administrative costs; discount rates; obsolescence curve; and intangible assets’ estimated useful lives. These assumptions were developed with the assistance of a third-party valuation expert. In our acquisition of SIA, the key areas of judgment relating to the valuation of the acquired definite-lived developed technology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were net revenue growth rates; cost of sales; operating expenses including selling and marketing costs, research and development costs, and general and administrative costs; discount rates; and intangible assets’ useful lives. The key areas of judgment relating to the valuation of the contingent consideration are the inputs to the Monte-Carlo model including revenue-adjusted discount rate; counterpart discount rate; revenue volatility and forecasted revenue; earnings before income taxes; and fixed costs. These assumptions were developed with the assistance of a third-party valuation expert.</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In-process research and development (“IPR&amp;D”) acquired in connection with the acquisition of a business in accordance with ASC 805 is initially recognized at fair value and characterized as an indefinite-lived intangible asset, irrespective of whether the acquired IPR&amp;D has an alternative future use. The Company uses the income approach to determine the fair value of developed technology and IPR&amp;D acquired in a business combination. This approach determines fair value by estimating the after-tax cash flows attributable to the respective asset over its useful life and then discounting these after-tax cash flows back to a present value. Some of the more significant assumptions inherent in the development of those asset valuations include the estimated net cash flows for each year for each product including net revenues, cost of sales, research and development costs, selling and marketing costs, general and administrative costs, the appropriate discount rate to select in order to measure the risk inherent in each future cash flow stream, the assessment of each asset’s life cycle, and competitive trends impacting the asset and each cash flow stream.</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Research and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project is subsequently abandoned, the indefinite-lived intangible asset is charged to expense.</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uncertainty associated with IPR&amp;D, there is risk that actual results will differ materially from the original cash flow projections and that the research and development project will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acquired net assets do not constitute a business under the acquisition method of accounting, the transaction is accounted for as an asset acquisition and no goodwill is recognized. In an asset acquisition, the amount allocated to acquired IPR&amp;D with no alternative future use is charged to expense at the acquisition date. Payments that would be recognized as contingent consideration in a business combination are recognized when probable in an asset acquisition.</w:t>
      </w:r>
    </w:p>
    <w:p>
      <w:pPr>
        <w:spacing w:after="0" w:line="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4. Acquisitions and Divestitures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 Commitments and Contingencies</w:t>
      </w:r>
      <w:r>
        <w:rPr>
          <w:rFonts w:ascii="Times New Roman" w:cs="Times New Roman" w:eastAsia="Times New Roman" w:hAnsi="Times New Roman"/>
          <w:sz w:val="18"/>
          <w:szCs w:val="18"/>
          <w:color w:val="auto"/>
        </w:rPr>
        <w:t xml:space="preserve"> to the Notes to Consolidated Financial Statements (Part IV, Item 15 of this Annual Report on Form 10-K) for more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Identifiable Intangible Assets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FASB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 goodwill is not subject to amortization but is tested for impairment at the reporting unit level annually in the third quarter. In addition, the Company may perform interim tests of goodwill for impairment if an event occurs or circumstances change that could potentially reduce the fair value of a reporting unit below its carrying amount. The carrying value of each reporting unit is determined by assigning the assets and liabilities, including the existing goodwill and intangible assets, to those reporting units.</w:t>
      </w:r>
    </w:p>
    <w:p>
      <w:pPr>
        <w:spacing w:after="0" w:line="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For the quantitative test, management uses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EBITDA multiples. Estimates and assumptions used in the income approach to calculate projected future discounted cash flows included revenue growth rates, cost of sales, terminal growth rate, and a discount rate for each reporting unit. Discount rates are determined using a weighted average cost of capital for risk factors specific to each reporting unit and other market and industry data. The assumptions used are inherently subject to uncertainty and slight changes in these assumptions could have a significant impact on the concluded value. The estimates and assumptions applied represent a Level 3 measurement in the fair value hierarchy. Level 3 inputs are supported by limited or no market activity and reflect the Company’s assumptions in measuring fair value.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assumptions used to estimate the fair value of each reporting unit include the following:</w:t>
      </w:r>
    </w:p>
    <w:p>
      <w:pPr>
        <w:spacing w:after="0" w:line="112" w:lineRule="exact"/>
        <w:rPr>
          <w:sz w:val="20"/>
          <w:szCs w:val="20"/>
          <w:color w:val="auto"/>
        </w:rPr>
      </w:pPr>
    </w:p>
    <w:p>
      <w:pPr>
        <w:ind w:left="64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unit’s financial projections, including revenue growth rates and cost of sales, which are based on management’s assessment of regional and macroeconomic variables, industry trends and market opportunities, and the Company’s strategic objectives and future growth plans.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1" w:name="page52"/>
    <w:bookmarkEnd w:id="51"/>
    <w:p>
      <w:pPr>
        <w:jc w:val="both"/>
        <w:ind w:left="640" w:hanging="315"/>
        <w:spacing w:after="0" w:line="260"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5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$1.1 billion on its consolidated balance sheet as of December 31, 2024.</w:t>
      </w:r>
    </w:p>
    <w:p>
      <w:pPr>
        <w:spacing w:after="0" w:line="1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third quarter of 2024, the Company elected to bypass the qualitative evaluations of its Tissue Technologies, Neurosurgery, and Instruments and ENT reporting units and perform quantitative tests. The quantitative test for the Tissue Technologies reporting unit utilized a terminal growth rate of 2.5% and a discount rate of 12.5% in the income approach. The Company determined, after performing the quantitative analysis, that the fair value of the Tissue Technologies reporting unit was not less than its carrying amount, with 21.2% headroom. The quantitative test for the Neurosurgery reporting unit utilized a terminal growth rate of 2.5% and a discount rate of 12.0% in the income approach. The Company determined, after performing the quantitative analysis, that the fair value of the Neurosurgery reporting unit was not less than its carrying amount, with 11.7% headroom. The quantitative test for the Instruments and ENT reporting unit utilized a terminal growth rate of 2.5% and a discount rate of 11.5% in the income approach. The Company determined, after performing the quantitative analysis, that the fair value of the Instruments and ENT reporting unit was not less than its carrying amount, with 22.1% headroom. Based on the results of these quantitative tests, the Company recorded no impairment of goodwill for Tissue Technologies, Neurosurgery, or Instruments and ENT reporting units. The Company also performed a hypothetical sensitivity analysis of the fair value for each reporting unit by increasing the discount rate by 50 basis points, decreasing the terminal growth rate by 50 basis points, and holding all other assumptions constant, which resulted in a decrease to the estimated fair value of the Tissue Technology reporting unit by 4.5%, a decrease to the estimated fair value of the Neurosurgery reporting unit by 3.8%, and a decrease to the estimated fair value of the Instruments and ENT reporting unit by 3.5%. Based on the results of the hypothetical sensitivity analyses, the Company would still not have recorded an impairment of goodwill for Tissue Technologies, Neurosurgery, or Instruments and ENT reporting units.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due to third-party audit findings and an update to the estimated timeframe to resume the commercial distribution of products manufactured in the Company’s manufacturing facility located in Boston, Massachusetts, the Company elected to perform a quantitative analysis of its Tissue Technologies reporting unit. The quantitative test utilized a terminal growth rate of 2.0% and a discount rate of 14.5% in the income approach. The Company determined, after performing the quantitative analysis, that the fair value of the Tissue Technologies reporting unit was not less than its carrying amount, with 19.9% headroom.</w:t>
      </w:r>
    </w:p>
    <w:p>
      <w:pPr>
        <w:spacing w:after="0" w:line="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accordance with ASC 350, the Company does not amortize intangible assets with indefinite lives but tests its intangible assets with indefinite lives for impairment annually in the third quarter. In addition, the Company performs interim tests of its intangible assets with indefinite lives for impairment if an event occurs or circumstances change that could potentially reduce the fair value of a indefinite lived intangible asset below its carrying amount. The Company tests its intangible assets with indefinite lives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 For the quantitative test, management uses an income approach to determine the fair value of the indefinite-lived intangible asset. The income approach utilizes the estimated discounted cash flows for the indefinite-lived intangible asset. Estimates and assumptions used in the income approach to calculate projected future discounted cash flows included revenue growth rates, operating margins, and a discount rate for each indefinite-lived intangible asset. Discount rates are determined using a weighted average cost of capital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 The assumptions used are inherently subject to uncertainty and slight changes in these assumptions could have a significant impact on the concluded value. The estimates and assumptions applied represent a Level 3 measurement in the fair value hierarchy described in ASC 820. Level 3 inputs are supported by limited or no market activity and reflect the Company’s assumptions in measuring fair value.</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2024, the Company elected to bypass the qualitative evaluation for its indefinite-lived intangible asset and performed a quantitative test. In performing this test, the Company utilized a discount rate of 13.0%. The assumptions used in evaluating the Codman trade name for impairment are subject to change and are tracked against historical results by management. Based on the results of the quantitative test, the Company recorded no impairment to the Codman trade name intangible asset.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2" w:name="page53"/>
    <w:bookmarkEnd w:id="52"/>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Developed technologies and other definite-lived intangible assets are amortized over their estimated useful lives either using the straight-line method or, if reliably determinable, based on the pattern of which the economic benefit of the asset is expected to be utilized. Definite-lived intangible assets are periodically evaluated for impairment in accordance with FASB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(“ASC 360”) whenever events or changes in circumstances indicate that a definite-lived intangible asset’s carrying value may not be recoverable. The evaluation for recoverability involves comparing the carrying amount of the definite-lived intangible asset to the Company’s expectations of the future undiscounted cash flows derived from the definite-lived intangible asset. In the event the carrying value of the definite-lived intangible asset exceeds the undiscounted future cash flows expected to be derived from the definite-lived intangible asset over its remaining estimated useful life, the definite-lived intangible asset is considered not recoverable and the definite-lived intangible asset is tested for impairment. An impairment loss is measured as the excess of the definite-lived intangible asset’s carrying value over its fair value, calculated using market participant assumptions pursuant to ASC 820 using discounted future cash flows based on the present value of estimated future cash flows to be generated by the definite-lived intangible asset using a risk-adjusted discount rate. The impairment loss is recognized in the period that the impairment occurs.</w:t>
      </w:r>
    </w:p>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the first quarter of 2024, due to third-party audit findings and an update to the estimated timeframe to resume the commercial distribution of products manufactured in the Boston facility, the Company elected to perform quantitative impairment testing on certain definite-lived intangible assets including completed technology and customer relationships. The Company recorded an impairment charge related to the definite-lived intangible asset associated with the customer relationships of $7.1 million in intangible asset amortization in the consolidated statement of operations. With respect to the definite-lived intangible assets associated with the completed technology of SurgiMend® and PriMatrix®, the Company determined that the carrying amount of these definite-lived intangible assets were recoverable and, therefore, the intangible assets were not deemed to be impaired. In the second quarter of 2024, the Company approved a plan to transition the commercial distribution of SurgiMend® and PriMatrix® from the Boston facility to the Company’s manufacturing facility in Braintree, Massachusetts. The Company considered the impact to the update to the estimated timeframe to resume the commercial distribution of products manufactured in the Boston facility on the assumptions used in the quantitative assessment of the definite-lived intangible assets completed in the first quarter of 2024, which did not require further evaluation for impairment. The carrying values of SurgiMend® and PriMatrix® are $32.8 million and $24.4 million, respectively, as of December 31,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had identifiable intangible assets, net of accumulated amortization, of $1.2 billion on its consolidated balance sheet as of December 31, 2024.</w:t>
      </w:r>
    </w:p>
    <w:p>
      <w:pPr>
        <w:spacing w:after="0" w:line="1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7. Goodwill and Other Intangibles</w:t>
      </w:r>
      <w:r>
        <w:rPr>
          <w:rFonts w:ascii="Times New Roman" w:cs="Times New Roman" w:eastAsia="Times New Roman" w:hAnsi="Times New Roman"/>
          <w:sz w:val="18"/>
          <w:szCs w:val="18"/>
          <w:color w:val="auto"/>
        </w:rPr>
        <w:t>, to the Notes to Consolidated Financial Statements (Part IV, Item 15 of this Annual Report on Form 10-K) for more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provision for income taxes may change period-to-period based on specific events, such as the settlement of income tax audits and changes in tax laws, as well as general factors, including the geographic mix of income before taxes, state and local taxes and the effects of the Company's global income tax strategies. We maintain strategic management and operational activities in overseas subsidiaries. See </w:t>
      </w:r>
      <w:r>
        <w:rPr>
          <w:rFonts w:ascii="Times New Roman" w:cs="Times New Roman" w:eastAsia="Times New Roman" w:hAnsi="Times New Roman"/>
          <w:sz w:val="18"/>
          <w:szCs w:val="18"/>
          <w:i w:val="1"/>
          <w:iCs w:val="1"/>
          <w:color w:val="auto"/>
        </w:rPr>
        <w:t>Note 12. Income Taxes</w:t>
      </w:r>
      <w:r>
        <w:rPr>
          <w:rFonts w:ascii="Times New Roman" w:cs="Times New Roman" w:eastAsia="Times New Roman" w:hAnsi="Times New Roman"/>
          <w:sz w:val="18"/>
          <w:szCs w:val="18"/>
          <w:color w:val="auto"/>
        </w:rPr>
        <w:t>, to the Notes to Consolidated Financial Statements (Part IV, Item 15 of this Annual Report on Form 10-K), in our consolidated financial statements for disclosures related to foreign and domestic pretax income, foreign and domestic income tax expense (benefit) and the effect foreign taxes have on our overall effective tax rate.</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we have identified all reasonably identifiable exposures and that the reserve we have established for identifiable exposures is appropriate under the circumstances; however, it is possible that additional exposures exist and that exposures will be settled at amounts different from the amounts reserved. It is also possible that changes in facts and circumstances could cause us to either materially increase or reduce the carrying amount of our tax reserves.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18"/>
          <w:szCs w:val="18"/>
          <w:color w:val="auto"/>
        </w:rPr>
        <w:t>Our deferred income taxes reflect the net tax effects of temporary differences between the carrying amounts of assets and liabilities for financial reporting purposes and their basis for income tax purposes, and the temporary differences created by the tax effects of capital loss, net operating loss and tax credit carryforwards. We record valuation allowances when it is more likely than not that some portion or all of the deferred tax assets will not be realized. We could recognize no benefit from our deferred tax assets or we could recognize some or all of the future benefit depending on the amount and timing of taxable income we generate in the future.</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 has not provided deferred income taxes on unrepatriated earnings from foreign subsidiaries as they are deemed to be indefinitely reinvested unless there is a manner under which to remit the earnings with no material tax cost. The current analysis indicates that we have sufficient U.S. liquidity, including borrowing capacity, to fund foreseeable U.S. cash needs without requiring the repatriation of foreign cash. One time or unusual items that may impact our ability or intent to keep the foreign earnings and cash indefinitely reinvested include significant U.S. acquisitions, loans from a foreign subsidiary, and changes in tax laws.</w:t>
      </w:r>
    </w:p>
    <w:p>
      <w:pPr>
        <w:spacing w:after="0" w:line="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 Income Taxes</w:t>
      </w:r>
      <w:r>
        <w:rPr>
          <w:rFonts w:ascii="Times New Roman" w:cs="Times New Roman" w:eastAsia="Times New Roman" w:hAnsi="Times New Roman"/>
          <w:sz w:val="18"/>
          <w:szCs w:val="18"/>
          <w:color w:val="auto"/>
        </w:rPr>
        <w:t>, to the Notes to Consolidated Financial Statements (Part IV, Item 15 of this Annual Report on Form 10-K) for more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Standards</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to the Notes to Consolidated Financial Statements (Part IV, Item 15 of this Annual Report on Form 10-K), to the consolidated financial statements for recently adopted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and Other Rate Risks</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Israeli shekel,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Times New Roman" w:cs="Times New Roman" w:eastAsia="Times New Roman" w:hAnsi="Times New Roman"/>
          <w:sz w:val="18"/>
          <w:szCs w:val="18"/>
          <w:i w:val="1"/>
          <w:iCs w:val="1"/>
          <w:color w:val="auto"/>
        </w:rPr>
        <w:t>Note 6. Derivative Instruments</w:t>
      </w:r>
      <w:r>
        <w:rPr>
          <w:rFonts w:ascii="Times New Roman" w:cs="Times New Roman" w:eastAsia="Times New Roman" w:hAnsi="Times New Roman"/>
          <w:sz w:val="18"/>
          <w:szCs w:val="18"/>
          <w:color w:val="auto"/>
        </w:rPr>
        <w:t>, to the Notes to Consolidated Financial Statements (Part IV, Item 15 of this Annual Report on Form 10-K) for additional information.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discussed herein have not been materially affected by inflation.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We are exposed to the risk of interest rate fluctuations on the interest income earned on our cash and cash equivalents.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hypothetical 100 basis points increase or decrease in interest rates applicable to our cash and cash equivalents outstanding at December 31, 2024 would impact the Company by approximately $2.5 million on an annual basis. We are subject to foreign currency exchange risk with respect to cash balances maintained in foreign currencies.</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We are exposed to the risk of interest rate fluctuations on the interest income earned on our short-term investments. A hypothetical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basis points movement in interest rates applicable to our short-term investments outstanding at December 31, 2024 would increase or decrease interest income by approximately $0.3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54" w:name="page55"/>
    <w:bookmarkEnd w:id="54"/>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relates primarily to U.S. dollar SOFR-indexed borrowings. We use interest rate swap derivative instruments to manage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cash flow exposure to changes in interest rates. These interest rate swaps fix the interest rate on a portion of our expected SOFR-indexed floating-rate borrowings. These interest rate swaps were designated as cash flow hedges as of December 31, 2024. The total notional amounts related to the Company’s interest rate swaps were $1.1 billion with $425.0 million effective as of December 31, 2024. Based on our outstanding borrowings at December 31, 2024, a 100 basis points change in interest rates would have impacted interest expense on the unhedged portion of the debt by $8.1 million on an annualized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SUPPLEMENTAL DATA</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Financial statements and the financial statement schedule specified by this Item, together with the report thereon of PricewaterhouseCoopers LLP, are presented following Item 15. Exhibits and Financial Statement Schedule of this Annual Report on Form 10-K.</w:t>
      </w:r>
    </w:p>
    <w:p>
      <w:pPr>
        <w:spacing w:after="0" w:line="159" w:lineRule="exact"/>
        <w:rPr>
          <w:sz w:val="20"/>
          <w:szCs w:val="20"/>
          <w:color w:val="auto"/>
        </w:rPr>
      </w:pPr>
    </w:p>
    <w:p>
      <w:pPr>
        <w:ind w:right="1440"/>
        <w:spacing w:after="0" w:line="40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2024. Based upon this evaluation, our principal executive officer and principal financial officer concluded that our disclosure controls and procedures were effective as of December 31, 2024 to provide such reasonable assurance.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To evaluate the effectiveness of our internal control over financial reporting, management used the criteria described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 Based upon this evaluation,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our internal control over financial reporting was effective as of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Acclarent, Inc.</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acquisition of Acclarent was completed on April 1, 2024. In accordance with the SEC Staff’s interpretative guidance for newly acquired businesses, we are permitted to exclude Acclarent from our assessment of internal control over financial reporting for up to one year from the acquisition date. Total assets and total revenues of Acclarent, a wholly-owned subsidiary, excluded from our assessment of internal control over financial reporting represent approximately $82.4 million and $95.0 million, respectively, of the related consolidated financial statement amounts as of and for the year ended December 31, 2024. As this acquisition occurred in the second quarter of the year ended December 31, 2024, the scope of our assessment of our internal control over financial reporting does not include Acclarent as of December 31, 2024.</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their report which appears herein.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quarter ended December 31, 2024 that have materially affected, or are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02"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nor the Company itself, adopted or terminated a “Rule 10b5-1 trading arrangement” or "non-Rule 10b5-1 trading arrangement," as each term is defined in Item 408(a) of Regulation S-K.</w:t>
      </w:r>
    </w:p>
    <w:p>
      <w:pPr>
        <w:spacing w:after="0" w:line="67" w:lineRule="exact"/>
        <w:rPr>
          <w:sz w:val="20"/>
          <w:szCs w:val="20"/>
          <w:color w:val="auto"/>
        </w:rPr>
      </w:pPr>
    </w:p>
    <w:p>
      <w:pPr>
        <w:ind w:right="3380"/>
        <w:spacing w:after="0" w:line="387"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The information called for by </w:t>
      </w:r>
      <w:r>
        <w:rPr>
          <w:rFonts w:ascii="Times New Roman" w:cs="Times New Roman" w:eastAsia="Times New Roman" w:hAnsi="Times New Roman"/>
          <w:sz w:val="17"/>
          <w:szCs w:val="17"/>
          <w:i w:val="1"/>
          <w:iCs w:val="1"/>
          <w:color w:val="auto"/>
        </w:rPr>
        <w:t>Item 5. Market for Registrant’s Common Equity, Related Stockholder Matters and Issuer Purchases of Equity Securities relating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equity compensation plans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Item 10. Directors, Executive Officers and Corporate Governance, Item 11. Executive Compensation, Item 12. Security Ownership of Certain Beneficial Owners and Management and Related Stockholder Matters, Item 13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Certain Relationships and Related Transactions, and</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Director Independence and Item 14. Principal Accountant Fees and Services </w:t>
      </w:r>
      <w:r>
        <w:rPr>
          <w:rFonts w:ascii="Times New Roman" w:cs="Times New Roman" w:eastAsia="Times New Roman" w:hAnsi="Times New Roman"/>
          <w:sz w:val="18"/>
          <w:szCs w:val="18"/>
          <w:color w:val="auto"/>
        </w:rPr>
        <w:t>is incorporated herein by reference to the Company’s definitive proxy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its Annual Meeting of Stockholders scheduled to be held on May 9, 2025, which definitive proxy statement is expected to be filed with the Commission not later than 120 days after the end of the fiscal year to which this report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92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60" w:type="dxa"/>
            <w:vAlign w:val="bottom"/>
          </w:tcPr>
          <w:p>
            <w:pPr>
              <w:spacing w:after="0"/>
              <w:rPr>
                <w:sz w:val="20"/>
                <w:szCs w:val="20"/>
                <w:color w:val="auto"/>
              </w:rPr>
            </w:pPr>
          </w:p>
        </w:tc>
      </w:tr>
      <w:tr>
        <w:trPr>
          <w:trHeight w:val="292"/>
        </w:trPr>
        <w:tc>
          <w:tcPr>
            <w:tcW w:w="10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w:t>
            </w:r>
          </w:p>
        </w:tc>
        <w:tc>
          <w:tcPr>
            <w:tcW w:w="260" w:type="dxa"/>
            <w:vAlign w:val="bottom"/>
          </w:tcPr>
          <w:p>
            <w:pPr>
              <w:spacing w:after="0"/>
              <w:rPr>
                <w:sz w:val="24"/>
                <w:szCs w:val="24"/>
                <w:color w:val="auto"/>
              </w:rPr>
            </w:pPr>
          </w:p>
        </w:tc>
      </w:tr>
      <w:tr>
        <w:trPr>
          <w:trHeight w:val="305"/>
        </w:trPr>
        <w:tc>
          <w:tcPr>
            <w:tcW w:w="10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Documents filed as a part of this report:</w:t>
            </w:r>
          </w:p>
        </w:tc>
        <w:tc>
          <w:tcPr>
            <w:tcW w:w="260" w:type="dxa"/>
            <w:vAlign w:val="bottom"/>
          </w:tcPr>
          <w:p>
            <w:pPr>
              <w:spacing w:after="0"/>
              <w:rPr>
                <w:sz w:val="24"/>
                <w:szCs w:val="24"/>
                <w:color w:val="auto"/>
              </w:rPr>
            </w:pPr>
          </w:p>
        </w:tc>
      </w:tr>
      <w:tr>
        <w:trPr>
          <w:trHeight w:val="305"/>
        </w:trPr>
        <w:tc>
          <w:tcPr>
            <w:tcW w:w="10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i w:val="1"/>
                <w:iCs w:val="1"/>
                <w:color w:val="auto"/>
              </w:rPr>
              <w:t>1. Financial Statements.</w:t>
            </w:r>
          </w:p>
        </w:tc>
        <w:tc>
          <w:tcPr>
            <w:tcW w:w="260" w:type="dxa"/>
            <w:vAlign w:val="bottom"/>
          </w:tcPr>
          <w:p>
            <w:pPr>
              <w:spacing w:after="0"/>
              <w:rPr>
                <w:sz w:val="24"/>
                <w:szCs w:val="24"/>
                <w:color w:val="auto"/>
              </w:rPr>
            </w:pPr>
          </w:p>
        </w:tc>
      </w:tr>
      <w:tr>
        <w:trPr>
          <w:trHeight w:val="292"/>
        </w:trPr>
        <w:tc>
          <w:tcPr>
            <w:tcW w:w="10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financial statements are filed as a part of this report:</w:t>
            </w:r>
          </w:p>
        </w:tc>
        <w:tc>
          <w:tcPr>
            <w:tcW w:w="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5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(PricewaterhouseCoopers LLP, Florham Park, New Jersey, PCAOB ID# </w:t>
            </w:r>
            <w:r>
              <w:rPr>
                <w:rFonts w:ascii="Times New Roman" w:cs="Times New Roman" w:eastAsia="Times New Roman" w:hAnsi="Times New Roman"/>
                <w:sz w:val="18"/>
                <w:szCs w:val="18"/>
                <w:color w:val="000000"/>
              </w:rPr>
              <w:t>238</w:t>
            </w:r>
            <w:r>
              <w:rPr>
                <w:rFonts w:ascii="Times New Roman" w:cs="Times New Roman" w:eastAsia="Times New Roman" w:hAnsi="Times New Roman"/>
                <w:sz w:val="18"/>
                <w:szCs w:val="18"/>
                <w:u w:val="single" w:color="auto"/>
                <w:color w:val="0000FF"/>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F-1</w:t>
            </w:r>
          </w:p>
        </w:tc>
      </w:tr>
      <w:tr>
        <w:trPr>
          <w:trHeight w:val="206"/>
        </w:trPr>
        <w:tc>
          <w:tcPr>
            <w:tcW w:w="20" w:type="dxa"/>
            <w:vAlign w:val="bottom"/>
          </w:tcPr>
          <w:p>
            <w:pPr>
              <w:spacing w:after="0"/>
              <w:rPr>
                <w:sz w:val="17"/>
                <w:szCs w:val="17"/>
                <w:color w:val="auto"/>
              </w:rPr>
            </w:pPr>
          </w:p>
        </w:tc>
        <w:tc>
          <w:tcPr>
            <w:tcW w:w="9360" w:type="dxa"/>
            <w:vAlign w:val="bottom"/>
            <w:tcBorders>
              <w:top w:val="single" w:sz="8" w:color="0000FF"/>
            </w:tcBorders>
            <w:gridSpan w:val="7"/>
          </w:tcPr>
          <w:p>
            <w:pPr>
              <w:spacing w:after="0" w:line="20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1140" w:type="dxa"/>
            <w:vAlign w:val="bottom"/>
          </w:tcPr>
          <w:p>
            <w:pPr>
              <w:spacing w:after="0"/>
              <w:rPr>
                <w:sz w:val="17"/>
                <w:szCs w:val="17"/>
                <w:color w:val="auto"/>
              </w:rPr>
            </w:pPr>
          </w:p>
        </w:tc>
        <w:tc>
          <w:tcPr>
            <w:tcW w:w="260" w:type="dxa"/>
            <w:vAlign w:val="bottom"/>
            <w:tcBorders>
              <w:top w:val="single" w:sz="8" w:color="0000FF"/>
            </w:tcBorders>
          </w:tcPr>
          <w:p>
            <w:pPr>
              <w:spacing w:after="0" w:line="206" w:lineRule="exact"/>
              <w:rPr>
                <w:sz w:val="20"/>
                <w:szCs w:val="20"/>
                <w:color w:val="auto"/>
              </w:rPr>
            </w:pPr>
            <w:r>
              <w:rPr>
                <w:rFonts w:ascii="Times New Roman" w:cs="Times New Roman" w:eastAsia="Times New Roman" w:hAnsi="Times New Roman"/>
                <w:sz w:val="18"/>
                <w:szCs w:val="18"/>
                <w:color w:val="0000FF"/>
                <w:w w:val="95"/>
              </w:rPr>
              <w:t>F-4</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660" w:type="dxa"/>
            <w:vAlign w:val="bottom"/>
            <w:tcBorders>
              <w:bottom w:val="single" w:sz="8" w:color="0000FF"/>
            </w:tcBorders>
            <w:gridSpan w:val="5"/>
          </w:tcPr>
          <w:p>
            <w:pPr>
              <w:spacing w:after="0" w:line="206" w:lineRule="exact"/>
              <w:rPr>
                <w:sz w:val="20"/>
                <w:szCs w:val="20"/>
                <w:color w:val="auto"/>
              </w:rPr>
            </w:pPr>
            <w:r>
              <w:rPr>
                <w:rFonts w:ascii="Times New Roman" w:cs="Times New Roman" w:eastAsia="Times New Roman" w:hAnsi="Times New Roman"/>
                <w:sz w:val="18"/>
                <w:szCs w:val="18"/>
                <w:color w:val="0000FF"/>
                <w:w w:val="98"/>
              </w:rPr>
              <w:t>Consolidated Statements of Comprehensive Income for the years ended December 31, 2024, 2023 and 2022</w:t>
            </w:r>
          </w:p>
        </w:tc>
        <w:tc>
          <w:tcPr>
            <w:tcW w:w="2840" w:type="dxa"/>
            <w:vAlign w:val="bottom"/>
            <w:gridSpan w:val="3"/>
          </w:tcPr>
          <w:p>
            <w:pPr>
              <w:spacing w:after="0"/>
              <w:rPr>
                <w:sz w:val="17"/>
                <w:szCs w:val="17"/>
                <w:color w:val="auto"/>
              </w:rPr>
            </w:pPr>
          </w:p>
        </w:tc>
        <w:tc>
          <w:tcPr>
            <w:tcW w:w="260" w:type="dxa"/>
            <w:vAlign w:val="bottom"/>
            <w:tcBorders>
              <w:bottom w:val="single" w:sz="8" w:color="0000FF"/>
            </w:tcBorders>
          </w:tcPr>
          <w:p>
            <w:pPr>
              <w:spacing w:after="0" w:line="206" w:lineRule="exact"/>
              <w:rPr>
                <w:sz w:val="20"/>
                <w:szCs w:val="20"/>
                <w:color w:val="auto"/>
              </w:rPr>
            </w:pPr>
            <w:r>
              <w:rPr>
                <w:rFonts w:ascii="Times New Roman" w:cs="Times New Roman" w:eastAsia="Times New Roman" w:hAnsi="Times New Roman"/>
                <w:sz w:val="18"/>
                <w:szCs w:val="18"/>
                <w:color w:val="0000FF"/>
                <w:w w:val="95"/>
              </w:rPr>
              <w:t>F-5</w:t>
            </w:r>
          </w:p>
        </w:tc>
      </w:tr>
      <w:tr>
        <w:trPr>
          <w:trHeight w:val="206"/>
        </w:trPr>
        <w:tc>
          <w:tcPr>
            <w:tcW w:w="20" w:type="dxa"/>
            <w:vAlign w:val="bottom"/>
          </w:tcPr>
          <w:p>
            <w:pPr>
              <w:spacing w:after="0"/>
              <w:rPr>
                <w:sz w:val="17"/>
                <w:szCs w:val="17"/>
                <w:color w:val="auto"/>
              </w:rPr>
            </w:pPr>
          </w:p>
        </w:tc>
        <w:tc>
          <w:tcPr>
            <w:tcW w:w="4580" w:type="dxa"/>
            <w:vAlign w:val="bottom"/>
            <w:tcBorders>
              <w:bottom w:val="single" w:sz="8" w:color="0000FF"/>
            </w:tcBorders>
            <w:gridSpan w:val="2"/>
          </w:tcPr>
          <w:p>
            <w:pPr>
              <w:spacing w:after="0" w:line="206" w:lineRule="exact"/>
              <w:rPr>
                <w:sz w:val="20"/>
                <w:szCs w:val="20"/>
                <w:color w:val="auto"/>
              </w:rPr>
            </w:pPr>
            <w:r>
              <w:rPr>
                <w:rFonts w:ascii="Times New Roman" w:cs="Times New Roman" w:eastAsia="Times New Roman" w:hAnsi="Times New Roman"/>
                <w:sz w:val="18"/>
                <w:szCs w:val="18"/>
                <w:color w:val="0000FF"/>
                <w:w w:val="98"/>
              </w:rPr>
              <w:t>Consolidated Balance Sheets as of December 31, 2024 and 2023</w:t>
            </w:r>
          </w:p>
        </w:tc>
        <w:tc>
          <w:tcPr>
            <w:tcW w:w="5920" w:type="dxa"/>
            <w:vAlign w:val="bottom"/>
            <w:gridSpan w:val="6"/>
          </w:tcPr>
          <w:p>
            <w:pPr>
              <w:spacing w:after="0"/>
              <w:rPr>
                <w:sz w:val="17"/>
                <w:szCs w:val="17"/>
                <w:color w:val="auto"/>
              </w:rPr>
            </w:pPr>
          </w:p>
        </w:tc>
        <w:tc>
          <w:tcPr>
            <w:tcW w:w="260" w:type="dxa"/>
            <w:vAlign w:val="bottom"/>
            <w:tcBorders>
              <w:bottom w:val="single" w:sz="8" w:color="0000FF"/>
            </w:tcBorders>
          </w:tcPr>
          <w:p>
            <w:pPr>
              <w:spacing w:after="0" w:line="206" w:lineRule="exact"/>
              <w:rPr>
                <w:sz w:val="20"/>
                <w:szCs w:val="20"/>
                <w:color w:val="auto"/>
              </w:rPr>
            </w:pPr>
            <w:r>
              <w:rPr>
                <w:rFonts w:ascii="Times New Roman" w:cs="Times New Roman" w:eastAsia="Times New Roman" w:hAnsi="Times New Roman"/>
                <w:sz w:val="18"/>
                <w:szCs w:val="18"/>
                <w:color w:val="0000FF"/>
                <w:w w:val="95"/>
              </w:rPr>
              <w:t>F-6</w:t>
            </w:r>
          </w:p>
        </w:tc>
      </w:tr>
      <w:tr>
        <w:trPr>
          <w:trHeight w:val="206"/>
        </w:trPr>
        <w:tc>
          <w:tcPr>
            <w:tcW w:w="20" w:type="dxa"/>
            <w:vAlign w:val="bottom"/>
          </w:tcPr>
          <w:p>
            <w:pPr>
              <w:spacing w:after="0"/>
              <w:rPr>
                <w:sz w:val="17"/>
                <w:szCs w:val="17"/>
                <w:color w:val="auto"/>
              </w:rPr>
            </w:pPr>
          </w:p>
        </w:tc>
        <w:tc>
          <w:tcPr>
            <w:tcW w:w="6800" w:type="dxa"/>
            <w:vAlign w:val="bottom"/>
            <w:tcBorders>
              <w:bottom w:val="single" w:sz="8" w:color="0000FF"/>
            </w:tcBorders>
            <w:gridSpan w:val="4"/>
          </w:tcPr>
          <w:p>
            <w:pPr>
              <w:spacing w:after="0" w:line="206" w:lineRule="exact"/>
              <w:rPr>
                <w:sz w:val="20"/>
                <w:szCs w:val="20"/>
                <w:color w:val="auto"/>
              </w:rPr>
            </w:pPr>
            <w:r>
              <w:rPr>
                <w:rFonts w:ascii="Times New Roman" w:cs="Times New Roman" w:eastAsia="Times New Roman" w:hAnsi="Times New Roman"/>
                <w:sz w:val="18"/>
                <w:szCs w:val="18"/>
                <w:color w:val="0000FF"/>
                <w:w w:val="98"/>
              </w:rPr>
              <w:t>Consolidated Statements of Cash Flows for the years ended December 31, 2024, 2023 and 2022</w:t>
            </w:r>
          </w:p>
        </w:tc>
        <w:tc>
          <w:tcPr>
            <w:tcW w:w="3700" w:type="dxa"/>
            <w:vAlign w:val="bottom"/>
            <w:gridSpan w:val="4"/>
          </w:tcPr>
          <w:p>
            <w:pPr>
              <w:spacing w:after="0"/>
              <w:rPr>
                <w:sz w:val="17"/>
                <w:szCs w:val="17"/>
                <w:color w:val="auto"/>
              </w:rPr>
            </w:pPr>
          </w:p>
        </w:tc>
        <w:tc>
          <w:tcPr>
            <w:tcW w:w="260" w:type="dxa"/>
            <w:vAlign w:val="bottom"/>
            <w:tcBorders>
              <w:bottom w:val="single" w:sz="8" w:color="0000FF"/>
            </w:tcBorders>
          </w:tcPr>
          <w:p>
            <w:pPr>
              <w:spacing w:after="0" w:line="206" w:lineRule="exact"/>
              <w:rPr>
                <w:sz w:val="20"/>
                <w:szCs w:val="20"/>
                <w:color w:val="auto"/>
              </w:rPr>
            </w:pPr>
            <w:r>
              <w:rPr>
                <w:rFonts w:ascii="Times New Roman" w:cs="Times New Roman" w:eastAsia="Times New Roman" w:hAnsi="Times New Roman"/>
                <w:sz w:val="18"/>
                <w:szCs w:val="18"/>
                <w:color w:val="0000FF"/>
                <w:w w:val="95"/>
              </w:rPr>
              <w:t>F-7</w:t>
            </w:r>
          </w:p>
        </w:tc>
      </w:tr>
      <w:tr>
        <w:trPr>
          <w:trHeight w:val="206"/>
        </w:trPr>
        <w:tc>
          <w:tcPr>
            <w:tcW w:w="20" w:type="dxa"/>
            <w:vAlign w:val="bottom"/>
          </w:tcPr>
          <w:p>
            <w:pPr>
              <w:spacing w:after="0"/>
              <w:rPr>
                <w:sz w:val="17"/>
                <w:szCs w:val="17"/>
                <w:color w:val="auto"/>
              </w:rPr>
            </w:pPr>
          </w:p>
        </w:tc>
        <w:tc>
          <w:tcPr>
            <w:tcW w:w="10500" w:type="dxa"/>
            <w:vAlign w:val="bottom"/>
            <w:gridSpan w:val="8"/>
          </w:tcPr>
          <w:p>
            <w:pPr>
              <w:spacing w:after="0" w:line="206"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2024, 2023 and 2022</w:t>
            </w:r>
          </w:p>
        </w:tc>
        <w:tc>
          <w:tcPr>
            <w:tcW w:w="2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0000FF"/>
                <w:w w:val="95"/>
              </w:rPr>
              <w:t>F-8</w:t>
            </w:r>
          </w:p>
        </w:tc>
      </w:tr>
      <w:tr>
        <w:trPr>
          <w:trHeight w:val="206"/>
        </w:trPr>
        <w:tc>
          <w:tcPr>
            <w:tcW w:w="20" w:type="dxa"/>
            <w:vAlign w:val="bottom"/>
          </w:tcPr>
          <w:p>
            <w:pPr>
              <w:spacing w:after="0"/>
              <w:rPr>
                <w:sz w:val="17"/>
                <w:szCs w:val="17"/>
                <w:color w:val="auto"/>
              </w:rPr>
            </w:pPr>
          </w:p>
        </w:tc>
        <w:tc>
          <w:tcPr>
            <w:tcW w:w="8300" w:type="dxa"/>
            <w:vAlign w:val="bottom"/>
            <w:tcBorders>
              <w:top w:val="single" w:sz="8" w:color="0000FF"/>
            </w:tcBorders>
            <w:gridSpan w:val="6"/>
          </w:tcPr>
          <w:p>
            <w:pPr>
              <w:spacing w:after="0" w:line="20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200" w:type="dxa"/>
            <w:vAlign w:val="bottom"/>
            <w:gridSpan w:val="2"/>
          </w:tcPr>
          <w:p>
            <w:pPr>
              <w:spacing w:after="0"/>
              <w:rPr>
                <w:sz w:val="17"/>
                <w:szCs w:val="17"/>
                <w:color w:val="auto"/>
              </w:rPr>
            </w:pPr>
          </w:p>
        </w:tc>
        <w:tc>
          <w:tcPr>
            <w:tcW w:w="260" w:type="dxa"/>
            <w:vAlign w:val="bottom"/>
            <w:tcBorders>
              <w:top w:val="single" w:sz="8" w:color="0000FF"/>
            </w:tcBorders>
          </w:tcPr>
          <w:p>
            <w:pPr>
              <w:spacing w:after="0" w:line="206" w:lineRule="exact"/>
              <w:rPr>
                <w:sz w:val="20"/>
                <w:szCs w:val="20"/>
                <w:color w:val="auto"/>
              </w:rPr>
            </w:pPr>
            <w:r>
              <w:rPr>
                <w:rFonts w:ascii="Times New Roman" w:cs="Times New Roman" w:eastAsia="Times New Roman" w:hAnsi="Times New Roman"/>
                <w:sz w:val="18"/>
                <w:szCs w:val="18"/>
                <w:color w:val="0000FF"/>
                <w:w w:val="95"/>
              </w:rPr>
              <w:t>F-9</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Exhibits required to be filed by Item 601 of Regulation S-K.</w:t>
      </w:r>
    </w:p>
    <w:p>
      <w:pPr>
        <w:spacing w:after="0" w:line="48" w:lineRule="exact"/>
        <w:rPr>
          <w:sz w:val="20"/>
          <w:szCs w:val="20"/>
          <w:color w:val="auto"/>
        </w:rPr>
      </w:pPr>
    </w:p>
    <w:p>
      <w:pPr>
        <w:ind w:left="2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2.1(a)</w:t>
      </w:r>
      <w:r>
        <w:rPr>
          <w:sz w:val="20"/>
          <w:szCs w:val="20"/>
          <w:color w:val="auto"/>
        </w:rPr>
        <w:tab/>
      </w:r>
      <w:hyperlink r:id="rId66">
        <w:r>
          <w:rPr>
            <w:rFonts w:ascii="Times New Roman" w:cs="Times New Roman" w:eastAsia="Times New Roman" w:hAnsi="Times New Roman"/>
            <w:sz w:val="17"/>
            <w:szCs w:val="17"/>
            <w:u w:val="single" w:color="auto"/>
            <w:color w:val="0000FF"/>
          </w:rPr>
          <w:t>Agreement and Plan of Merger by among Integra LifeSciences Holdings Corporation and ACell</w:t>
        </w:r>
      </w:hyperlink>
    </w:p>
    <w:p>
      <w:pPr>
        <w:jc w:val="both"/>
        <w:ind w:left="960" w:right="3440"/>
        <w:spacing w:after="0" w:line="222"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Inc. dated as of December 15, 2020 (Incorporated by reference to Exhibit 2.1(b) to the</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Company’s Annual Report on Form 10-K for the fiscal year ended December 31, 2020)</w:t>
        </w:r>
      </w:hyperlink>
    </w:p>
    <w:p>
      <w:pPr>
        <w:spacing w:after="0" w:line="101" w:lineRule="exact"/>
        <w:rPr>
          <w:sz w:val="20"/>
          <w:szCs w:val="20"/>
          <w:color w:val="auto"/>
        </w:rPr>
      </w:pPr>
    </w:p>
    <w:p>
      <w:pPr>
        <w:ind w:left="20"/>
        <w:spacing w:after="0"/>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2.1(b)</w:t>
      </w:r>
      <w:r>
        <w:rPr>
          <w:sz w:val="20"/>
          <w:szCs w:val="20"/>
          <w:color w:val="auto"/>
        </w:rPr>
        <w:tab/>
      </w:r>
      <w:hyperlink r:id="rId67">
        <w:r>
          <w:rPr>
            <w:rFonts w:ascii="Times New Roman" w:cs="Times New Roman" w:eastAsia="Times New Roman" w:hAnsi="Times New Roman"/>
            <w:sz w:val="18"/>
            <w:szCs w:val="18"/>
            <w:u w:val="single" w:color="auto"/>
            <w:color w:val="0000FF"/>
          </w:rPr>
          <w:t>Stock  Purchase  Agreement,  dated  December  12,  2023,  among  Ethicon,  Inc.,  Integra</w:t>
        </w:r>
      </w:hyperlink>
    </w:p>
    <w:p>
      <w:pPr>
        <w:jc w:val="both"/>
        <w:ind w:left="960" w:right="3440"/>
        <w:spacing w:after="0" w:line="215" w:lineRule="auto"/>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LifeSciences Holdings Corporation and Integra LifeSciences Israel Ltd. (Incorporated by</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reference to Exhibit 2.1(c) to the Company’s Annual Report on Form 10-K for the fiscal year</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ended December 31, 2023)</w:t>
        </w:r>
      </w:hyperlink>
    </w:p>
    <w:p>
      <w:pPr>
        <w:spacing w:after="0" w:line="100" w:lineRule="exact"/>
        <w:rPr>
          <w:rFonts w:ascii="Times New Roman" w:cs="Times New Roman" w:eastAsia="Times New Roman" w:hAnsi="Times New Roman"/>
          <w:sz w:val="18"/>
          <w:szCs w:val="18"/>
          <w:u w:val="single" w:color="auto"/>
          <w:color w:val="0000FF"/>
        </w:rPr>
      </w:pPr>
    </w:p>
    <w:p>
      <w:pPr>
        <w:ind w:left="20"/>
        <w:spacing w:after="0"/>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3.1(a)</w:t>
      </w:r>
      <w:r>
        <w:rPr>
          <w:sz w:val="20"/>
          <w:szCs w:val="20"/>
          <w:color w:val="auto"/>
        </w:rPr>
        <w:tab/>
      </w:r>
      <w:hyperlink r:id="rId68">
        <w:r>
          <w:rPr>
            <w:rFonts w:ascii="Times New Roman" w:cs="Times New Roman" w:eastAsia="Times New Roman" w:hAnsi="Times New Roman"/>
            <w:sz w:val="18"/>
            <w:szCs w:val="18"/>
            <w:u w:val="single" w:color="auto"/>
            <w:color w:val="0000FF"/>
          </w:rPr>
          <w:t>Amended and Restated Certificate of Incorporation of the Company dated February 16, 1993</w:t>
        </w:r>
      </w:hyperlink>
    </w:p>
    <w:p>
      <w:pPr>
        <w:jc w:val="both"/>
        <w:ind w:left="960" w:right="3440"/>
        <w:spacing w:after="0" w:line="222" w:lineRule="auto"/>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(Incorporated by reference to Exhibit 3.1(a) to the Company’s Annual Report on Form 10-K for</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the fiscal year ended December 31, 2005)</w:t>
        </w:r>
      </w:hyperlink>
    </w:p>
    <w:p>
      <w:pPr>
        <w:spacing w:after="0" w:line="101" w:lineRule="exact"/>
        <w:rPr>
          <w:sz w:val="20"/>
          <w:szCs w:val="20"/>
          <w:color w:val="auto"/>
        </w:rPr>
      </w:pPr>
    </w:p>
    <w:p>
      <w:pPr>
        <w:ind w:left="20"/>
        <w:spacing w:after="0"/>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3.1(b)</w:t>
      </w:r>
      <w:r>
        <w:rPr>
          <w:sz w:val="20"/>
          <w:szCs w:val="20"/>
          <w:color w:val="auto"/>
        </w:rPr>
        <w:tab/>
      </w:r>
      <w:hyperlink r:id="rId69">
        <w:r>
          <w:rPr>
            <w:rFonts w:ascii="Times New Roman" w:cs="Times New Roman" w:eastAsia="Times New Roman" w:hAnsi="Times New Roman"/>
            <w:sz w:val="18"/>
            <w:szCs w:val="18"/>
            <w:u w:val="single" w:color="auto"/>
            <w:color w:val="0000FF"/>
          </w:rPr>
          <w:t>Certificate of Amendment to Amended and Restated Certificate of Incorporation of the</w:t>
        </w:r>
      </w:hyperlink>
    </w:p>
    <w:p>
      <w:pPr>
        <w:jc w:val="both"/>
        <w:ind w:left="960" w:right="3440"/>
        <w:spacing w:after="0" w:line="222" w:lineRule="auto"/>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Company dated May 22, 1998 (Incorporated by reference to Exhibit 3.1(b) to the Company’s</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Annual Report on Form 10-K for the fiscal year ended December 31, 1998)</w:t>
        </w:r>
      </w:hyperlink>
    </w:p>
    <w:p>
      <w:pPr>
        <w:spacing w:after="0" w:line="101" w:lineRule="exact"/>
        <w:rPr>
          <w:sz w:val="20"/>
          <w:szCs w:val="20"/>
          <w:color w:val="auto"/>
        </w:rPr>
      </w:pPr>
    </w:p>
    <w:p>
      <w:pPr>
        <w:ind w:left="20"/>
        <w:spacing w:after="0"/>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3.1(c)</w:t>
      </w:r>
      <w:r>
        <w:rPr>
          <w:sz w:val="20"/>
          <w:szCs w:val="20"/>
          <w:color w:val="auto"/>
        </w:rPr>
        <w:tab/>
      </w:r>
      <w:hyperlink r:id="rId70">
        <w:r>
          <w:rPr>
            <w:rFonts w:ascii="Times New Roman" w:cs="Times New Roman" w:eastAsia="Times New Roman" w:hAnsi="Times New Roman"/>
            <w:sz w:val="18"/>
            <w:szCs w:val="18"/>
            <w:u w:val="single" w:color="auto"/>
            <w:color w:val="0000FF"/>
          </w:rPr>
          <w:t>Certificate of Amendment to Amended and Restated Certificate of Incorporation of the</w:t>
        </w:r>
      </w:hyperlink>
    </w:p>
    <w:p>
      <w:pPr>
        <w:jc w:val="both"/>
        <w:ind w:left="960" w:right="3460"/>
        <w:spacing w:after="0" w:line="222"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Company dated May 17, 1999 (Incorporated by reference to Exhibit 3.1(c) to the Company’s</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Annual Report on Form 10-K for the fiscal year ended December 31, 2004)</w:t>
        </w:r>
      </w:hyperlink>
    </w:p>
    <w:p>
      <w:pPr>
        <w:spacing w:after="0" w:line="101" w:lineRule="exact"/>
        <w:rPr>
          <w:sz w:val="20"/>
          <w:szCs w:val="20"/>
          <w:color w:val="auto"/>
        </w:rPr>
      </w:pPr>
    </w:p>
    <w:p>
      <w:pPr>
        <w:ind w:left="20"/>
        <w:spacing w:after="0"/>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3.1(d)</w:t>
      </w:r>
      <w:r>
        <w:rPr>
          <w:sz w:val="20"/>
          <w:szCs w:val="20"/>
          <w:color w:val="auto"/>
        </w:rPr>
        <w:tab/>
      </w:r>
      <w:hyperlink r:id="rId71">
        <w:r>
          <w:rPr>
            <w:rFonts w:ascii="Times New Roman" w:cs="Times New Roman" w:eastAsia="Times New Roman" w:hAnsi="Times New Roman"/>
            <w:sz w:val="18"/>
            <w:szCs w:val="18"/>
            <w:u w:val="single" w:color="auto"/>
            <w:color w:val="0000FF"/>
          </w:rPr>
          <w:t>Certificate of Amendment to Amended and Restated Certificate of Incorporation of the</w:t>
        </w:r>
      </w:hyperlink>
    </w:p>
    <w:p>
      <w:pPr>
        <w:jc w:val="both"/>
        <w:ind w:left="960" w:right="3440"/>
        <w:spacing w:after="0" w:line="222"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Company dated December 21, 2016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Current Report on Form 8-K filed on December 22, 2016)</w:t>
        </w:r>
      </w:hyperlink>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3.1(e)</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Certificate of Amendment to the Amended and Restated Certificate of Incorporation of the</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17"/>
          </w:tcPr>
          <w:p>
            <w:pPr>
              <w:spacing w:after="0" w:line="153"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Company dated May 9, 2024 (Incorporated by reference to Exhibit 3.1(e) to the Company’s</w:t>
              </w:r>
            </w:hyperlink>
          </w:p>
        </w:tc>
        <w:tc>
          <w:tcPr>
            <w:tcW w:w="60" w:type="dxa"/>
            <w:vAlign w:val="bottom"/>
            <w:tcBorders>
              <w:bottom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5320" w:type="dxa"/>
            <w:vAlign w:val="bottom"/>
            <w:tcBorders>
              <w:bottom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color w:val="0000FF"/>
                </w:rPr>
                <w:t>Quarterly Report on Form 10-Q for the quarter ended September 30, 2024)</w:t>
              </w:r>
            </w:hyperlink>
          </w:p>
        </w:tc>
        <w:tc>
          <w:tcPr>
            <w:tcW w:w="118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Third Amended and Restated Bylaws of Integra LifeSciences Holdings Corporation, effective</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6880" w:type="dxa"/>
            <w:vAlign w:val="bottom"/>
            <w:tcBorders>
              <w:top w:val="single" w:sz="8" w:color="0000FF"/>
              <w:bottom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as of February 21, 2023 (Incorporated by reference to Exhibit 3.3 to the Company’s Annual</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4800" w:type="dxa"/>
            <w:vAlign w:val="bottom"/>
            <w:tcBorders>
              <w:bottom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74">
              <w:r>
                <w:rPr>
                  <w:rFonts w:ascii="Times New Roman" w:cs="Times New Roman" w:eastAsia="Times New Roman" w:hAnsi="Times New Roman"/>
                  <w:sz w:val="17"/>
                  <w:szCs w:val="17"/>
                  <w:color w:val="0000FF"/>
                </w:rPr>
                <w:t>Report on Form 10-K for the fiscal year ended December 31, 2022)</w:t>
              </w:r>
            </w:hyperlink>
          </w:p>
        </w:tc>
        <w:tc>
          <w:tcPr>
            <w:tcW w:w="21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Indenture, dated as of February 7, 2020, by and between Integra LifeSciences Holdings</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704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Corporation and Citibank, N.A., as trustee (including Form of 0.50% Convertible Senior Notes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75">
              <w:r>
                <w:rPr>
                  <w:rFonts w:ascii="Times New Roman" w:cs="Times New Roman" w:eastAsia="Times New Roman" w:hAnsi="Times New Roman"/>
                  <w:sz w:val="17"/>
                  <w:szCs w:val="17"/>
                  <w:color w:val="0000FF"/>
                </w:rPr>
                <w:t>due 2025) (Incorporated by reference to Exhibit 4.1 to the Company’s Current Report on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40" w:type="dxa"/>
            <w:vAlign w:val="bottom"/>
          </w:tcPr>
          <w:p>
            <w:pPr>
              <w:spacing w:after="0"/>
              <w:rPr>
                <w:sz w:val="14"/>
                <w:szCs w:val="14"/>
                <w:color w:val="auto"/>
              </w:rPr>
            </w:pPr>
          </w:p>
        </w:tc>
        <w:tc>
          <w:tcPr>
            <w:tcW w:w="7200" w:type="dxa"/>
            <w:vAlign w:val="bottom"/>
            <w:gridSpan w:val="38"/>
          </w:tcPr>
          <w:p>
            <w:pPr>
              <w:spacing w:after="0" w:line="16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8-K filed on February 7,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40" w:type="dxa"/>
            <w:vAlign w:val="bottom"/>
            <w:vMerge w:val="continue"/>
          </w:tcPr>
          <w:p>
            <w:pPr>
              <w:spacing w:after="0"/>
              <w:rPr>
                <w:sz w:val="24"/>
                <w:szCs w:val="24"/>
                <w:color w:val="auto"/>
              </w:rPr>
            </w:pPr>
          </w:p>
        </w:tc>
        <w:tc>
          <w:tcPr>
            <w:tcW w:w="7240" w:type="dxa"/>
            <w:vAlign w:val="bottom"/>
            <w:gridSpan w:val="40"/>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First Supplemental Indenture, by and between Integra LifeSciences Holdings Corporation and</w:t>
              </w:r>
            </w:hyperlink>
          </w:p>
        </w:tc>
        <w:tc>
          <w:tcPr>
            <w:tcW w:w="0" w:type="dxa"/>
            <w:vAlign w:val="bottom"/>
          </w:tcPr>
          <w:p>
            <w:pPr>
              <w:spacing w:after="0"/>
              <w:rPr>
                <w:sz w:val="1"/>
                <w:szCs w:val="1"/>
                <w:color w:val="auto"/>
              </w:rPr>
            </w:pPr>
          </w:p>
        </w:tc>
      </w:tr>
      <w:tr>
        <w:trPr>
          <w:trHeight w:val="179"/>
        </w:trPr>
        <w:tc>
          <w:tcPr>
            <w:tcW w:w="940" w:type="dxa"/>
            <w:vAlign w:val="bottom"/>
          </w:tcPr>
          <w:p>
            <w:pPr>
              <w:spacing w:after="0"/>
              <w:rPr>
                <w:sz w:val="15"/>
                <w:szCs w:val="15"/>
                <w:color w:val="auto"/>
              </w:rPr>
            </w:pPr>
          </w:p>
        </w:tc>
        <w:tc>
          <w:tcPr>
            <w:tcW w:w="6880" w:type="dxa"/>
            <w:vAlign w:val="bottom"/>
            <w:tcBorders>
              <w:top w:val="single" w:sz="8" w:color="0000FF"/>
              <w:bottom w:val="single" w:sz="8" w:color="0000FF"/>
            </w:tcBorders>
            <w:gridSpan w:val="22"/>
          </w:tcPr>
          <w:p>
            <w:pPr>
              <w:spacing w:after="0" w:line="17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Citibank, N.A., as trustee (Incorporated by reference to Exhibit 4.1 to the Company’s Current</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40" w:type="dxa"/>
            <w:vAlign w:val="bottom"/>
          </w:tcPr>
          <w:p>
            <w:pPr>
              <w:spacing w:after="0"/>
              <w:rPr>
                <w:sz w:val="15"/>
                <w:szCs w:val="15"/>
                <w:color w:val="auto"/>
              </w:rPr>
            </w:pPr>
          </w:p>
        </w:tc>
        <w:tc>
          <w:tcPr>
            <w:tcW w:w="3460" w:type="dxa"/>
            <w:vAlign w:val="bottom"/>
            <w:tcBorders>
              <w:bottom w:val="single" w:sz="8" w:color="0000FF"/>
            </w:tcBorders>
            <w:gridSpan w:val="11"/>
          </w:tcPr>
          <w:p>
            <w:pPr>
              <w:spacing w:after="0" w:line="179" w:lineRule="exact"/>
              <w:rPr>
                <w:rFonts w:ascii="Times New Roman" w:cs="Times New Roman" w:eastAsia="Times New Roman" w:hAnsi="Times New Roman"/>
                <w:sz w:val="18"/>
                <w:szCs w:val="18"/>
                <w:color w:val="0000FF"/>
                <w:w w:val="98"/>
              </w:rPr>
            </w:pPr>
            <w:hyperlink r:id="rId76">
              <w:r>
                <w:rPr>
                  <w:rFonts w:ascii="Times New Roman" w:cs="Times New Roman" w:eastAsia="Times New Roman" w:hAnsi="Times New Roman"/>
                  <w:sz w:val="18"/>
                  <w:szCs w:val="18"/>
                  <w:color w:val="0000FF"/>
                  <w:w w:val="98"/>
                </w:rPr>
                <w:t>Report on Form 8-K filed on December 9, 2020)</w:t>
              </w:r>
            </w:hyperlink>
          </w:p>
        </w:tc>
        <w:tc>
          <w:tcPr>
            <w:tcW w:w="3700" w:type="dxa"/>
            <w:vAlign w:val="bottom"/>
            <w:gridSpan w:val="2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Integra LifeSciences Deferred Compensation Plan, effective as of May 16, 2019 (Incorporated</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by reference to Exhibit 4.4 to the Company's Registration Statement on Form S-8 (Registration</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7220" w:type="dxa"/>
            <w:vAlign w:val="bottom"/>
            <w:gridSpan w:val="39"/>
          </w:tcPr>
          <w:p>
            <w:pPr>
              <w:spacing w:after="0" w:line="153"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No. 333-231709) filed on May 23, 2019)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9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4340" w:type="dxa"/>
            <w:vAlign w:val="bottom"/>
            <w:gridSpan w:val="3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10.1(a)</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Lease Modification #3 entered into as of March 2, 2011, by and between Plainsboro Associates</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7120" w:type="dxa"/>
            <w:vAlign w:val="bottom"/>
            <w:tcBorders>
              <w:top w:val="single" w:sz="8" w:color="0000FF"/>
            </w:tcBorders>
            <w:gridSpan w:val="34"/>
          </w:tcPr>
          <w:p>
            <w:pPr>
              <w:spacing w:after="0" w:line="153"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and Integra LifeSciences Corporation (Incorporated by reference to Exhibit 10.1 to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Company’s Current Report on Form 8-K filed on March 3, 2011)</w:t>
              </w:r>
            </w:hyperlink>
          </w:p>
        </w:tc>
        <w:tc>
          <w:tcPr>
            <w:tcW w:w="240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10.1(b)</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Lease Modification #4 entered into as of April 20, 2017, by and between Plainsboro Associates</w:t>
              </w:r>
            </w:hyperlink>
          </w:p>
        </w:tc>
        <w:tc>
          <w:tcPr>
            <w:tcW w:w="0" w:type="dxa"/>
            <w:vAlign w:val="bottom"/>
          </w:tcPr>
          <w:p>
            <w:pPr>
              <w:spacing w:after="0"/>
              <w:rPr>
                <w:sz w:val="1"/>
                <w:szCs w:val="1"/>
                <w:color w:val="auto"/>
              </w:rPr>
            </w:pPr>
          </w:p>
        </w:tc>
      </w:tr>
      <w:tr>
        <w:trPr>
          <w:trHeight w:val="166"/>
        </w:trPr>
        <w:tc>
          <w:tcPr>
            <w:tcW w:w="940" w:type="dxa"/>
            <w:vAlign w:val="bottom"/>
          </w:tcPr>
          <w:p>
            <w:pPr>
              <w:spacing w:after="0"/>
              <w:rPr>
                <w:sz w:val="14"/>
                <w:szCs w:val="14"/>
                <w:color w:val="auto"/>
              </w:rPr>
            </w:pPr>
          </w:p>
        </w:tc>
        <w:tc>
          <w:tcPr>
            <w:tcW w:w="6920" w:type="dxa"/>
            <w:vAlign w:val="bottom"/>
            <w:tcBorders>
              <w:top w:val="single" w:sz="8" w:color="0000FF"/>
            </w:tcBorders>
            <w:gridSpan w:val="24"/>
          </w:tcPr>
          <w:p>
            <w:pPr>
              <w:spacing w:after="0" w:line="16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and Integra LifeSciences Corporation (Incorporated by reference to Exhibit 10.1 to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7020" w:type="dxa"/>
            <w:vAlign w:val="bottom"/>
            <w:tcBorders>
              <w:top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Company’s Current Report on Form 8-K filed on April 25,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10.2(a)*</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Employee Stock Purchase Plan (as amended on May 17, 2004) (Incorporated by reference to</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6860" w:type="dxa"/>
            <w:vAlign w:val="bottom"/>
            <w:tcBorders>
              <w:top w:val="single" w:sz="8" w:color="0000FF"/>
            </w:tcBorders>
            <w:gridSpan w:val="21"/>
          </w:tcPr>
          <w:p>
            <w:pPr>
              <w:spacing w:after="0" w:line="153"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Exhibit 4.1 to the Company’s Registration Statement on Form S-8 (Registration No. 333-</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7120" w:type="dxa"/>
            <w:vAlign w:val="bottom"/>
            <w:tcBorders>
              <w:top w:val="single" w:sz="8" w:color="0000FF"/>
            </w:tcBorders>
            <w:gridSpan w:val="34"/>
          </w:tcPr>
          <w:p>
            <w:pPr>
              <w:spacing w:after="0" w:line="153"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127488) filed on August 12, 2005)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10.2(b)*</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First Amendment to Employee Stock Purchase Plan, dated October 26, 2005 (Incorporated by</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7140" w:type="dxa"/>
            <w:vAlign w:val="bottom"/>
            <w:tcBorders>
              <w:top w:val="single" w:sz="8" w:color="0000FF"/>
            </w:tcBorders>
            <w:gridSpan w:val="35"/>
          </w:tcPr>
          <w:p>
            <w:pPr>
              <w:spacing w:after="0" w:line="153"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reference to Exhibit 10.1 to the Company’s Current Report on Form 8-K filed on November 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2005)</w:t>
              </w:r>
            </w:hyperlink>
          </w:p>
        </w:tc>
        <w:tc>
          <w:tcPr>
            <w:tcW w:w="6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10.3(a)*</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Second  Amended  and  Restated  2003  Equity  Incentive  Plan  effective  May  19,  2010</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(Incorporated by reference to Exhibit 10 to the Company’s Current Report on Form 8-K filed</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1060" w:type="dxa"/>
            <w:vAlign w:val="bottom"/>
            <w:tcBorders>
              <w:bottom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May 21, 2010)</w:t>
              </w:r>
            </w:hyperlink>
          </w:p>
        </w:tc>
        <w:tc>
          <w:tcPr>
            <w:tcW w:w="5900" w:type="dxa"/>
            <w:vAlign w:val="bottom"/>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10.3(b)*</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Amendment to the Second Amended and Restated 2003 Equity Incentive Plan effective May</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32"/>
          </w:tcPr>
          <w:p>
            <w:pPr>
              <w:spacing w:after="0" w:line="153"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17, 2012 (Incorporated by reference to Exhibit 10.9 to the Company’s Quarterly Report on</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3420" w:type="dxa"/>
            <w:vAlign w:val="bottom"/>
            <w:tcBorders>
              <w:bottom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Form 10-Q for the quarter ended June 30, 2012)</w:t>
              </w:r>
            </w:hyperlink>
          </w:p>
        </w:tc>
        <w:tc>
          <w:tcPr>
            <w:tcW w:w="3680" w:type="dxa"/>
            <w:vAlign w:val="bottom"/>
            <w:gridSpan w:val="2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10.3(c)*</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Amendment to the Second Amended and Restated 2003 Equity Incentive Plan effective January</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7100" w:type="dxa"/>
            <w:vAlign w:val="bottom"/>
            <w:tcBorders>
              <w:top w:val="single" w:sz="8" w:color="0000FF"/>
            </w:tcBorders>
            <w:gridSpan w:val="33"/>
          </w:tcPr>
          <w:p>
            <w:pPr>
              <w:spacing w:after="0" w:line="153"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1, 2013 (Incorporated by reference to Exhibit 10.4 to the Company’s Quarterly Report on Form</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6900" w:type="dxa"/>
            <w:vAlign w:val="bottom"/>
            <w:tcBorders>
              <w:top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10-Q for the quarter ended March 31, 2013)</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10.3(d)*</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Third Amended and Restated 2003 Equity Incentive Plan effective May 22, 2015 (Incorporated</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694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by reference to Exhibit 10.1 to the Company’s Current Report on Form 8-K filed on May 29,</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2015)</w:t>
              </w:r>
            </w:hyperlink>
          </w:p>
        </w:tc>
        <w:tc>
          <w:tcPr>
            <w:tcW w:w="6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10.3(e)*</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Fourth  Amended  and  Restated  2003  Equity  Incentive  Plan,  effective  May  23,  2017</w:t>
              </w:r>
            </w:hyperlink>
          </w:p>
        </w:tc>
        <w:tc>
          <w:tcPr>
            <w:tcW w:w="0" w:type="dxa"/>
            <w:vAlign w:val="bottom"/>
          </w:tcPr>
          <w:p>
            <w:pPr>
              <w:spacing w:after="0"/>
              <w:rPr>
                <w:sz w:val="1"/>
                <w:szCs w:val="1"/>
                <w:color w:val="auto"/>
              </w:rPr>
            </w:pPr>
          </w:p>
        </w:tc>
      </w:tr>
      <w:tr>
        <w:trPr>
          <w:trHeight w:val="166"/>
        </w:trPr>
        <w:tc>
          <w:tcPr>
            <w:tcW w:w="940" w:type="dxa"/>
            <w:vAlign w:val="bottom"/>
          </w:tcPr>
          <w:p>
            <w:pPr>
              <w:spacing w:after="0"/>
              <w:rPr>
                <w:sz w:val="14"/>
                <w:szCs w:val="14"/>
                <w:color w:val="auto"/>
              </w:rPr>
            </w:pPr>
          </w:p>
        </w:tc>
        <w:tc>
          <w:tcPr>
            <w:tcW w:w="7120" w:type="dxa"/>
            <w:vAlign w:val="bottom"/>
            <w:tcBorders>
              <w:top w:val="single" w:sz="8" w:color="0000FF"/>
            </w:tcBorders>
            <w:gridSpan w:val="34"/>
          </w:tcPr>
          <w:p>
            <w:pPr>
              <w:spacing w:after="0" w:line="16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(Incorporated by reference to Exhibit 10.1 to the Company’s Current Report on Form 8-K filed</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3"/>
          </w:tcPr>
          <w:p>
            <w:pPr>
              <w:spacing w:after="0" w:line="153"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on May 25, 2017)</w:t>
              </w:r>
            </w:hyperlink>
          </w:p>
        </w:tc>
        <w:tc>
          <w:tcPr>
            <w:tcW w:w="568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10.3(f)*</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Amendment to the Integra LifeSciences Holdings Corporation Fourth Amended and Restated</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7180" w:type="dxa"/>
            <w:vAlign w:val="bottom"/>
            <w:tcBorders>
              <w:top w:val="single" w:sz="8" w:color="0000FF"/>
            </w:tcBorders>
            <w:gridSpan w:val="37"/>
          </w:tcPr>
          <w:p>
            <w:pPr>
              <w:spacing w:after="0" w:line="153"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2003 Equity Incentive Plan (Incorporated by reference to Exhibit 10.1 to the Company’s</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Quarterly Report on Form 10-Q for the quarter ended September 30, 2020)</w:t>
              </w:r>
            </w:hyperlink>
          </w:p>
        </w:tc>
        <w:tc>
          <w:tcPr>
            <w:tcW w:w="1820" w:type="dxa"/>
            <w:vAlign w:val="bottom"/>
            <w:tcBorders>
              <w:top w:val="single" w:sz="8" w:color="0000FF"/>
            </w:tcBorders>
            <w:gridSpan w:val="21"/>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10.3(g)*</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Integra LifeSciences Holdings Corporation Fifth Amended and Restated 2003 Equity Incentive</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7000" w:type="dxa"/>
            <w:vAlign w:val="bottom"/>
            <w:tcBorders>
              <w:top w:val="single" w:sz="8" w:color="0000FF"/>
              <w:bottom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Plan (Incorporated by reference to Exhibit 10.1 to the Company’s Current Report on Form 8-K</w:t>
              </w:r>
            </w:hyperlink>
          </w:p>
        </w:tc>
        <w:tc>
          <w:tcPr>
            <w:tcW w:w="60" w:type="dxa"/>
            <w:vAlign w:val="bottom"/>
            <w:tcBorders>
              <w:bottom w:val="single" w:sz="8" w:color="0000FF"/>
            </w:tcBorders>
            <w:gridSpan w:val="3"/>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7060" w:type="dxa"/>
            <w:vAlign w:val="bottom"/>
            <w:gridSpan w:val="31"/>
          </w:tcPr>
          <w:p>
            <w:pPr>
              <w:spacing w:after="0" w:line="153"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filed on May 18, 2021)</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10.3(h)*</w:t>
            </w:r>
          </w:p>
        </w:tc>
        <w:tc>
          <w:tcPr>
            <w:tcW w:w="7240" w:type="dxa"/>
            <w:vAlign w:val="bottom"/>
            <w:gridSpan w:val="40"/>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Amendment No. 1 to the Integra LifeSciences Holdings Corporation Fifth Amended and</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6280" w:type="dxa"/>
            <w:vAlign w:val="bottom"/>
            <w:tcBorders>
              <w:top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Restated 2003 Equity Incentive Plan (Incorporated by reference to Exhibit 10.1 to the</w:t>
              </w:r>
            </w:hyperlink>
          </w:p>
        </w:tc>
        <w:tc>
          <w:tcPr>
            <w:tcW w:w="96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Company’s Current Report on Form 8-K filed on May 13, 2024)</w:t>
              </w:r>
            </w:hyperlink>
          </w:p>
        </w:tc>
        <w:tc>
          <w:tcPr>
            <w:tcW w:w="1440" w:type="dxa"/>
            <w:vAlign w:val="bottom"/>
            <w:tcBorders>
              <w:top w:val="single" w:sz="8" w:color="0000FF"/>
            </w:tcBorders>
            <w:gridSpan w:val="3"/>
          </w:tcPr>
          <w:p>
            <w:pPr>
              <w:spacing w:after="0"/>
              <w:rPr>
                <w:sz w:val="13"/>
                <w:szCs w:val="13"/>
                <w:color w:val="auto"/>
              </w:rPr>
            </w:pPr>
          </w:p>
        </w:tc>
        <w:tc>
          <w:tcPr>
            <w:tcW w:w="118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19"/>
          </w:cols>
          <w:pgMar w:left="340" w:top="9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19"/>
          </w:cols>
          <w:pgMar w:left="340" w:top="995" w:right="1440"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10.3(i)*</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Integra LifeSciences Holdings Corporation Fifth Amended and Restated 2003 Equity</w:t>
              </w:r>
            </w:hyperlink>
          </w:p>
        </w:tc>
      </w:tr>
      <w:tr>
        <w:trPr>
          <w:trHeight w:val="153"/>
        </w:trPr>
        <w:tc>
          <w:tcPr>
            <w:tcW w:w="94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Incentive Plan Restricted Stock Award Agreement – Directors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6900" w:type="dxa"/>
            <w:vAlign w:val="bottom"/>
            <w:tcBorders>
              <w:bottom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Exhibit 10.3(h) to the Company’s Annual Report on Form 10-K for the fiscal year ended</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940" w:type="dxa"/>
            <w:vAlign w:val="bottom"/>
          </w:tcPr>
          <w:p>
            <w:pPr>
              <w:spacing w:after="0"/>
              <w:rPr>
                <w:sz w:val="14"/>
                <w:szCs w:val="14"/>
                <w:color w:val="auto"/>
              </w:rPr>
            </w:pPr>
          </w:p>
        </w:tc>
        <w:tc>
          <w:tcPr>
            <w:tcW w:w="1460" w:type="dxa"/>
            <w:vAlign w:val="bottom"/>
            <w:tcBorders>
              <w:bottom w:val="single" w:sz="8" w:color="0000FF"/>
            </w:tcBorders>
            <w:gridSpan w:val="3"/>
          </w:tcPr>
          <w:p>
            <w:pPr>
              <w:spacing w:after="0" w:line="166" w:lineRule="exact"/>
              <w:rPr>
                <w:rFonts w:ascii="Times New Roman" w:cs="Times New Roman" w:eastAsia="Times New Roman" w:hAnsi="Times New Roman"/>
                <w:sz w:val="18"/>
                <w:szCs w:val="18"/>
                <w:color w:val="0000FF"/>
                <w:w w:val="97"/>
              </w:rPr>
            </w:pPr>
            <w:hyperlink r:id="rId90">
              <w:r>
                <w:rPr>
                  <w:rFonts w:ascii="Times New Roman" w:cs="Times New Roman" w:eastAsia="Times New Roman" w:hAnsi="Times New Roman"/>
                  <w:sz w:val="18"/>
                  <w:szCs w:val="18"/>
                  <w:color w:val="0000FF"/>
                  <w:w w:val="97"/>
                </w:rPr>
                <w:t>December 31, 2022)</w:t>
              </w:r>
            </w:hyperlink>
          </w:p>
        </w:tc>
        <w:tc>
          <w:tcPr>
            <w:tcW w:w="546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10.3(j)*</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of Integra LifeSciences Holdings Corporation Fifth Amended and Restated 2003 Equity</w:t>
              </w:r>
            </w:hyperlink>
          </w:p>
        </w:tc>
      </w:tr>
      <w:tr>
        <w:trPr>
          <w:trHeight w:val="153"/>
        </w:trPr>
        <w:tc>
          <w:tcPr>
            <w:tcW w:w="94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Incentive Plan Restricted Stock Agreement – Executive Officers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6940" w:type="dxa"/>
            <w:vAlign w:val="bottom"/>
            <w:tcBorders>
              <w:bottom w:val="single" w:sz="8" w:color="0000FF"/>
            </w:tcBorders>
            <w:gridSpan w:val="17"/>
          </w:tcPr>
          <w:p>
            <w:pPr>
              <w:spacing w:after="0" w:line="153"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Exhibit 10.3(i) to the Company’s Annual Report on Form 10-K for the fiscal year ended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940" w:type="dxa"/>
            <w:vAlign w:val="bottom"/>
          </w:tcPr>
          <w:p>
            <w:pPr>
              <w:spacing w:after="0"/>
              <w:rPr>
                <w:sz w:val="14"/>
                <w:szCs w:val="14"/>
                <w:color w:val="auto"/>
              </w:rPr>
            </w:pPr>
          </w:p>
        </w:tc>
        <w:tc>
          <w:tcPr>
            <w:tcW w:w="1460" w:type="dxa"/>
            <w:vAlign w:val="bottom"/>
            <w:tcBorders>
              <w:bottom w:val="single" w:sz="8" w:color="0000FF"/>
            </w:tcBorders>
            <w:gridSpan w:val="3"/>
          </w:tcPr>
          <w:p>
            <w:pPr>
              <w:spacing w:after="0" w:line="166" w:lineRule="exact"/>
              <w:rPr>
                <w:rFonts w:ascii="Times New Roman" w:cs="Times New Roman" w:eastAsia="Times New Roman" w:hAnsi="Times New Roman"/>
                <w:sz w:val="18"/>
                <w:szCs w:val="18"/>
                <w:color w:val="0000FF"/>
                <w:w w:val="97"/>
              </w:rPr>
            </w:pPr>
            <w:hyperlink r:id="rId91">
              <w:r>
                <w:rPr>
                  <w:rFonts w:ascii="Times New Roman" w:cs="Times New Roman" w:eastAsia="Times New Roman" w:hAnsi="Times New Roman"/>
                  <w:sz w:val="18"/>
                  <w:szCs w:val="18"/>
                  <w:color w:val="0000FF"/>
                  <w:w w:val="97"/>
                </w:rPr>
                <w:t>December 31, 2022)</w:t>
              </w:r>
            </w:hyperlink>
          </w:p>
        </w:tc>
        <w:tc>
          <w:tcPr>
            <w:tcW w:w="554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10.3(k)*</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Integra LifeSciences Holdings Corporation Fifth Amended and Restated 2003 Equity</w:t>
              </w:r>
            </w:hyperlink>
          </w:p>
        </w:tc>
      </w:tr>
      <w:tr>
        <w:trPr>
          <w:trHeight w:val="153"/>
        </w:trPr>
        <w:tc>
          <w:tcPr>
            <w:tcW w:w="94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Incentive Plan Performance Stock Unit Award Agreement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7280" w:type="dxa"/>
            <w:vAlign w:val="bottom"/>
            <w:gridSpan w:val="34"/>
          </w:tcPr>
          <w:p>
            <w:pPr>
              <w:spacing w:after="0" w:line="153"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3(j)</w:t>
              </w:r>
              <w:r>
                <w:rPr>
                  <w:rFonts w:ascii="Times New Roman" w:cs="Times New Roman" w:eastAsia="Times New Roman" w:hAnsi="Times New Roman"/>
                  <w:sz w:val="17"/>
                  <w:szCs w:val="17"/>
                  <w:color w:val="0000FF"/>
                </w:rPr>
                <w:t xml:space="preserve"> to the Company’s Annual Report on Form 10-K for the fiscal year ended December 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6" w:lineRule="exact"/>
              <w:rPr>
                <w:rFonts w:ascii="Times New Roman" w:cs="Times New Roman" w:eastAsia="Times New Roman" w:hAnsi="Times New Roman"/>
                <w:sz w:val="18"/>
                <w:szCs w:val="18"/>
                <w:color w:val="0000FF"/>
                <w:w w:val="95"/>
              </w:rPr>
            </w:pPr>
            <w:hyperlink r:id="rId92">
              <w:r>
                <w:rPr>
                  <w:rFonts w:ascii="Times New Roman" w:cs="Times New Roman" w:eastAsia="Times New Roman" w:hAnsi="Times New Roman"/>
                  <w:sz w:val="18"/>
                  <w:szCs w:val="18"/>
                  <w:color w:val="0000FF"/>
                  <w:w w:val="95"/>
                </w:rPr>
                <w:t>2022)</w:t>
              </w:r>
            </w:hyperlink>
          </w:p>
        </w:tc>
        <w:tc>
          <w:tcPr>
            <w:tcW w:w="10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10.3(l)*</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Integra LifeSciences Holdings Corporation Fifth Amended and Restated 2003 Equity</w:t>
              </w:r>
            </w:hyperlink>
          </w:p>
        </w:tc>
      </w:tr>
      <w:tr>
        <w:trPr>
          <w:trHeight w:val="153"/>
        </w:trPr>
        <w:tc>
          <w:tcPr>
            <w:tcW w:w="94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Incentive Plan Non-Qualified Stock Option Award Agreement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7020" w:type="dxa"/>
            <w:vAlign w:val="bottom"/>
            <w:gridSpan w:val="21"/>
          </w:tcPr>
          <w:p>
            <w:pPr>
              <w:spacing w:after="0" w:line="153"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Exhibit 10.3(k) to the Company’s Annual Report on Form 10-K for the fiscal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94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3"/>
          </w:tcPr>
          <w:p>
            <w:pPr>
              <w:spacing w:after="0" w:line="166" w:lineRule="exact"/>
              <w:rPr>
                <w:rFonts w:ascii="Times New Roman" w:cs="Times New Roman" w:eastAsia="Times New Roman" w:hAnsi="Times New Roman"/>
                <w:sz w:val="18"/>
                <w:szCs w:val="18"/>
                <w:color w:val="0000FF"/>
                <w:w w:val="97"/>
              </w:rPr>
            </w:pPr>
            <w:hyperlink r:id="rId93">
              <w:r>
                <w:rPr>
                  <w:rFonts w:ascii="Times New Roman" w:cs="Times New Roman" w:eastAsia="Times New Roman" w:hAnsi="Times New Roman"/>
                  <w:sz w:val="18"/>
                  <w:szCs w:val="18"/>
                  <w:color w:val="0000FF"/>
                  <w:w w:val="97"/>
                </w:rPr>
                <w:t>December 31, 2022)</w:t>
              </w:r>
            </w:hyperlink>
          </w:p>
        </w:tc>
        <w:tc>
          <w:tcPr>
            <w:tcW w:w="546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10.3(m)*</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Integra LifeSciences Holdings Corporation Fifth Amended and Restated 2003 Equity</w:t>
              </w:r>
            </w:hyperlink>
          </w:p>
        </w:tc>
      </w:tr>
      <w:tr>
        <w:trPr>
          <w:trHeight w:val="153"/>
        </w:trPr>
        <w:tc>
          <w:tcPr>
            <w:tcW w:w="94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Incentive Plan Restricted Stock Award Agreement – OUS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7220" w:type="dxa"/>
            <w:vAlign w:val="bottom"/>
            <w:tcBorders>
              <w:bottom w:val="single" w:sz="8" w:color="0000FF"/>
            </w:tcBorders>
            <w:gridSpan w:val="31"/>
          </w:tcPr>
          <w:p>
            <w:pPr>
              <w:spacing w:after="0" w:line="153"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3(l)</w:t>
              </w:r>
              <w:r>
                <w:rPr>
                  <w:rFonts w:ascii="Times New Roman" w:cs="Times New Roman" w:eastAsia="Times New Roman" w:hAnsi="Times New Roman"/>
                  <w:sz w:val="17"/>
                  <w:szCs w:val="17"/>
                  <w:color w:val="0000FF"/>
                </w:rPr>
                <w:t xml:space="preserve"> to the Company’s Annual Report on Form 10-K for the fiscal year ended December 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940" w:type="dxa"/>
            <w:vAlign w:val="bottom"/>
          </w:tcPr>
          <w:p>
            <w:pPr>
              <w:spacing w:after="0"/>
              <w:rPr>
                <w:sz w:val="14"/>
                <w:szCs w:val="14"/>
                <w:color w:val="auto"/>
              </w:rPr>
            </w:pPr>
          </w:p>
        </w:tc>
        <w:tc>
          <w:tcPr>
            <w:tcW w:w="360" w:type="dxa"/>
            <w:vAlign w:val="bottom"/>
            <w:tcBorders>
              <w:bottom w:val="single" w:sz="8" w:color="0000FF"/>
            </w:tcBorders>
          </w:tcPr>
          <w:p>
            <w:pPr>
              <w:spacing w:after="0" w:line="166" w:lineRule="exact"/>
              <w:rPr>
                <w:rFonts w:ascii="Times New Roman" w:cs="Times New Roman" w:eastAsia="Times New Roman" w:hAnsi="Times New Roman"/>
                <w:sz w:val="18"/>
                <w:szCs w:val="18"/>
                <w:color w:val="0000FF"/>
                <w:w w:val="94"/>
              </w:rPr>
            </w:pPr>
            <w:hyperlink r:id="rId94">
              <w:r>
                <w:rPr>
                  <w:rFonts w:ascii="Times New Roman" w:cs="Times New Roman" w:eastAsia="Times New Roman" w:hAnsi="Times New Roman"/>
                  <w:sz w:val="18"/>
                  <w:szCs w:val="18"/>
                  <w:color w:val="0000FF"/>
                  <w:w w:val="94"/>
                </w:rPr>
                <w:t>2022</w:t>
              </w:r>
            </w:hyperlink>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10.3(n)*</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Integra LifeSciences Holdings Corporation Fifth Amended and Restated 2003 Equity</w:t>
              </w:r>
            </w:hyperlink>
          </w:p>
        </w:tc>
      </w:tr>
      <w:tr>
        <w:trPr>
          <w:trHeight w:val="153"/>
        </w:trPr>
        <w:tc>
          <w:tcPr>
            <w:tcW w:w="94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Incentive Plan Restricted Stock Unit Award Agreement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7260" w:type="dxa"/>
            <w:vAlign w:val="bottom"/>
            <w:gridSpan w:val="33"/>
          </w:tcPr>
          <w:p>
            <w:pPr>
              <w:spacing w:after="0" w:line="153"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Company’s Quarterly Report on Form 10-Q for the quarter ended September 30,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6" w:lineRule="exact"/>
              <w:rPr>
                <w:rFonts w:ascii="Times New Roman" w:cs="Times New Roman" w:eastAsia="Times New Roman" w:hAnsi="Times New Roman"/>
                <w:sz w:val="18"/>
                <w:szCs w:val="18"/>
                <w:color w:val="0000FF"/>
                <w:w w:val="95"/>
              </w:rPr>
            </w:pPr>
            <w:hyperlink r:id="rId95">
              <w:r>
                <w:rPr>
                  <w:rFonts w:ascii="Times New Roman" w:cs="Times New Roman" w:eastAsia="Times New Roman" w:hAnsi="Times New Roman"/>
                  <w:sz w:val="18"/>
                  <w:szCs w:val="18"/>
                  <w:color w:val="0000FF"/>
                  <w:w w:val="95"/>
                </w:rPr>
                <w:t>2024)</w:t>
              </w:r>
            </w:hyperlink>
          </w:p>
        </w:tc>
        <w:tc>
          <w:tcPr>
            <w:tcW w:w="10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10.3(o)*</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Integra LifeSciences Holdings Corporation Fifth Amended and Restated 2003 Equity</w:t>
              </w:r>
            </w:hyperlink>
          </w:p>
        </w:tc>
      </w:tr>
      <w:tr>
        <w:trPr>
          <w:trHeight w:val="153"/>
        </w:trPr>
        <w:tc>
          <w:tcPr>
            <w:tcW w:w="94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Incentive Plan Non-Qualified Stock Option Award Agreement – CEO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7200" w:type="dxa"/>
            <w:vAlign w:val="bottom"/>
            <w:gridSpan w:val="30"/>
          </w:tcPr>
          <w:p>
            <w:pPr>
              <w:spacing w:after="0" w:line="153"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reference to Exhibit 10.2 to the Company’s Quarterly Report on Form 10-Q for the quarter</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940" w:type="dxa"/>
            <w:vAlign w:val="bottom"/>
          </w:tcPr>
          <w:p>
            <w:pPr>
              <w:spacing w:after="0"/>
              <w:rPr>
                <w:sz w:val="14"/>
                <w:szCs w:val="14"/>
                <w:color w:val="auto"/>
              </w:rPr>
            </w:pPr>
          </w:p>
        </w:tc>
        <w:tc>
          <w:tcPr>
            <w:tcW w:w="1660" w:type="dxa"/>
            <w:vAlign w:val="bottom"/>
            <w:tcBorders>
              <w:top w:val="single" w:sz="8" w:color="0000FF"/>
              <w:bottom w:val="single" w:sz="8" w:color="0000FF"/>
            </w:tcBorders>
            <w:gridSpan w:val="4"/>
          </w:tcPr>
          <w:p>
            <w:pPr>
              <w:spacing w:after="0" w:line="166" w:lineRule="exact"/>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ended March 31, 2024)</w:t>
              </w:r>
            </w:hyperlink>
          </w:p>
        </w:tc>
        <w:tc>
          <w:tcPr>
            <w:tcW w:w="546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Indemnification  Agreement,  by  and  between  Integra  LifeSciences  Holdings</w:t>
              </w:r>
            </w:hyperlink>
          </w:p>
        </w:tc>
      </w:tr>
      <w:tr>
        <w:trPr>
          <w:trHeight w:val="153"/>
        </w:trPr>
        <w:tc>
          <w:tcPr>
            <w:tcW w:w="940" w:type="dxa"/>
            <w:vAlign w:val="bottom"/>
          </w:tcPr>
          <w:p>
            <w:pPr>
              <w:spacing w:after="0"/>
              <w:rPr>
                <w:sz w:val="13"/>
                <w:szCs w:val="13"/>
                <w:color w:val="auto"/>
              </w:rPr>
            </w:pPr>
          </w:p>
        </w:tc>
        <w:tc>
          <w:tcPr>
            <w:tcW w:w="7140" w:type="dxa"/>
            <w:vAlign w:val="bottom"/>
            <w:tcBorders>
              <w:top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Corporation and each of its directors and executive officers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7040" w:type="dxa"/>
            <w:vAlign w:val="bottom"/>
            <w:tcBorders>
              <w:top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Exhibit 10.1 to the Company’s Current Report on Form 8-K filed on July 19,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Annual Executive Physical Medical Exam Arrangement (Incorporated by reference to the</w:t>
              </w:r>
            </w:hyperlink>
          </w:p>
        </w:tc>
      </w:tr>
      <w:tr>
        <w:trPr>
          <w:trHeight w:val="153"/>
        </w:trPr>
        <w:tc>
          <w:tcPr>
            <w:tcW w:w="940" w:type="dxa"/>
            <w:vAlign w:val="bottom"/>
          </w:tcPr>
          <w:p>
            <w:pPr>
              <w:spacing w:after="0"/>
              <w:rPr>
                <w:sz w:val="13"/>
                <w:szCs w:val="13"/>
                <w:color w:val="auto"/>
              </w:rPr>
            </w:pPr>
          </w:p>
        </w:tc>
        <w:tc>
          <w:tcPr>
            <w:tcW w:w="720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Exhibit 10.2 to the Company’s Current Report on Form 8-K filed on July 29, 2013)</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2018 Performance Incentive Compensation Plan, effective January 1, 2018 (Incorporated by</w:t>
              </w:r>
            </w:hyperlink>
          </w:p>
        </w:tc>
      </w:tr>
      <w:tr>
        <w:trPr>
          <w:trHeight w:val="153"/>
        </w:trPr>
        <w:tc>
          <w:tcPr>
            <w:tcW w:w="940" w:type="dxa"/>
            <w:vAlign w:val="bottom"/>
          </w:tcPr>
          <w:p>
            <w:pPr>
              <w:spacing w:after="0"/>
              <w:rPr>
                <w:sz w:val="13"/>
                <w:szCs w:val="13"/>
                <w:color w:val="auto"/>
              </w:rPr>
            </w:pPr>
          </w:p>
        </w:tc>
        <w:tc>
          <w:tcPr>
            <w:tcW w:w="710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reference to Exhibit 10.2 to the Company’s Current Report on Form 8-K filed on May 25, 2017)</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Integra  LifeSciences  Holdings  Corporation  Change  in  Control  Severance  Program</w:t>
              </w:r>
            </w:hyperlink>
          </w:p>
        </w:tc>
      </w:tr>
      <w:tr>
        <w:trPr>
          <w:trHeight w:val="153"/>
        </w:trPr>
        <w:tc>
          <w:tcPr>
            <w:tcW w:w="940" w:type="dxa"/>
            <w:vAlign w:val="bottom"/>
          </w:tcPr>
          <w:p>
            <w:pPr>
              <w:spacing w:after="0"/>
              <w:rPr>
                <w:sz w:val="13"/>
                <w:szCs w:val="13"/>
                <w:color w:val="auto"/>
              </w:rPr>
            </w:pPr>
          </w:p>
        </w:tc>
        <w:tc>
          <w:tcPr>
            <w:tcW w:w="7080" w:type="dxa"/>
            <w:vAlign w:val="bottom"/>
            <w:tcBorders>
              <w:top w:val="single" w:sz="8" w:color="0000FF"/>
            </w:tcBorders>
            <w:gridSpan w:val="24"/>
          </w:tcPr>
          <w:p>
            <w:pPr>
              <w:spacing w:after="0" w:line="153"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(Incorporated by reference to Exhibit 10.1 to the Company’s Current Report on Form 8-K filed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on December 17, 2024)</w:t>
              </w:r>
            </w:hyperlink>
          </w:p>
        </w:tc>
        <w:tc>
          <w:tcPr>
            <w:tcW w:w="53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 and Restated Management Incentive Compensation Plan, as of January 1, 2008</w:t>
              </w:r>
            </w:hyperlink>
          </w:p>
        </w:tc>
      </w:tr>
      <w:tr>
        <w:trPr>
          <w:trHeight w:val="153"/>
        </w:trPr>
        <w:tc>
          <w:tcPr>
            <w:tcW w:w="940" w:type="dxa"/>
            <w:vAlign w:val="bottom"/>
          </w:tcPr>
          <w:p>
            <w:pPr>
              <w:spacing w:after="0"/>
              <w:rPr>
                <w:sz w:val="13"/>
                <w:szCs w:val="13"/>
                <w:color w:val="auto"/>
              </w:rPr>
            </w:pPr>
          </w:p>
        </w:tc>
        <w:tc>
          <w:tcPr>
            <w:tcW w:w="716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(Incorporated by reference to Exhibit 10.43(c) to the Company’s Annual Report on Form 10-K</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6"/>
          </w:tcPr>
          <w:p>
            <w:pPr>
              <w:spacing w:after="0" w:line="153"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for the fiscal year ended December 31, 2007)</w:t>
              </w:r>
            </w:hyperlink>
          </w:p>
        </w:tc>
        <w:tc>
          <w:tcPr>
            <w:tcW w:w="3660" w:type="dxa"/>
            <w:vAlign w:val="bottom"/>
            <w:tcBorders>
              <w:top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Employment Agreement, dated November 4, 2024, by and between Integra LifeSciences</w:t>
              </w:r>
            </w:hyperlink>
          </w:p>
        </w:tc>
      </w:tr>
      <w:tr>
        <w:trPr>
          <w:trHeight w:val="153"/>
        </w:trPr>
        <w:tc>
          <w:tcPr>
            <w:tcW w:w="940" w:type="dxa"/>
            <w:vAlign w:val="bottom"/>
          </w:tcPr>
          <w:p>
            <w:pPr>
              <w:spacing w:after="0"/>
              <w:rPr>
                <w:sz w:val="13"/>
                <w:szCs w:val="13"/>
                <w:color w:val="auto"/>
              </w:rPr>
            </w:pPr>
          </w:p>
        </w:tc>
        <w:tc>
          <w:tcPr>
            <w:tcW w:w="7300" w:type="dxa"/>
            <w:vAlign w:val="bottom"/>
            <w:tcBorders>
              <w:top w:val="single" w:sz="8" w:color="0000FF"/>
            </w:tcBorders>
            <w:gridSpan w:val="35"/>
          </w:tcPr>
          <w:p>
            <w:pPr>
              <w:spacing w:after="0" w:line="153"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Holdings Corporation, Integra LifeSciences Corporation and Mojdeh Poul (Incorporated by</w:t>
              </w:r>
            </w:hyperlink>
          </w:p>
        </w:tc>
        <w:tc>
          <w:tcPr>
            <w:tcW w:w="20" w:type="dxa"/>
            <w:vAlign w:val="bottom"/>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6860" w:type="dxa"/>
            <w:vAlign w:val="bottom"/>
            <w:tcBorders>
              <w:top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reference to Exhibit 10.1 to the Company’s Current Report on Form 8-K filed on November 4,</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6"/>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6" w:lineRule="exact"/>
              <w:rPr>
                <w:rFonts w:ascii="Times New Roman" w:cs="Times New Roman" w:eastAsia="Times New Roman" w:hAnsi="Times New Roman"/>
                <w:sz w:val="18"/>
                <w:szCs w:val="18"/>
                <w:color w:val="0000FF"/>
                <w:w w:val="95"/>
              </w:rPr>
            </w:pPr>
            <w:hyperlink r:id="rId102">
              <w:r>
                <w:rPr>
                  <w:rFonts w:ascii="Times New Roman" w:cs="Times New Roman" w:eastAsia="Times New Roman" w:hAnsi="Times New Roman"/>
                  <w:sz w:val="18"/>
                  <w:szCs w:val="18"/>
                  <w:color w:val="0000FF"/>
                  <w:w w:val="95"/>
                </w:rPr>
                <w:t>2024)</w:t>
              </w:r>
            </w:hyperlink>
          </w:p>
        </w:tc>
        <w:tc>
          <w:tcPr>
            <w:tcW w:w="10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Davis Promotion Summary, effective December 1, 2016 (Incorporated by reference to Exhibit</w:t>
              </w:r>
            </w:hyperlink>
          </w:p>
        </w:tc>
      </w:tr>
      <w:tr>
        <w:trPr>
          <w:trHeight w:val="153"/>
        </w:trPr>
        <w:tc>
          <w:tcPr>
            <w:tcW w:w="940" w:type="dxa"/>
            <w:vAlign w:val="bottom"/>
          </w:tcPr>
          <w:p>
            <w:pPr>
              <w:spacing w:after="0"/>
              <w:rPr>
                <w:sz w:val="13"/>
                <w:szCs w:val="13"/>
                <w:color w:val="auto"/>
              </w:rPr>
            </w:pPr>
          </w:p>
        </w:tc>
        <w:tc>
          <w:tcPr>
            <w:tcW w:w="7180" w:type="dxa"/>
            <w:vAlign w:val="bottom"/>
            <w:tcBorders>
              <w:top w:val="single" w:sz="8" w:color="0000FF"/>
            </w:tcBorders>
            <w:gridSpan w:val="29"/>
          </w:tcPr>
          <w:p>
            <w:pPr>
              <w:spacing w:after="0" w:line="153"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to the Company’s Current Report on Form 8-K filed on December 5, 2016)</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10.11(a)*</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Employment Agreement, dated October 28, 2021, by and between Integra LifeSciences</w:t>
              </w:r>
            </w:hyperlink>
          </w:p>
        </w:tc>
      </w:tr>
      <w:tr>
        <w:trPr>
          <w:trHeight w:val="153"/>
        </w:trPr>
        <w:tc>
          <w:tcPr>
            <w:tcW w:w="940" w:type="dxa"/>
            <w:vAlign w:val="bottom"/>
          </w:tcPr>
          <w:p>
            <w:pPr>
              <w:spacing w:after="0"/>
              <w:rPr>
                <w:sz w:val="13"/>
                <w:szCs w:val="13"/>
                <w:color w:val="auto"/>
              </w:rPr>
            </w:pPr>
          </w:p>
        </w:tc>
        <w:tc>
          <w:tcPr>
            <w:tcW w:w="6960" w:type="dxa"/>
            <w:vAlign w:val="bottom"/>
            <w:tcBorders>
              <w:top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Holdings Corporation, Integra LifeSciences Corporation and Jan De Witte (Incorporated by</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6820" w:type="dxa"/>
            <w:vAlign w:val="bottom"/>
            <w:tcBorders>
              <w:top w:val="single" w:sz="8" w:color="0000FF"/>
            </w:tcBorders>
            <w:gridSpan w:val="11"/>
          </w:tcPr>
          <w:p>
            <w:pPr>
              <w:spacing w:after="0" w:line="153"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reference to Exhibit 10.1 to the Company’s Current Report on Form 8-K filed on October 28,</w:t>
              </w:r>
            </w:hyperlink>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6"/>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6" w:lineRule="exact"/>
              <w:rPr>
                <w:rFonts w:ascii="Times New Roman" w:cs="Times New Roman" w:eastAsia="Times New Roman" w:hAnsi="Times New Roman"/>
                <w:sz w:val="18"/>
                <w:szCs w:val="18"/>
                <w:color w:val="0000FF"/>
                <w:w w:val="95"/>
              </w:rPr>
            </w:pPr>
            <w:hyperlink r:id="rId104">
              <w:r>
                <w:rPr>
                  <w:rFonts w:ascii="Times New Roman" w:cs="Times New Roman" w:eastAsia="Times New Roman" w:hAnsi="Times New Roman"/>
                  <w:sz w:val="18"/>
                  <w:szCs w:val="18"/>
                  <w:color w:val="0000FF"/>
                  <w:w w:val="95"/>
                </w:rPr>
                <w:t>2021)</w:t>
              </w:r>
            </w:hyperlink>
          </w:p>
        </w:tc>
        <w:tc>
          <w:tcPr>
            <w:tcW w:w="10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10.11(b)*</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Letter Agreement, dated February 27, 2024 (Incorporated by reference to Exhibit 10.1 to the</w:t>
              </w:r>
            </w:hyperlink>
          </w:p>
        </w:tc>
      </w:tr>
      <w:tr>
        <w:trPr>
          <w:trHeight w:val="153"/>
        </w:trPr>
        <w:tc>
          <w:tcPr>
            <w:tcW w:w="940" w:type="dxa"/>
            <w:vAlign w:val="bottom"/>
          </w:tcPr>
          <w:p>
            <w:pPr>
              <w:spacing w:after="0"/>
              <w:rPr>
                <w:sz w:val="13"/>
                <w:szCs w:val="13"/>
                <w:color w:val="auto"/>
              </w:rPr>
            </w:pPr>
          </w:p>
        </w:tc>
        <w:tc>
          <w:tcPr>
            <w:tcW w:w="7060" w:type="dxa"/>
            <w:vAlign w:val="bottom"/>
            <w:tcBorders>
              <w:top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Company’s Current Report on Form 8-K filed on February 28, 2024)</w:t>
              </w:r>
            </w:hyperlink>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11"/>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10.11(c)+*</w:t>
            </w:r>
          </w:p>
        </w:tc>
        <w:tc>
          <w:tcPr>
            <w:tcW w:w="73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Consulting Agreement, dated November 4, 2024, by and between Integra LifeSciences</w:t>
            </w:r>
          </w:p>
        </w:tc>
      </w:tr>
      <w:tr>
        <w:trPr>
          <w:trHeight w:val="153"/>
        </w:trPr>
        <w:tc>
          <w:tcPr>
            <w:tcW w:w="940" w:type="dxa"/>
            <w:vAlign w:val="bottom"/>
          </w:tcPr>
          <w:p>
            <w:pPr>
              <w:spacing w:after="0"/>
              <w:rPr>
                <w:sz w:val="13"/>
                <w:szCs w:val="13"/>
                <w:color w:val="auto"/>
              </w:rPr>
            </w:pPr>
          </w:p>
        </w:tc>
        <w:tc>
          <w:tcPr>
            <w:tcW w:w="7120" w:type="dxa"/>
            <w:vAlign w:val="bottom"/>
            <w:tcBorders>
              <w:top w:val="single" w:sz="8" w:color="0000FF"/>
            </w:tcBorders>
            <w:gridSpan w:val="26"/>
          </w:tcPr>
          <w:p>
            <w:pPr>
              <w:spacing w:after="0" w:line="153" w:lineRule="exact"/>
              <w:rPr>
                <w:sz w:val="20"/>
                <w:szCs w:val="20"/>
                <w:color w:val="auto"/>
              </w:rPr>
            </w:pPr>
            <w:r>
              <w:rPr>
                <w:rFonts w:ascii="Times New Roman" w:cs="Times New Roman" w:eastAsia="Times New Roman" w:hAnsi="Times New Roman"/>
                <w:sz w:val="17"/>
                <w:szCs w:val="17"/>
                <w:color w:val="0000FF"/>
              </w:rPr>
              <w:t>Holdings Corporation, Integra LifeSciences Corporation and Jan De Witte</w:t>
            </w: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260" w:type="dxa"/>
            <w:vAlign w:val="bottom"/>
            <w:gridSpan w:val="8"/>
            <w:shd w:val="clear" w:color="auto" w:fill="0000FF"/>
          </w:tcPr>
          <w:p>
            <w:pPr>
              <w:spacing w:after="0" w:line="20" w:lineRule="exact"/>
              <w:rPr>
                <w:sz w:val="1"/>
                <w:szCs w:val="1"/>
                <w:color w:val="auto"/>
              </w:rPr>
            </w:pPr>
          </w:p>
        </w:tc>
        <w:tc>
          <w:tcPr>
            <w:tcW w:w="1720" w:type="dxa"/>
            <w:vAlign w:val="bottom"/>
            <w:gridSpan w:val="11"/>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10.12(a)</w:t>
            </w:r>
          </w:p>
        </w:tc>
        <w:tc>
          <w:tcPr>
            <w:tcW w:w="7320" w:type="dxa"/>
            <w:vAlign w:val="bottom"/>
            <w:gridSpan w:val="36"/>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Receivables Financing Agreement, dated as of December 21, 2018, by and among Integra</w:t>
              </w:r>
            </w:hyperlink>
          </w:p>
        </w:tc>
      </w:tr>
      <w:tr>
        <w:trPr>
          <w:trHeight w:val="153"/>
        </w:trPr>
        <w:tc>
          <w:tcPr>
            <w:tcW w:w="940" w:type="dxa"/>
            <w:vAlign w:val="bottom"/>
          </w:tcPr>
          <w:p>
            <w:pPr>
              <w:spacing w:after="0"/>
              <w:rPr>
                <w:sz w:val="13"/>
                <w:szCs w:val="13"/>
                <w:color w:val="auto"/>
              </w:rPr>
            </w:pPr>
          </w:p>
        </w:tc>
        <w:tc>
          <w:tcPr>
            <w:tcW w:w="7240" w:type="dxa"/>
            <w:vAlign w:val="bottom"/>
            <w:tcBorders>
              <w:top w:val="single" w:sz="8" w:color="0000FF"/>
            </w:tcBorders>
            <w:gridSpan w:val="32"/>
          </w:tcPr>
          <w:p>
            <w:pPr>
              <w:spacing w:after="0" w:line="153"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Receivables  LLC,  Integra  LifeSciences  Sales  LLC,  as  Servicer,  PNC  Bank,  National</w:t>
              </w:r>
            </w:hyperlink>
          </w:p>
        </w:tc>
        <w:tc>
          <w:tcPr>
            <w:tcW w:w="80" w:type="dxa"/>
            <w:vAlign w:val="bottom"/>
            <w:gridSpan w:val="4"/>
          </w:tcPr>
          <w:p>
            <w:pPr>
              <w:spacing w:after="0"/>
              <w:rPr>
                <w:sz w:val="13"/>
                <w:szCs w:val="13"/>
                <w:color w:val="auto"/>
              </w:rPr>
            </w:pPr>
          </w:p>
        </w:tc>
      </w:tr>
      <w:tr>
        <w:trPr>
          <w:trHeight w:val="153"/>
        </w:trPr>
        <w:tc>
          <w:tcPr>
            <w:tcW w:w="940" w:type="dxa"/>
            <w:vAlign w:val="bottom"/>
          </w:tcPr>
          <w:p>
            <w:pPr>
              <w:spacing w:after="0"/>
              <w:rPr>
                <w:sz w:val="13"/>
                <w:szCs w:val="13"/>
                <w:color w:val="auto"/>
              </w:rPr>
            </w:pPr>
          </w:p>
        </w:tc>
        <w:tc>
          <w:tcPr>
            <w:tcW w:w="7000" w:type="dxa"/>
            <w:vAlign w:val="bottom"/>
            <w:tcBorders>
              <w:top w:val="single" w:sz="8" w:color="0000FF"/>
              <w:bottom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Association, as Administrative Agent, PNC Capital Markets LLC, as Structuring Agent, and</w:t>
              </w:r>
            </w:hyperlink>
          </w:p>
        </w:tc>
        <w:tc>
          <w:tcPr>
            <w:tcW w:w="120" w:type="dxa"/>
            <w:vAlign w:val="bottom"/>
            <w:tcBorders>
              <w:top w:val="single" w:sz="8" w:color="0000FF"/>
            </w:tcBorders>
            <w:gridSpan w:val="6"/>
          </w:tcPr>
          <w:p>
            <w:pPr>
              <w:spacing w:after="0"/>
              <w:rPr>
                <w:sz w:val="13"/>
                <w:szCs w:val="13"/>
                <w:color w:val="auto"/>
              </w:rPr>
            </w:pPr>
          </w:p>
        </w:tc>
        <w:tc>
          <w:tcPr>
            <w:tcW w:w="200" w:type="dxa"/>
            <w:vAlign w:val="bottom"/>
            <w:gridSpan w:val="10"/>
          </w:tcPr>
          <w:p>
            <w:pPr>
              <w:spacing w:after="0"/>
              <w:rPr>
                <w:sz w:val="13"/>
                <w:szCs w:val="13"/>
                <w:color w:val="auto"/>
              </w:rPr>
            </w:pPr>
          </w:p>
        </w:tc>
      </w:tr>
    </w:tbl>
    <w:p>
      <w:pPr>
        <w:jc w:val="both"/>
        <w:ind w:left="940" w:right="2339"/>
        <w:spacing w:after="0" w:line="215"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certain lenders and group agents that are parties thereto from time to time (Incorporated by</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reference to Exhibit 10.1 to the Company’s Current Report on Form 8-K filed on December 28,</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2018)</w:t>
        </w:r>
      </w:hyperlink>
    </w:p>
    <w:p>
      <w:pPr>
        <w:sectPr>
          <w:pgSz w:w="11900" w:h="16838" w:orient="portrait"/>
          <w:cols w:equalWidth="0" w:num="1">
            <w:col w:w="10119"/>
          </w:cols>
          <w:pgMar w:left="340" w:top="995" w:right="1440" w:bottom="699"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0" w:lineRule="exact"/>
        <w:rPr>
          <w:rFonts w:ascii="Times New Roman" w:cs="Times New Roman" w:eastAsia="Times New Roman" w:hAnsi="Times New Roman"/>
          <w:sz w:val="18"/>
          <w:szCs w:val="18"/>
          <w:u w:val="single" w:color="auto"/>
          <w:color w:val="0000FF"/>
        </w:rPr>
      </w:pPr>
    </w:p>
    <w:p>
      <w:pPr>
        <w:ind w:left="55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19"/>
          </w:cols>
          <w:pgMar w:left="340" w:top="995" w:right="1440" w:bottom="699" w:gutter="0" w:footer="0" w:header="0"/>
          <w:type w:val="continuous"/>
        </w:sectPr>
      </w:pPr>
    </w:p>
    <w:bookmarkStart w:id="59" w:name="page60"/>
    <w:bookmarkEnd w:id="59"/>
    <w:p>
      <w:pPr>
        <w:jc w:val="both"/>
        <w:ind w:right="2339" w:hanging="942"/>
        <w:spacing w:after="0" w:line="21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10.12(b)</w:t>
      </w:r>
      <w:r>
        <w:rPr>
          <w:sz w:val="20"/>
          <w:szCs w:val="20"/>
          <w:color w:val="auto"/>
        </w:rPr>
        <w:t xml:space="preserve"> </w:t>
      </w:r>
      <w:hyperlink r:id="rId108">
        <w:r>
          <w:rPr>
            <w:rFonts w:ascii="Times New Roman" w:cs="Times New Roman" w:eastAsia="Times New Roman" w:hAnsi="Times New Roman"/>
            <w:sz w:val="18"/>
            <w:szCs w:val="18"/>
            <w:u w:val="single" w:color="auto"/>
            <w:color w:val="0000FF"/>
          </w:rPr>
          <w:t>Amendment No. 1 to Receivables Financing Agreement and Reaffirmation of Performance</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Guaranty, dated as of March 29, 2019, by and among Integra Receivables LLC, Integra</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LifeSciences Sales LLC, as Servicer, PNC Bank, National Associations, as Administrative</w:t>
        </w:r>
      </w:hyperlink>
    </w:p>
    <w:p>
      <w:pPr>
        <w:jc w:val="both"/>
        <w:ind w:right="2339"/>
        <w:spacing w:after="0" w:line="205"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Agent, Committed Lender and Group Agent, Mizuho Bank, Ltd., as Committed Lender and</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Group Agent and PNC Capital Markets LLC, as Structuring Agent, and certain lenders and</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group agents that are parties thereto from time to time (Incorporated by reference to the</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Company’s Quarterly Report on Form 10-Q for the quarter ended June 30, 2021)</w:t>
        </w:r>
      </w:hyperlink>
    </w:p>
    <w:p>
      <w:pPr>
        <w:spacing w:after="0" w:line="105" w:lineRule="exact"/>
        <w:rPr>
          <w:rFonts w:ascii="Times New Roman" w:cs="Times New Roman" w:eastAsia="Times New Roman" w:hAnsi="Times New Roman"/>
          <w:sz w:val="18"/>
          <w:szCs w:val="18"/>
          <w:u w:val="single" w:color="auto"/>
          <w:color w:val="0000FF"/>
        </w:rPr>
      </w:pPr>
    </w:p>
    <w:p>
      <w:pPr>
        <w:jc w:val="both"/>
        <w:ind w:right="2339" w:hanging="942"/>
        <w:spacing w:after="0" w:line="21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10.12(c)</w:t>
      </w:r>
      <w:r>
        <w:rPr>
          <w:sz w:val="20"/>
          <w:szCs w:val="20"/>
          <w:color w:val="auto"/>
        </w:rPr>
        <w:t xml:space="preserve"> </w:t>
      </w:r>
      <w:hyperlink r:id="rId108">
        <w:r>
          <w:rPr>
            <w:rFonts w:ascii="Times New Roman" w:cs="Times New Roman" w:eastAsia="Times New Roman" w:hAnsi="Times New Roman"/>
            <w:sz w:val="18"/>
            <w:szCs w:val="18"/>
            <w:u w:val="single" w:color="auto"/>
            <w:color w:val="0000FF"/>
          </w:rPr>
          <w:t>Amendment No. 2 to Receivables Financing Agreement and Reaffirmation of Performance</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Guaranty, dated as of July 17, 2020, by and among, Integra Receivables LLC, Integra</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LifeSciences Sales LLC, as Servicer, PNC Bank, National Associations, as Administrative</w:t>
        </w:r>
      </w:hyperlink>
    </w:p>
    <w:p>
      <w:pPr>
        <w:jc w:val="both"/>
        <w:ind w:right="2339"/>
        <w:spacing w:after="0" w:line="205"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Agent, Committed Lender and Group Agent, Mizuho Bank, Ltd., as Committed Lender and</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Group Agent and PNC Capital Markets LLC, as Structuring Agent, and certain lenders and</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group agents that are parties thereto from time to time (Incorporated by reference to the</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Company’s Quarterly Report on Form 10-Q for the quarter ended June 30, 2021)</w:t>
        </w:r>
      </w:hyperlink>
    </w:p>
    <w:p>
      <w:pPr>
        <w:spacing w:after="0" w:line="105" w:lineRule="exact"/>
        <w:rPr>
          <w:rFonts w:ascii="Times New Roman" w:cs="Times New Roman" w:eastAsia="Times New Roman" w:hAnsi="Times New Roman"/>
          <w:sz w:val="18"/>
          <w:szCs w:val="18"/>
          <w:u w:val="single" w:color="auto"/>
          <w:color w:val="0000FF"/>
        </w:rPr>
      </w:pPr>
    </w:p>
    <w:p>
      <w:pPr>
        <w:jc w:val="both"/>
        <w:ind w:right="2339" w:hanging="942"/>
        <w:spacing w:after="0" w:line="21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10.12(d)</w:t>
      </w:r>
      <w:r>
        <w:rPr>
          <w:sz w:val="20"/>
          <w:szCs w:val="20"/>
          <w:color w:val="auto"/>
        </w:rPr>
        <w:t xml:space="preserve"> </w:t>
      </w:r>
      <w:hyperlink r:id="rId108">
        <w:r>
          <w:rPr>
            <w:rFonts w:ascii="Times New Roman" w:cs="Times New Roman" w:eastAsia="Times New Roman" w:hAnsi="Times New Roman"/>
            <w:sz w:val="18"/>
            <w:szCs w:val="18"/>
            <w:u w:val="single" w:color="auto"/>
            <w:color w:val="0000FF"/>
          </w:rPr>
          <w:t>Amendment No. 3 to Receivables Financing Agreement and Reaffirmation of Performance</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Guaranty, dated as of May 28, 2021, by and among, Integra Receivables LLC, Integra</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LifeSciences Sales LLC, as Servicer, PNC Bank, National Associations, as Administrative</w:t>
        </w:r>
      </w:hyperlink>
    </w:p>
    <w:p>
      <w:pPr>
        <w:jc w:val="both"/>
        <w:ind w:right="2339"/>
        <w:spacing w:after="0" w:line="205"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Agent, PNC Capital Markets LLC, as Structuring Agent, Committed Lender and Group Agent,</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and certain lenders and group agents that are parties thereto from time to time (Incorporated by</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reference to the Company’s Quarterly Report on Form 10-Q for the quarter ended June 30,</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2021)</w:t>
        </w:r>
      </w:hyperlink>
    </w:p>
    <w:p>
      <w:pPr>
        <w:spacing w:after="0" w:line="105" w:lineRule="exact"/>
        <w:rPr>
          <w:rFonts w:ascii="Times New Roman" w:cs="Times New Roman" w:eastAsia="Times New Roman" w:hAnsi="Times New Roman"/>
          <w:sz w:val="18"/>
          <w:szCs w:val="18"/>
          <w:u w:val="single" w:color="auto"/>
          <w:color w:val="0000FF"/>
        </w:rPr>
      </w:pPr>
    </w:p>
    <w:p>
      <w:pPr>
        <w:ind w:right="2719" w:hanging="942"/>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10.12(e)</w:t>
      </w:r>
      <w:r>
        <w:rPr>
          <w:sz w:val="20"/>
          <w:szCs w:val="20"/>
          <w:color w:val="auto"/>
        </w:rPr>
        <w:t xml:space="preserve"> </w:t>
      </w:r>
      <w:hyperlink r:id="rId109">
        <w:r>
          <w:rPr>
            <w:rFonts w:ascii="Times New Roman" w:cs="Times New Roman" w:eastAsia="Times New Roman" w:hAnsi="Times New Roman"/>
            <w:sz w:val="17"/>
            <w:szCs w:val="17"/>
            <w:u w:val="single" w:color="auto"/>
            <w:color w:val="0000FF"/>
          </w:rPr>
          <w:t>Amendment No. 4 to Receivables Financing Agreement and Reaffirmation of Performance</w:t>
        </w:r>
      </w:hyperlink>
      <w:r>
        <w:rPr>
          <w:rFonts w:ascii="Times New Roman" w:cs="Times New Roman" w:eastAsia="Times New Roman" w:hAnsi="Times New Roman"/>
          <w:sz w:val="17"/>
          <w:szCs w:val="17"/>
          <w:u w:val="single" w:color="auto"/>
          <w:color w:val="0000FF"/>
        </w:rPr>
        <w:t xml:space="preserve"> </w:t>
      </w:r>
      <w:hyperlink r:id="rId109">
        <w:r>
          <w:rPr>
            <w:rFonts w:ascii="Times New Roman" w:cs="Times New Roman" w:eastAsia="Times New Roman" w:hAnsi="Times New Roman"/>
            <w:sz w:val="17"/>
            <w:szCs w:val="17"/>
            <w:u w:val="single" w:color="auto"/>
            <w:color w:val="0000FF"/>
          </w:rPr>
          <w:t>Guaranty, dated as of April 17, 2023, by and among, Integra Receivables LLC, Integra</w:t>
        </w:r>
      </w:hyperlink>
      <w:r>
        <w:rPr>
          <w:rFonts w:ascii="Times New Roman" w:cs="Times New Roman" w:eastAsia="Times New Roman" w:hAnsi="Times New Roman"/>
          <w:sz w:val="17"/>
          <w:szCs w:val="17"/>
          <w:u w:val="single" w:color="auto"/>
          <w:color w:val="0000FF"/>
        </w:rPr>
        <w:t xml:space="preserve"> </w:t>
      </w:r>
      <w:hyperlink r:id="rId109">
        <w:r>
          <w:rPr>
            <w:rFonts w:ascii="Times New Roman" w:cs="Times New Roman" w:eastAsia="Times New Roman" w:hAnsi="Times New Roman"/>
            <w:sz w:val="17"/>
            <w:szCs w:val="17"/>
            <w:u w:val="single" w:color="auto"/>
            <w:color w:val="0000FF"/>
          </w:rPr>
          <w:t>LifeSciences Sales LLC, as Servicer, PNC Bank, National Associations, as Administrative</w:t>
        </w:r>
      </w:hyperlink>
    </w:p>
    <w:p>
      <w:pPr>
        <w:spacing w:after="0" w:line="1" w:lineRule="exact"/>
        <w:rPr>
          <w:rFonts w:ascii="Times New Roman" w:cs="Times New Roman" w:eastAsia="Times New Roman" w:hAnsi="Times New Roman"/>
          <w:sz w:val="17"/>
          <w:szCs w:val="17"/>
          <w:u w:val="single" w:color="auto"/>
          <w:color w:val="0000FF"/>
        </w:rPr>
      </w:pPr>
    </w:p>
    <w:p>
      <w:pPr>
        <w:jc w:val="both"/>
        <w:ind w:right="2399"/>
        <w:spacing w:after="0" w:line="217" w:lineRule="auto"/>
        <w:rPr>
          <w:rFonts w:ascii="Times New Roman" w:cs="Times New Roman" w:eastAsia="Times New Roman" w:hAnsi="Times New Roman"/>
          <w:sz w:val="17"/>
          <w:szCs w:val="17"/>
          <w:u w:val="single" w:color="auto"/>
          <w:color w:val="0000FF"/>
        </w:rPr>
      </w:pPr>
      <w:hyperlink r:id="rId109">
        <w:r>
          <w:rPr>
            <w:rFonts w:ascii="Times New Roman" w:cs="Times New Roman" w:eastAsia="Times New Roman" w:hAnsi="Times New Roman"/>
            <w:sz w:val="17"/>
            <w:szCs w:val="17"/>
            <w:u w:val="single" w:color="auto"/>
            <w:color w:val="0000FF"/>
          </w:rPr>
          <w:t>Agent, PNC Capital Markets LLC, as Structuring Agent, Committed Lender and Group Agent,</w:t>
        </w:r>
      </w:hyperlink>
      <w:r>
        <w:rPr>
          <w:rFonts w:ascii="Times New Roman" w:cs="Times New Roman" w:eastAsia="Times New Roman" w:hAnsi="Times New Roman"/>
          <w:sz w:val="17"/>
          <w:szCs w:val="17"/>
          <w:u w:val="single" w:color="auto"/>
          <w:color w:val="0000FF"/>
        </w:rPr>
        <w:t xml:space="preserve"> </w:t>
      </w:r>
      <w:hyperlink r:id="rId109">
        <w:r>
          <w:rPr>
            <w:rFonts w:ascii="Times New Roman" w:cs="Times New Roman" w:eastAsia="Times New Roman" w:hAnsi="Times New Roman"/>
            <w:sz w:val="17"/>
            <w:szCs w:val="17"/>
            <w:u w:val="single" w:color="auto"/>
            <w:color w:val="0000FF"/>
          </w:rPr>
          <w:t>and certain lenders and group agents that are parties thereto from time to time (Incorporated by</w:t>
        </w:r>
      </w:hyperlink>
      <w:r>
        <w:rPr>
          <w:rFonts w:ascii="Times New Roman" w:cs="Times New Roman" w:eastAsia="Times New Roman" w:hAnsi="Times New Roman"/>
          <w:sz w:val="17"/>
          <w:szCs w:val="17"/>
          <w:u w:val="single" w:color="auto"/>
          <w:color w:val="0000FF"/>
        </w:rPr>
        <w:t xml:space="preserve"> </w:t>
      </w:r>
      <w:hyperlink r:id="rId109">
        <w:r>
          <w:rPr>
            <w:rFonts w:ascii="Times New Roman" w:cs="Times New Roman" w:eastAsia="Times New Roman" w:hAnsi="Times New Roman"/>
            <w:sz w:val="17"/>
            <w:szCs w:val="17"/>
            <w:u w:val="single" w:color="auto"/>
            <w:color w:val="0000FF"/>
          </w:rPr>
          <w:t>reference to Exhibit 10.4 to the Company Quarterly Report on Form 10-Q for the quarter ended</w:t>
        </w:r>
      </w:hyperlink>
    </w:p>
    <w:p>
      <w:pPr>
        <w:spacing w:after="0" w:line="1" w:lineRule="exact"/>
        <w:rPr>
          <w:rFonts w:ascii="Times New Roman" w:cs="Times New Roman" w:eastAsia="Times New Roman" w:hAnsi="Times New Roman"/>
          <w:sz w:val="17"/>
          <w:szCs w:val="17"/>
          <w:u w:val="single" w:color="auto"/>
          <w:color w:val="0000FF"/>
        </w:rPr>
      </w:pPr>
    </w:p>
    <w:p>
      <w:pPr>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March 31, 2023)</w:t>
        </w:r>
      </w:hyperlink>
    </w:p>
    <w:p>
      <w:pPr>
        <w:spacing w:after="0" w:line="105" w:lineRule="exact"/>
        <w:rPr>
          <w:rFonts w:ascii="Times New Roman" w:cs="Times New Roman" w:eastAsia="Times New Roman" w:hAnsi="Times New Roman"/>
          <w:sz w:val="17"/>
          <w:szCs w:val="17"/>
          <w:u w:val="single" w:color="auto"/>
          <w:color w:val="0000FF"/>
        </w:rPr>
      </w:pPr>
    </w:p>
    <w:p>
      <w:pPr>
        <w:jc w:val="both"/>
        <w:ind w:right="2679" w:hanging="942"/>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10.12(f)</w:t>
      </w:r>
      <w:r>
        <w:rPr>
          <w:sz w:val="20"/>
          <w:szCs w:val="20"/>
          <w:color w:val="auto"/>
        </w:rPr>
        <w:t xml:space="preserve"> </w:t>
      </w:r>
      <w:hyperlink r:id="rId110">
        <w:r>
          <w:rPr>
            <w:rFonts w:ascii="Times New Roman" w:cs="Times New Roman" w:eastAsia="Times New Roman" w:hAnsi="Times New Roman"/>
            <w:sz w:val="17"/>
            <w:szCs w:val="17"/>
            <w:u w:val="single" w:color="auto"/>
            <w:color w:val="0000FF"/>
          </w:rPr>
          <w:t>Amendment No. 5 to Receivables Financing Agreement and Reaffirmation of Performance</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Guaranty, dated as of December 15, 2023, by and among, Integra Receivables LLC, Integra</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LifeSciences Sales LLC, as Servicer, PNC Bank, National Associations, as Administrative</w:t>
        </w:r>
      </w:hyperlink>
    </w:p>
    <w:p>
      <w:pPr>
        <w:spacing w:after="0" w:line="1" w:lineRule="exact"/>
        <w:rPr>
          <w:rFonts w:ascii="Times New Roman" w:cs="Times New Roman" w:eastAsia="Times New Roman" w:hAnsi="Times New Roman"/>
          <w:sz w:val="17"/>
          <w:szCs w:val="17"/>
          <w:u w:val="single" w:color="auto"/>
          <w:color w:val="0000FF"/>
        </w:rPr>
      </w:pPr>
    </w:p>
    <w:p>
      <w:pPr>
        <w:ind w:right="2439"/>
        <w:spacing w:after="0" w:line="217" w:lineRule="auto"/>
        <w:rPr>
          <w:rFonts w:ascii="Times New Roman" w:cs="Times New Roman" w:eastAsia="Times New Roman" w:hAnsi="Times New Roman"/>
          <w:sz w:val="17"/>
          <w:szCs w:val="17"/>
          <w:u w:val="single" w:color="auto"/>
          <w:color w:val="0000FF"/>
        </w:rPr>
      </w:pPr>
      <w:hyperlink r:id="rId110">
        <w:r>
          <w:rPr>
            <w:rFonts w:ascii="Times New Roman" w:cs="Times New Roman" w:eastAsia="Times New Roman" w:hAnsi="Times New Roman"/>
            <w:sz w:val="17"/>
            <w:szCs w:val="17"/>
            <w:u w:val="single" w:color="auto"/>
            <w:color w:val="0000FF"/>
          </w:rPr>
          <w:t>Agent, PNC Capital Markets LLC, as Structuring Agent, Committed Lender and Group Agent,</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The Bank of Nova Scotia, as Committed Lender and Group Agent, and certain lenders and</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group agents that are parties thereto from time to time (Incorporated by reference to Exhibit</w:t>
        </w:r>
      </w:hyperlink>
    </w:p>
    <w:p>
      <w:pPr>
        <w:spacing w:after="0" w:line="213" w:lineRule="auto"/>
        <w:rPr>
          <w:rFonts w:ascii="Times New Roman" w:cs="Times New Roman" w:eastAsia="Times New Roman" w:hAnsi="Times New Roman"/>
          <w:sz w:val="17"/>
          <w:szCs w:val="17"/>
          <w:u w:val="single" w:color="auto"/>
          <w:color w:val="0000FF"/>
        </w:rPr>
      </w:pPr>
      <w:hyperlink r:id="rId110">
        <w:r>
          <w:rPr>
            <w:rFonts w:ascii="Times New Roman" w:cs="Times New Roman" w:eastAsia="Times New Roman" w:hAnsi="Times New Roman"/>
            <w:sz w:val="17"/>
            <w:szCs w:val="17"/>
            <w:u w:val="single" w:color="auto"/>
            <w:color w:val="0000FF"/>
          </w:rPr>
          <w:t>10.12(f) to the Company's Annual Report on Form 10-K for the fiscal year ended December 31,</w:t>
        </w:r>
      </w:hyperlink>
    </w:p>
    <w:p>
      <w:pPr>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2023)</w:t>
        </w:r>
      </w:hyperlink>
    </w:p>
    <w:p>
      <w:pPr>
        <w:spacing w:after="0" w:line="118" w:lineRule="exact"/>
        <w:rPr>
          <w:rFonts w:ascii="Times New Roman" w:cs="Times New Roman" w:eastAsia="Times New Roman" w:hAnsi="Times New Roman"/>
          <w:sz w:val="17"/>
          <w:szCs w:val="17"/>
          <w:u w:val="single" w:color="auto"/>
          <w:color w:val="0000FF"/>
        </w:rPr>
      </w:pPr>
    </w:p>
    <w:p>
      <w:pPr>
        <w:jc w:val="both"/>
        <w:ind w:right="2339" w:hanging="942"/>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 xml:space="preserve"> </w:t>
      </w:r>
      <w:hyperlink r:id="rId111">
        <w:r>
          <w:rPr>
            <w:rFonts w:ascii="Times New Roman" w:cs="Times New Roman" w:eastAsia="Times New Roman" w:hAnsi="Times New Roman"/>
            <w:sz w:val="17"/>
            <w:szCs w:val="17"/>
            <w:u w:val="single" w:color="auto"/>
            <w:color w:val="0000FF"/>
          </w:rPr>
          <w:t>Purchase and Sale Agreement, dated as of December 21, 2018, by and among Integra</w:t>
        </w:r>
      </w:hyperlink>
      <w:r>
        <w:rPr>
          <w:rFonts w:ascii="Times New Roman" w:cs="Times New Roman" w:eastAsia="Times New Roman" w:hAnsi="Times New Roman"/>
          <w:sz w:val="17"/>
          <w:szCs w:val="17"/>
          <w:u w:val="single" w:color="auto"/>
          <w:color w:val="0000FF"/>
        </w:rPr>
        <w:t xml:space="preserve"> </w:t>
      </w:r>
      <w:hyperlink r:id="rId111">
        <w:r>
          <w:rPr>
            <w:rFonts w:ascii="Times New Roman" w:cs="Times New Roman" w:eastAsia="Times New Roman" w:hAnsi="Times New Roman"/>
            <w:sz w:val="17"/>
            <w:szCs w:val="17"/>
            <w:u w:val="single" w:color="auto"/>
            <w:color w:val="0000FF"/>
          </w:rPr>
          <w:t>LifeSciences Sales LLC, Integra LifeSciences Corporation and Integra Receivables LLC</w:t>
        </w:r>
      </w:hyperlink>
      <w:r>
        <w:rPr>
          <w:rFonts w:ascii="Times New Roman" w:cs="Times New Roman" w:eastAsia="Times New Roman" w:hAnsi="Times New Roman"/>
          <w:sz w:val="17"/>
          <w:szCs w:val="17"/>
          <w:u w:val="single" w:color="auto"/>
          <w:color w:val="0000FF"/>
        </w:rPr>
        <w:t xml:space="preserve"> </w:t>
      </w:r>
      <w:hyperlink r:id="rId111">
        <w:r>
          <w:rPr>
            <w:rFonts w:ascii="Times New Roman" w:cs="Times New Roman" w:eastAsia="Times New Roman" w:hAnsi="Times New Roman"/>
            <w:sz w:val="17"/>
            <w:szCs w:val="17"/>
            <w:u w:val="single" w:color="auto"/>
            <w:color w:val="0000FF"/>
          </w:rPr>
          <w:t>(Incorporated by reference to Exhibit 10.2 to the Company’s Current Report on Form 8-K filed</w:t>
        </w:r>
      </w:hyperlink>
    </w:p>
    <w:p>
      <w:pPr>
        <w:spacing w:after="0" w:line="1" w:lineRule="exact"/>
        <w:rPr>
          <w:rFonts w:ascii="Times New Roman" w:cs="Times New Roman" w:eastAsia="Times New Roman" w:hAnsi="Times New Roman"/>
          <w:sz w:val="17"/>
          <w:szCs w:val="17"/>
          <w:u w:val="single" w:color="auto"/>
          <w:color w:val="0000FF"/>
        </w:rPr>
      </w:pPr>
    </w:p>
    <w:p>
      <w:pPr>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on December 28, 2018)</w:t>
        </w:r>
      </w:hyperlink>
    </w:p>
    <w:p>
      <w:pPr>
        <w:spacing w:after="0" w:line="105" w:lineRule="exact"/>
        <w:rPr>
          <w:rFonts w:ascii="Times New Roman" w:cs="Times New Roman" w:eastAsia="Times New Roman" w:hAnsi="Times New Roman"/>
          <w:sz w:val="17"/>
          <w:szCs w:val="17"/>
          <w:u w:val="single" w:color="auto"/>
          <w:color w:val="0000FF"/>
        </w:rPr>
      </w:pPr>
    </w:p>
    <w:p>
      <w:pPr>
        <w:jc w:val="both"/>
        <w:ind w:right="2359" w:hanging="942"/>
        <w:spacing w:after="0" w:line="21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 xml:space="preserve"> </w:t>
      </w:r>
      <w:hyperlink r:id="rId112">
        <w:r>
          <w:rPr>
            <w:rFonts w:ascii="Times New Roman" w:cs="Times New Roman" w:eastAsia="Times New Roman" w:hAnsi="Times New Roman"/>
            <w:sz w:val="18"/>
            <w:szCs w:val="18"/>
            <w:u w:val="single" w:color="auto"/>
            <w:color w:val="0000FF"/>
          </w:rPr>
          <w:t>Seventh Amended and Restated Credit Agreement, dated as of March 24, 2023, among Integra</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LifeSciences Holdings Corporation, the lenders party thereto, Bank of America, N.A., as</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Administrative Agent, Swing Line Lender and L/C Issuer, Citibank N.A., JPMorgan Chase</w:t>
        </w:r>
      </w:hyperlink>
    </w:p>
    <w:p>
      <w:pPr>
        <w:jc w:val="both"/>
        <w:ind w:right="2339"/>
        <w:spacing w:after="0" w:line="217" w:lineRule="auto"/>
        <w:rPr>
          <w:rFonts w:ascii="Times New Roman" w:cs="Times New Roman" w:eastAsia="Times New Roman" w:hAnsi="Times New Roman"/>
          <w:sz w:val="17"/>
          <w:szCs w:val="17"/>
          <w:u w:val="single" w:color="auto"/>
          <w:color w:val="0000FF"/>
        </w:rPr>
      </w:pPr>
      <w:hyperlink r:id="rId112">
        <w:r>
          <w:rPr>
            <w:rFonts w:ascii="Times New Roman" w:cs="Times New Roman" w:eastAsia="Times New Roman" w:hAnsi="Times New Roman"/>
            <w:sz w:val="17"/>
            <w:szCs w:val="17"/>
            <w:u w:val="single" w:color="auto"/>
            <w:color w:val="0000FF"/>
          </w:rPr>
          <w:t>Bank, N.A., Morgan Stanley MUFG Loan Partners, LLC, PNC Bank, N.A., Truist Securities,</w:t>
        </w:r>
      </w:hyperlink>
      <w:r>
        <w:rPr>
          <w:rFonts w:ascii="Times New Roman" w:cs="Times New Roman" w:eastAsia="Times New Roman" w:hAnsi="Times New Roman"/>
          <w:sz w:val="17"/>
          <w:szCs w:val="17"/>
          <w:u w:val="single" w:color="auto"/>
          <w:color w:val="0000FF"/>
        </w:rPr>
        <w:t xml:space="preserve"> </w:t>
      </w:r>
      <w:hyperlink r:id="rId112">
        <w:r>
          <w:rPr>
            <w:rFonts w:ascii="Times New Roman" w:cs="Times New Roman" w:eastAsia="Times New Roman" w:hAnsi="Times New Roman"/>
            <w:sz w:val="17"/>
            <w:szCs w:val="17"/>
            <w:u w:val="single" w:color="auto"/>
            <w:color w:val="0000FF"/>
          </w:rPr>
          <w:t>Inc. and Wells Fargo Bank, N.A., as Co-Syndication Agents, and The Bank of Nova Scotia,</w:t>
        </w:r>
      </w:hyperlink>
      <w:r>
        <w:rPr>
          <w:rFonts w:ascii="Times New Roman" w:cs="Times New Roman" w:eastAsia="Times New Roman" w:hAnsi="Times New Roman"/>
          <w:sz w:val="17"/>
          <w:szCs w:val="17"/>
          <w:u w:val="single" w:color="auto"/>
          <w:color w:val="0000FF"/>
        </w:rPr>
        <w:t xml:space="preserve"> </w:t>
      </w:r>
      <w:hyperlink r:id="rId112">
        <w:r>
          <w:rPr>
            <w:rFonts w:ascii="Times New Roman" w:cs="Times New Roman" w:eastAsia="Times New Roman" w:hAnsi="Times New Roman"/>
            <w:sz w:val="17"/>
            <w:szCs w:val="17"/>
            <w:u w:val="single" w:color="auto"/>
            <w:color w:val="0000FF"/>
          </w:rPr>
          <w:t>BMO Harris Bank N.A., BNP Paribas, Capital One, National Association, Citizens Bank, N.A.,</w:t>
        </w:r>
      </w:hyperlink>
    </w:p>
    <w:p>
      <w:pPr>
        <w:spacing w:after="0" w:line="1" w:lineRule="exact"/>
        <w:rPr>
          <w:rFonts w:ascii="Times New Roman" w:cs="Times New Roman" w:eastAsia="Times New Roman" w:hAnsi="Times New Roman"/>
          <w:sz w:val="17"/>
          <w:szCs w:val="17"/>
          <w:u w:val="single" w:color="auto"/>
          <w:color w:val="0000FF"/>
        </w:rPr>
      </w:pPr>
    </w:p>
    <w:p>
      <w:pPr>
        <w:jc w:val="both"/>
        <w:ind w:right="2339"/>
        <w:spacing w:after="0" w:line="215"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DNB Bank ASA, New York Branch, Santander Bank, N.A. and TD Bank, N.A., as Co-</w:t>
        </w:r>
      </w:hyperlink>
      <w:hyperlink r:id="rId112">
        <w:r>
          <w:rPr>
            <w:rFonts w:ascii="Times New Roman" w:cs="Times New Roman" w:eastAsia="Times New Roman" w:hAnsi="Times New Roman"/>
            <w:sz w:val="18"/>
            <w:szCs w:val="18"/>
            <w:u w:val="single" w:color="auto"/>
            <w:color w:val="0000FF"/>
          </w:rPr>
          <w:t>Documentation (Incorporated by reference to Exhibit 10.1 to the Company’s Current Report on</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Form 8-K filed on March 24, 2023)</w:t>
        </w:r>
      </w:hyperlink>
    </w:p>
    <w:p>
      <w:pPr>
        <w:spacing w:after="0" w:line="101" w:lineRule="exact"/>
        <w:rPr>
          <w:rFonts w:ascii="Times New Roman" w:cs="Times New Roman" w:eastAsia="Times New Roman" w:hAnsi="Times New Roman"/>
          <w:sz w:val="18"/>
          <w:szCs w:val="18"/>
          <w:u w:val="single" w:color="auto"/>
          <w:color w:val="0000FF"/>
        </w:rPr>
      </w:pPr>
    </w:p>
    <w:p>
      <w:pPr>
        <w:jc w:val="both"/>
        <w:ind w:right="2339" w:hanging="942"/>
        <w:spacing w:after="0" w:line="22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 xml:space="preserve"> </w:t>
      </w:r>
      <w:hyperlink r:id="rId113">
        <w:r>
          <w:rPr>
            <w:rFonts w:ascii="Times New Roman" w:cs="Times New Roman" w:eastAsia="Times New Roman" w:hAnsi="Times New Roman"/>
            <w:sz w:val="18"/>
            <w:szCs w:val="18"/>
            <w:u w:val="single" w:color="auto"/>
            <w:color w:val="0000FF"/>
          </w:rPr>
          <w:t>Base Call Option Transaction Confirmation, dated as of February 4, 2020, between Integra</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LifeSciences Holdings Corporation and Citibank, N.A. (Incorporated by reference to Exhibit</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10.1 to the Company’s Current Report on Form 8-K filed on February 7, 2020)</w:t>
        </w:r>
      </w:hyperlink>
    </w:p>
    <w:p>
      <w:pPr>
        <w:spacing w:after="0" w:line="114" w:lineRule="exact"/>
        <w:rPr>
          <w:rFonts w:ascii="Times New Roman" w:cs="Times New Roman" w:eastAsia="Times New Roman" w:hAnsi="Times New Roman"/>
          <w:sz w:val="18"/>
          <w:szCs w:val="18"/>
          <w:u w:val="single" w:color="auto"/>
          <w:color w:val="0000FF"/>
        </w:rPr>
      </w:pPr>
    </w:p>
    <w:p>
      <w:pPr>
        <w:jc w:val="both"/>
        <w:ind w:right="2339" w:hanging="942"/>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 xml:space="preserve"> </w:t>
      </w:r>
      <w:hyperlink r:id="rId114">
        <w:r>
          <w:rPr>
            <w:rFonts w:ascii="Times New Roman" w:cs="Times New Roman" w:eastAsia="Times New Roman" w:hAnsi="Times New Roman"/>
            <w:sz w:val="17"/>
            <w:szCs w:val="17"/>
            <w:u w:val="single" w:color="auto"/>
            <w:color w:val="0000FF"/>
          </w:rPr>
          <w:t>Ratification Agreement, dated as of March 24, 2023, between Integra LifeSciences Holdings</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Corporation, the Subsidiary Guarantors of Integra LifeSciences Holdings Corporation and Bank</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of America, N.A., as Administrative Agent (Incorporated by reference to Exhibit 10.2 to the</w:t>
        </w:r>
      </w:hyperlink>
    </w:p>
    <w:p>
      <w:pPr>
        <w:spacing w:after="0" w:line="1" w:lineRule="exact"/>
        <w:rPr>
          <w:rFonts w:ascii="Times New Roman" w:cs="Times New Roman" w:eastAsia="Times New Roman" w:hAnsi="Times New Roman"/>
          <w:sz w:val="17"/>
          <w:szCs w:val="17"/>
          <w:u w:val="single" w:color="auto"/>
          <w:color w:val="0000FF"/>
        </w:rPr>
      </w:pPr>
    </w:p>
    <w:p>
      <w:pPr>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Company’s Current Report on Form 8-K filed on March 24, 2023)</w:t>
        </w:r>
      </w:hyperlink>
    </w:p>
    <w:p>
      <w:pPr>
        <w:spacing w:after="0" w:line="105" w:lineRule="exact"/>
        <w:rPr>
          <w:rFonts w:ascii="Times New Roman" w:cs="Times New Roman" w:eastAsia="Times New Roman" w:hAnsi="Times New Roman"/>
          <w:sz w:val="17"/>
          <w:szCs w:val="17"/>
          <w:u w:val="single" w:color="auto"/>
          <w:color w:val="0000FF"/>
        </w:rPr>
      </w:pPr>
    </w:p>
    <w:p>
      <w:pPr>
        <w:jc w:val="both"/>
        <w:ind w:right="2339" w:hanging="942"/>
        <w:spacing w:after="0" w:line="22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 xml:space="preserve"> </w:t>
      </w:r>
      <w:hyperlink r:id="rId115">
        <w:r>
          <w:rPr>
            <w:rFonts w:ascii="Times New Roman" w:cs="Times New Roman" w:eastAsia="Times New Roman" w:hAnsi="Times New Roman"/>
            <w:sz w:val="17"/>
            <w:szCs w:val="17"/>
            <w:u w:val="single" w:color="auto"/>
            <w:color w:val="0000FF"/>
          </w:rPr>
          <w:t>Base Call Option Transaction Confirmation, dated as of February 4, 2020, between Integra</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LifeSciences Holdings Corporation and Morgan Stanley &amp; Co. International plc. (Incorporated</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by reference to Exhibit 10.3 to the Company’s Current Report on Form 8-K filed on February 7,</w:t>
        </w:r>
      </w:hyperlink>
    </w:p>
    <w:p>
      <w:pPr>
        <w:spacing w:after="0" w:line="1" w:lineRule="exact"/>
        <w:rPr>
          <w:rFonts w:ascii="Times New Roman" w:cs="Times New Roman" w:eastAsia="Times New Roman" w:hAnsi="Times New Roman"/>
          <w:sz w:val="17"/>
          <w:szCs w:val="17"/>
          <w:u w:val="single" w:color="auto"/>
          <w:color w:val="0000FF"/>
        </w:rPr>
      </w:pPr>
    </w:p>
    <w:p>
      <w:pPr>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2020)</w:t>
        </w:r>
      </w:hyperlink>
    </w:p>
    <w:p>
      <w:pPr>
        <w:spacing w:after="0" w:line="105" w:lineRule="exact"/>
        <w:rPr>
          <w:rFonts w:ascii="Times New Roman" w:cs="Times New Roman" w:eastAsia="Times New Roman" w:hAnsi="Times New Roman"/>
          <w:sz w:val="17"/>
          <w:szCs w:val="17"/>
          <w:u w:val="single" w:color="auto"/>
          <w:color w:val="0000FF"/>
        </w:rPr>
      </w:pPr>
    </w:p>
    <w:p>
      <w:pPr>
        <w:jc w:val="both"/>
        <w:ind w:right="2339" w:hanging="942"/>
        <w:spacing w:after="0" w:line="21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 xml:space="preserve"> </w:t>
      </w:r>
      <w:hyperlink r:id="rId116">
        <w:r>
          <w:rPr>
            <w:rFonts w:ascii="Times New Roman" w:cs="Times New Roman" w:eastAsia="Times New Roman" w:hAnsi="Times New Roman"/>
            <w:sz w:val="18"/>
            <w:szCs w:val="18"/>
            <w:u w:val="single" w:color="auto"/>
            <w:color w:val="0000FF"/>
          </w:rPr>
          <w:t>Base Call Option Transaction Confirmation, dated as of February 4, 2020, between Integra</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LifeSciences Holdings Corporation and Wells Fargo, National Association. (Incorporated by</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reference to Exhibit 10.4 to the Company’s Current Report on Form 8-K filed on February 7,</w:t>
        </w:r>
      </w:hyperlink>
    </w:p>
    <w:p>
      <w:pPr>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2020)</w:t>
        </w:r>
      </w:hyperlink>
    </w:p>
    <w:p>
      <w:pPr>
        <w:spacing w:after="0" w:line="105" w:lineRule="exact"/>
        <w:rPr>
          <w:rFonts w:ascii="Times New Roman" w:cs="Times New Roman" w:eastAsia="Times New Roman" w:hAnsi="Times New Roman"/>
          <w:sz w:val="18"/>
          <w:szCs w:val="18"/>
          <w:u w:val="single" w:color="auto"/>
          <w:color w:val="0000FF"/>
        </w:rPr>
      </w:pPr>
    </w:p>
    <w:p>
      <w:pPr>
        <w:jc w:val="both"/>
        <w:ind w:right="2359" w:hanging="942"/>
        <w:spacing w:after="0" w:line="223"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 xml:space="preserve"> </w:t>
      </w:r>
      <w:hyperlink r:id="rId117">
        <w:r>
          <w:rPr>
            <w:rFonts w:ascii="Times New Roman" w:cs="Times New Roman" w:eastAsia="Times New Roman" w:hAnsi="Times New Roman"/>
            <w:sz w:val="18"/>
            <w:szCs w:val="18"/>
            <w:u w:val="single" w:color="auto"/>
            <w:color w:val="0000FF"/>
          </w:rPr>
          <w:t>Base Warrant Confirmation, dated as of February 4, 2020, between Integra LifeSciences</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Holdings Corporation and Citibank, N.A. (Incorporated by reference to Exhibit 10.5 to the</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Company’s Current Report on Form 8-K filed on February 7, 2020)</w:t>
        </w:r>
      </w:hyperlink>
    </w:p>
    <w:p>
      <w:pPr>
        <w:sectPr>
          <w:pgSz w:w="11900" w:h="16838" w:orient="portrait"/>
          <w:cols w:equalWidth="0" w:num="1">
            <w:col w:w="9179"/>
          </w:cols>
          <w:pgMar w:left="1280" w:top="1011" w:right="1440" w:bottom="726"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11" w:lineRule="exact"/>
        <w:rPr>
          <w:rFonts w:ascii="Times New Roman" w:cs="Times New Roman" w:eastAsia="Times New Roman" w:hAnsi="Times New Roman"/>
          <w:sz w:val="18"/>
          <w:szCs w:val="18"/>
          <w:u w:val="single" w:color="auto"/>
          <w:color w:val="0000FF"/>
        </w:rPr>
      </w:pPr>
    </w:p>
    <w:p>
      <w:pPr>
        <w:ind w:left="45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-617855</wp:posOffset>
            </wp:positionH>
            <wp:positionV relativeFrom="paragraph">
              <wp:posOffset>69850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179"/>
          </w:cols>
          <w:pgMar w:left="1280" w:top="1011" w:right="1440" w:bottom="726" w:gutter="0" w:footer="0" w:header="0"/>
          <w:type w:val="continuous"/>
        </w:sectPr>
      </w:pPr>
    </w:p>
    <w:bookmarkStart w:id="60" w:name="page61"/>
    <w:bookmarkEnd w:id="60"/>
    <w:p>
      <w:pPr>
        <w:jc w:val="both"/>
        <w:ind w:left="940" w:right="2339" w:hanging="942"/>
        <w:spacing w:after="0" w:line="223"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19">
        <w:r>
          <w:rPr>
            <w:rFonts w:ascii="Times New Roman" w:cs="Times New Roman" w:eastAsia="Times New Roman" w:hAnsi="Times New Roman"/>
            <w:sz w:val="18"/>
            <w:szCs w:val="18"/>
            <w:u w:val="single" w:color="auto"/>
            <w:color w:val="0000FF"/>
          </w:rPr>
          <w:t>Base Warrant Confirmation, dated as of February 4, 2020, between Integra LifeSciences</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Holdings Corporation and Goldman Sachs &amp; Co. LLC. (Incorporated by reference to Exhibit</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10.6 to the Company’s Current Report on Form 8-K filed on February 7, 2020)</w:t>
        </w:r>
      </w:hyperlink>
    </w:p>
    <w:p>
      <w:pPr>
        <w:spacing w:after="0" w:line="114" w:lineRule="exact"/>
        <w:rPr>
          <w:rFonts w:ascii="Times New Roman" w:cs="Times New Roman" w:eastAsia="Times New Roman" w:hAnsi="Times New Roman"/>
          <w:sz w:val="18"/>
          <w:szCs w:val="18"/>
          <w:u w:val="single" w:color="auto"/>
          <w:color w:val="0000FF"/>
        </w:rPr>
      </w:pPr>
    </w:p>
    <w:p>
      <w:pPr>
        <w:jc w:val="both"/>
        <w:ind w:left="940" w:right="2359" w:hanging="942"/>
        <w:spacing w:after="0" w:line="223"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20">
        <w:r>
          <w:rPr>
            <w:rFonts w:ascii="Times New Roman" w:cs="Times New Roman" w:eastAsia="Times New Roman" w:hAnsi="Times New Roman"/>
            <w:sz w:val="18"/>
            <w:szCs w:val="18"/>
            <w:u w:val="single" w:color="auto"/>
            <w:color w:val="0000FF"/>
          </w:rPr>
          <w:t>Base Warrant Confirmation, dated as of February 4, 2020, between Integra LifeSciences</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Holdings Corporation and Morgan Stanley &amp; Co. International plc. (Incorporated by reference</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to Exhibit 10.7 to the Company’s Current Report on Form 8-K filed on February 7, 2020)</w:t>
        </w:r>
      </w:hyperlink>
    </w:p>
    <w:p>
      <w:pPr>
        <w:spacing w:after="0" w:line="100" w:lineRule="exact"/>
        <w:rPr>
          <w:rFonts w:ascii="Times New Roman" w:cs="Times New Roman" w:eastAsia="Times New Roman" w:hAnsi="Times New Roman"/>
          <w:sz w:val="18"/>
          <w:szCs w:val="18"/>
          <w:u w:val="single" w:color="auto"/>
          <w:color w:val="0000FF"/>
        </w:rPr>
      </w:pPr>
    </w:p>
    <w:p>
      <w:pPr>
        <w:jc w:val="both"/>
        <w:ind w:left="940" w:right="2339" w:hanging="942"/>
        <w:spacing w:after="0" w:line="223"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21">
        <w:r>
          <w:rPr>
            <w:rFonts w:ascii="Times New Roman" w:cs="Times New Roman" w:eastAsia="Times New Roman" w:hAnsi="Times New Roman"/>
            <w:sz w:val="18"/>
            <w:szCs w:val="18"/>
            <w:u w:val="single" w:color="auto"/>
            <w:color w:val="0000FF"/>
          </w:rPr>
          <w:t>Base Warrant Confirmation, dated as of February 4, 2020, between Integra LifeSciences</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Holdings Corporation and Wells Fargo, National Association. (Incorporated by reference to</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Exhibit 10.8 to the Company’s Current Report on Form 8-K filed on February 7, 2020)</w:t>
        </w:r>
      </w:hyperlink>
    </w:p>
    <w:p>
      <w:pPr>
        <w:spacing w:after="0" w:line="114" w:lineRule="exact"/>
        <w:rPr>
          <w:rFonts w:ascii="Times New Roman" w:cs="Times New Roman" w:eastAsia="Times New Roman" w:hAnsi="Times New Roman"/>
          <w:sz w:val="18"/>
          <w:szCs w:val="18"/>
          <w:u w:val="single" w:color="auto"/>
          <w:color w:val="0000FF"/>
        </w:rPr>
      </w:pPr>
    </w:p>
    <w:p>
      <w:pPr>
        <w:jc w:val="both"/>
        <w:ind w:left="940" w:right="2339" w:hanging="942"/>
        <w:spacing w:after="0" w:line="223"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22">
        <w:r>
          <w:rPr>
            <w:rFonts w:ascii="Times New Roman" w:cs="Times New Roman" w:eastAsia="Times New Roman" w:hAnsi="Times New Roman"/>
            <w:sz w:val="18"/>
            <w:szCs w:val="18"/>
            <w:u w:val="single" w:color="auto"/>
            <w:color w:val="0000FF"/>
          </w:rPr>
          <w:t>Additional Call Option Transaction Confirmation, dated as of February 5, 2020, between</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Integra LifeSciences Holdings Corporation and Citibank, N.A. (Incorporated by reference to</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Exhibit 10.9 to the Company’s Current Report on Form 8-K filed on February 7, 2020)</w:t>
        </w:r>
      </w:hyperlink>
    </w:p>
    <w:p>
      <w:pPr>
        <w:spacing w:after="0" w:line="100" w:lineRule="exact"/>
        <w:rPr>
          <w:rFonts w:ascii="Times New Roman" w:cs="Times New Roman" w:eastAsia="Times New Roman" w:hAnsi="Times New Roman"/>
          <w:sz w:val="18"/>
          <w:szCs w:val="18"/>
          <w:u w:val="single" w:color="auto"/>
          <w:color w:val="0000FF"/>
        </w:rPr>
      </w:pPr>
    </w:p>
    <w:p>
      <w:pPr>
        <w:jc w:val="both"/>
        <w:ind w:left="940" w:right="2339" w:hanging="942"/>
        <w:spacing w:after="0" w:line="213"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23">
        <w:r>
          <w:rPr>
            <w:rFonts w:ascii="Times New Roman" w:cs="Times New Roman" w:eastAsia="Times New Roman" w:hAnsi="Times New Roman"/>
            <w:sz w:val="18"/>
            <w:szCs w:val="18"/>
            <w:u w:val="single" w:color="auto"/>
            <w:color w:val="0000FF"/>
          </w:rPr>
          <w:t>Additional Call Option Transaction Confirmation, dated as of February 5, 2020, between</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Integra LifeSciences Holdings Corporation and Goldman Sachs &amp; Co. LLC. (Incorporated by</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reference to Exhibit 10.10 to the Company’s Current Report on Form 8-K filed on February 7,</w:t>
        </w:r>
      </w:hyperlink>
    </w:p>
    <w:p>
      <w:pPr>
        <w:ind w:left="940"/>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2020)</w:t>
        </w:r>
      </w:hyperlink>
    </w:p>
    <w:p>
      <w:pPr>
        <w:spacing w:after="0" w:line="105" w:lineRule="exact"/>
        <w:rPr>
          <w:rFonts w:ascii="Times New Roman" w:cs="Times New Roman" w:eastAsia="Times New Roman" w:hAnsi="Times New Roman"/>
          <w:sz w:val="18"/>
          <w:szCs w:val="18"/>
          <w:u w:val="single" w:color="auto"/>
          <w:color w:val="0000FF"/>
        </w:rPr>
      </w:pPr>
    </w:p>
    <w:p>
      <w:pPr>
        <w:jc w:val="both"/>
        <w:ind w:left="940" w:right="2339" w:hanging="942"/>
        <w:spacing w:after="0" w:line="225"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24">
        <w:r>
          <w:rPr>
            <w:rFonts w:ascii="Times New Roman" w:cs="Times New Roman" w:eastAsia="Times New Roman" w:hAnsi="Times New Roman"/>
            <w:sz w:val="17"/>
            <w:szCs w:val="17"/>
            <w:u w:val="single" w:color="auto"/>
            <w:color w:val="0000FF"/>
          </w:rPr>
          <w:t>Additional Call Option Transaction Confirmation, dated as of February 5, 2020, between</w:t>
        </w:r>
      </w:hyperlink>
      <w:r>
        <w:rPr>
          <w:rFonts w:ascii="Times New Roman" w:cs="Times New Roman" w:eastAsia="Times New Roman" w:hAnsi="Times New Roman"/>
          <w:sz w:val="17"/>
          <w:szCs w:val="17"/>
          <w:u w:val="single" w:color="auto"/>
          <w:color w:val="0000FF"/>
        </w:rPr>
        <w:t xml:space="preserve"> </w:t>
      </w:r>
      <w:hyperlink r:id="rId124">
        <w:r>
          <w:rPr>
            <w:rFonts w:ascii="Times New Roman" w:cs="Times New Roman" w:eastAsia="Times New Roman" w:hAnsi="Times New Roman"/>
            <w:sz w:val="17"/>
            <w:szCs w:val="17"/>
            <w:u w:val="single" w:color="auto"/>
            <w:color w:val="0000FF"/>
          </w:rPr>
          <w:t>Integra LifeSciences Holdings Corporation and Morgan Stanley &amp; Co. International plc.</w:t>
        </w:r>
      </w:hyperlink>
      <w:r>
        <w:rPr>
          <w:rFonts w:ascii="Times New Roman" w:cs="Times New Roman" w:eastAsia="Times New Roman" w:hAnsi="Times New Roman"/>
          <w:sz w:val="17"/>
          <w:szCs w:val="17"/>
          <w:u w:val="single" w:color="auto"/>
          <w:color w:val="0000FF"/>
        </w:rPr>
        <w:t xml:space="preserve"> </w:t>
      </w:r>
      <w:hyperlink r:id="rId124">
        <w:r>
          <w:rPr>
            <w:rFonts w:ascii="Times New Roman" w:cs="Times New Roman" w:eastAsia="Times New Roman" w:hAnsi="Times New Roman"/>
            <w:sz w:val="17"/>
            <w:szCs w:val="17"/>
            <w:u w:val="single" w:color="auto"/>
            <w:color w:val="0000FF"/>
          </w:rPr>
          <w:t>(Incorporated by reference to Exhibit 10.11 to the Company’s Current Report on Form 8-K filed</w:t>
        </w:r>
      </w:hyperlink>
    </w:p>
    <w:p>
      <w:pPr>
        <w:spacing w:after="0" w:line="1" w:lineRule="exact"/>
        <w:rPr>
          <w:rFonts w:ascii="Times New Roman" w:cs="Times New Roman" w:eastAsia="Times New Roman" w:hAnsi="Times New Roman"/>
          <w:sz w:val="17"/>
          <w:szCs w:val="17"/>
          <w:u w:val="single" w:color="auto"/>
          <w:color w:val="0000FF"/>
        </w:rPr>
      </w:pPr>
    </w:p>
    <w:p>
      <w:pPr>
        <w:ind w:left="94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on February 7, 2020)</w:t>
        </w:r>
      </w:hyperlink>
    </w:p>
    <w:p>
      <w:pPr>
        <w:spacing w:after="0" w:line="105" w:lineRule="exact"/>
        <w:rPr>
          <w:rFonts w:ascii="Times New Roman" w:cs="Times New Roman" w:eastAsia="Times New Roman" w:hAnsi="Times New Roman"/>
          <w:sz w:val="17"/>
          <w:szCs w:val="17"/>
          <w:u w:val="single" w:color="auto"/>
          <w:color w:val="0000FF"/>
        </w:rPr>
      </w:pPr>
    </w:p>
    <w:p>
      <w:pPr>
        <w:jc w:val="both"/>
        <w:ind w:left="940" w:right="2339" w:hanging="942"/>
        <w:spacing w:after="0" w:line="225"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25">
        <w:r>
          <w:rPr>
            <w:rFonts w:ascii="Times New Roman" w:cs="Times New Roman" w:eastAsia="Times New Roman" w:hAnsi="Times New Roman"/>
            <w:sz w:val="17"/>
            <w:szCs w:val="17"/>
            <w:u w:val="single" w:color="auto"/>
            <w:color w:val="0000FF"/>
          </w:rPr>
          <w:t>Additional Call Option Transaction Confirmation, dated as of February 5, 2020, between</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Integra LifeSciences Holdings Corporation and Wells Fargo, National Association.</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(Incorporated by reference to Exhibit 10.12 to the Company’s Current Report on Form 8-K filed</w:t>
        </w:r>
      </w:hyperlink>
    </w:p>
    <w:p>
      <w:pPr>
        <w:spacing w:after="0" w:line="1" w:lineRule="exact"/>
        <w:rPr>
          <w:rFonts w:ascii="Times New Roman" w:cs="Times New Roman" w:eastAsia="Times New Roman" w:hAnsi="Times New Roman"/>
          <w:sz w:val="17"/>
          <w:szCs w:val="17"/>
          <w:u w:val="single" w:color="auto"/>
          <w:color w:val="0000FF"/>
        </w:rPr>
      </w:pPr>
    </w:p>
    <w:p>
      <w:pPr>
        <w:ind w:left="940"/>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on February 7, 2020)</w:t>
        </w:r>
      </w:hyperlink>
    </w:p>
    <w:p>
      <w:pPr>
        <w:spacing w:after="0" w:line="92" w:lineRule="exact"/>
        <w:rPr>
          <w:rFonts w:ascii="Times New Roman" w:cs="Times New Roman" w:eastAsia="Times New Roman" w:hAnsi="Times New Roman"/>
          <w:sz w:val="17"/>
          <w:szCs w:val="17"/>
          <w:u w:val="single" w:color="auto"/>
          <w:color w:val="0000FF"/>
        </w:rPr>
      </w:pPr>
    </w:p>
    <w:p>
      <w:pPr>
        <w:jc w:val="both"/>
        <w:ind w:left="940" w:right="2339" w:hanging="942"/>
        <w:spacing w:after="0" w:line="223"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26">
        <w:r>
          <w:rPr>
            <w:rFonts w:ascii="Times New Roman" w:cs="Times New Roman" w:eastAsia="Times New Roman" w:hAnsi="Times New Roman"/>
            <w:sz w:val="18"/>
            <w:szCs w:val="18"/>
            <w:u w:val="single" w:color="auto"/>
            <w:color w:val="0000FF"/>
          </w:rPr>
          <w:t>Additional Warrant Confirmation, dated as of February 5, 2020, between Integra LifeSciences</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Holdings Corporation and Citibank, N.A. (Incorporated by reference to Exhibit 10.13 to the</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Company’s Current Report on Form 8-K filed on February 7, 2020)</w:t>
        </w:r>
      </w:hyperlink>
    </w:p>
    <w:p>
      <w:pPr>
        <w:spacing w:after="0" w:line="114" w:lineRule="exact"/>
        <w:rPr>
          <w:rFonts w:ascii="Times New Roman" w:cs="Times New Roman" w:eastAsia="Times New Roman" w:hAnsi="Times New Roman"/>
          <w:sz w:val="18"/>
          <w:szCs w:val="18"/>
          <w:u w:val="single" w:color="auto"/>
          <w:color w:val="0000FF"/>
        </w:rPr>
      </w:pPr>
    </w:p>
    <w:p>
      <w:pPr>
        <w:jc w:val="both"/>
        <w:ind w:left="940" w:right="2339" w:hanging="942"/>
        <w:spacing w:after="0" w:line="223"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27">
        <w:r>
          <w:rPr>
            <w:rFonts w:ascii="Times New Roman" w:cs="Times New Roman" w:eastAsia="Times New Roman" w:hAnsi="Times New Roman"/>
            <w:sz w:val="18"/>
            <w:szCs w:val="18"/>
            <w:u w:val="single" w:color="auto"/>
            <w:color w:val="0000FF"/>
          </w:rPr>
          <w:t>Additional Warrant Confirmation, dated as of February 5, 2020, between Integra LifeSciences</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Holdings Corporation and Goldman Sachs &amp; Co. LLC. (Incorporated by reference to Exhibit</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10.14 to the Company’s Current Report on Form 8-K filed on February 7, 2020)</w:t>
        </w:r>
      </w:hyperlink>
    </w:p>
    <w:p>
      <w:pPr>
        <w:spacing w:after="0" w:line="114" w:lineRule="exact"/>
        <w:rPr>
          <w:rFonts w:ascii="Times New Roman" w:cs="Times New Roman" w:eastAsia="Times New Roman" w:hAnsi="Times New Roman"/>
          <w:sz w:val="18"/>
          <w:szCs w:val="18"/>
          <w:u w:val="single" w:color="auto"/>
          <w:color w:val="0000FF"/>
        </w:rPr>
      </w:pPr>
    </w:p>
    <w:p>
      <w:pPr>
        <w:jc w:val="both"/>
        <w:ind w:left="940" w:right="2339" w:hanging="942"/>
        <w:spacing w:after="0" w:line="223"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28">
        <w:r>
          <w:rPr>
            <w:rFonts w:ascii="Times New Roman" w:cs="Times New Roman" w:eastAsia="Times New Roman" w:hAnsi="Times New Roman"/>
            <w:sz w:val="18"/>
            <w:szCs w:val="18"/>
            <w:u w:val="single" w:color="auto"/>
            <w:color w:val="0000FF"/>
          </w:rPr>
          <w:t>Additional Warrant Confirmation, dated as of February 5, 2020, between Integra LifeSciences</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Holdings Corporation and Morgan Stanley &amp; Co. plc. (Incorporated by reference to Exhibit</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10.15 to the Company’s Current Report on Form 8-K filed on February 7, 2020)</w:t>
        </w:r>
      </w:hyperlink>
    </w:p>
    <w:p>
      <w:pPr>
        <w:spacing w:after="0" w:line="114" w:lineRule="exact"/>
        <w:rPr>
          <w:rFonts w:ascii="Times New Roman" w:cs="Times New Roman" w:eastAsia="Times New Roman" w:hAnsi="Times New Roman"/>
          <w:sz w:val="18"/>
          <w:szCs w:val="18"/>
          <w:u w:val="single" w:color="auto"/>
          <w:color w:val="0000FF"/>
        </w:rPr>
      </w:pPr>
    </w:p>
    <w:p>
      <w:pPr>
        <w:jc w:val="both"/>
        <w:ind w:left="940" w:right="2339" w:hanging="942"/>
        <w:spacing w:after="0" w:line="223"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29">
        <w:r>
          <w:rPr>
            <w:rFonts w:ascii="Times New Roman" w:cs="Times New Roman" w:eastAsia="Times New Roman" w:hAnsi="Times New Roman"/>
            <w:sz w:val="18"/>
            <w:szCs w:val="18"/>
            <w:u w:val="single" w:color="auto"/>
            <w:color w:val="0000FF"/>
          </w:rPr>
          <w:t>Additional Warrant Confirmation, dated as of February 5, 2020, between Integra LifeSciences</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Holdings Corporation and Wells Fargo, National Association. (Incorporated by reference to</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Exhibit 10.16 to the Company’s Current Report on Form 8-K filed on February 7, 2020)</w:t>
        </w:r>
      </w:hyperlink>
    </w:p>
    <w:p>
      <w:pPr>
        <w:spacing w:after="0" w:line="114" w:lineRule="exact"/>
        <w:rPr>
          <w:rFonts w:ascii="Times New Roman" w:cs="Times New Roman" w:eastAsia="Times New Roman" w:hAnsi="Times New Roman"/>
          <w:sz w:val="18"/>
          <w:szCs w:val="18"/>
          <w:u w:val="single" w:color="auto"/>
          <w:color w:val="0000FF"/>
        </w:rPr>
      </w:pPr>
    </w:p>
    <w:p>
      <w:pPr>
        <w:jc w:val="both"/>
        <w:ind w:left="940" w:right="2339" w:hanging="942"/>
        <w:spacing w:after="0" w:line="213"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30">
        <w:r>
          <w:rPr>
            <w:rFonts w:ascii="Times New Roman" w:cs="Times New Roman" w:eastAsia="Times New Roman" w:hAnsi="Times New Roman"/>
            <w:sz w:val="18"/>
            <w:szCs w:val="18"/>
            <w:u w:val="single" w:color="auto"/>
            <w:color w:val="0000FF"/>
          </w:rPr>
          <w:t>Issuer Forward Repurchase Transaction Confirmation, dated as of February 5, 2020, between</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Integra LifeSciences Holdings Corporation and JPMorgan Chase Bank, National Association,</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New York Branch. (Incorporated by reference to Exhibit 10.17 to the Company’s Current</w:t>
        </w:r>
      </w:hyperlink>
    </w:p>
    <w:p>
      <w:pPr>
        <w:ind w:left="94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Report on Form 8-K filed on February 7, 2020)</w:t>
        </w:r>
      </w:hyperlink>
    </w:p>
    <w:p>
      <w:pPr>
        <w:spacing w:after="0" w:line="105" w:lineRule="exact"/>
        <w:rPr>
          <w:rFonts w:ascii="Times New Roman" w:cs="Times New Roman" w:eastAsia="Times New Roman" w:hAnsi="Times New Roman"/>
          <w:sz w:val="18"/>
          <w:szCs w:val="18"/>
          <w:u w:val="single" w:color="auto"/>
          <w:color w:val="0000FF"/>
        </w:rPr>
      </w:pPr>
    </w:p>
    <w:p>
      <w:pPr>
        <w:ind w:right="2399" w:firstLine="943"/>
        <w:spacing w:after="0" w:line="244" w:lineRule="auto"/>
        <w:rPr>
          <w:sz w:val="20"/>
          <w:szCs w:val="20"/>
          <w:color w:val="auto"/>
        </w:rPr>
      </w:pPr>
      <w:r>
        <w:rPr>
          <w:rFonts w:ascii="Times New Roman" w:cs="Times New Roman" w:eastAsia="Times New Roman" w:hAnsi="Times New Roman"/>
          <w:sz w:val="18"/>
          <w:szCs w:val="18"/>
          <w:u w:val="single" w:color="auto"/>
          <w:color w:val="0000FF"/>
        </w:rPr>
        <w:t xml:space="preserve">Integra LifeSciences Holdings Corporation Trading in Securities by Company Personnel Policy </w:t>
      </w:r>
      <w:r>
        <w:rPr>
          <w:rFonts w:ascii="Times New Roman" w:cs="Times New Roman" w:eastAsia="Times New Roman" w:hAnsi="Times New Roman"/>
          <w:sz w:val="18"/>
          <w:szCs w:val="18"/>
          <w:color w:val="000000"/>
        </w:rPr>
        <w:t xml:space="preserve">19.1(a)+ </w:t>
      </w:r>
      <w:r>
        <w:rPr>
          <w:rFonts w:ascii="Times New Roman" w:cs="Times New Roman" w:eastAsia="Times New Roman" w:hAnsi="Times New Roman"/>
          <w:sz w:val="18"/>
          <w:szCs w:val="18"/>
          <w:u w:val="single" w:color="auto"/>
          <w:color w:val="0000FF"/>
        </w:rPr>
        <w:t>(as amended February 20, 2025)</w:t>
      </w:r>
    </w:p>
    <w:p>
      <w:pPr>
        <w:spacing w:after="0" w:line="97" w:lineRule="exact"/>
        <w:rPr>
          <w:rFonts w:ascii="Times New Roman" w:cs="Times New Roman" w:eastAsia="Times New Roman" w:hAnsi="Times New Roman"/>
          <w:sz w:val="18"/>
          <w:szCs w:val="18"/>
          <w:u w:val="single" w:color="auto"/>
          <w:color w:val="0000FF"/>
        </w:rPr>
      </w:pPr>
    </w:p>
    <w:p>
      <w:pPr>
        <w:ind w:right="2939" w:firstLine="943"/>
        <w:spacing w:after="0" w:line="244" w:lineRule="auto"/>
        <w:rPr>
          <w:sz w:val="20"/>
          <w:szCs w:val="20"/>
          <w:color w:val="auto"/>
        </w:rPr>
      </w:pPr>
      <w:r>
        <w:rPr>
          <w:rFonts w:ascii="Times New Roman" w:cs="Times New Roman" w:eastAsia="Times New Roman" w:hAnsi="Times New Roman"/>
          <w:sz w:val="18"/>
          <w:szCs w:val="18"/>
          <w:u w:val="single" w:color="auto"/>
          <w:color w:val="0000FF"/>
        </w:rPr>
        <w:t xml:space="preserve">Integra LifeSciences Holdings Corporation Trading Window Group Policy (as amended </w:t>
      </w:r>
      <w:r>
        <w:rPr>
          <w:rFonts w:ascii="Times New Roman" w:cs="Times New Roman" w:eastAsia="Times New Roman" w:hAnsi="Times New Roman"/>
          <w:sz w:val="18"/>
          <w:szCs w:val="18"/>
          <w:color w:val="000000"/>
        </w:rPr>
        <w:t xml:space="preserve">19.1(b)+ </w:t>
      </w:r>
      <w:r>
        <w:rPr>
          <w:rFonts w:ascii="Times New Roman" w:cs="Times New Roman" w:eastAsia="Times New Roman" w:hAnsi="Times New Roman"/>
          <w:sz w:val="18"/>
          <w:szCs w:val="18"/>
          <w:u w:val="single" w:color="auto"/>
          <w:color w:val="0000FF"/>
        </w:rPr>
        <w:t>February 20, 2025)</w:t>
      </w:r>
    </w:p>
    <w:p>
      <w:pPr>
        <w:spacing w:after="0" w:line="97" w:lineRule="exact"/>
        <w:rPr>
          <w:rFonts w:ascii="Times New Roman" w:cs="Times New Roman" w:eastAsia="Times New Roman" w:hAnsi="Times New Roman"/>
          <w:sz w:val="18"/>
          <w:szCs w:val="18"/>
          <w:u w:val="single" w:color="auto"/>
          <w:color w:val="0000FF"/>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Subsidiaries of the Company</w:t>
      </w:r>
    </w:p>
    <w:p>
      <w:pPr>
        <w:spacing w:after="0" w:line="125" w:lineRule="exact"/>
        <w:rPr>
          <w:rFonts w:ascii="Times New Roman" w:cs="Times New Roman" w:eastAsia="Times New Roman" w:hAnsi="Times New Roman"/>
          <w:sz w:val="18"/>
          <w:szCs w:val="18"/>
          <w:u w:val="single" w:color="auto"/>
          <w:color w:val="0000FF"/>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PricewaterhouseCoopers LLP</w:t>
      </w:r>
    </w:p>
    <w:p>
      <w:pPr>
        <w:spacing w:after="0" w:line="125" w:lineRule="exact"/>
        <w:rPr>
          <w:rFonts w:ascii="Times New Roman" w:cs="Times New Roman" w:eastAsia="Times New Roman" w:hAnsi="Times New Roman"/>
          <w:sz w:val="18"/>
          <w:szCs w:val="18"/>
          <w:u w:val="single" w:color="auto"/>
          <w:color w:val="0000FF"/>
        </w:rPr>
      </w:pPr>
    </w:p>
    <w:p>
      <w:pPr>
        <w:ind w:left="940" w:right="2339" w:hanging="942"/>
        <w:spacing w:after="0" w:line="234" w:lineRule="auto"/>
        <w:tabs>
          <w:tab w:leader="none" w:pos="9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114" w:lineRule="exact"/>
        <w:rPr>
          <w:rFonts w:ascii="Times New Roman" w:cs="Times New Roman" w:eastAsia="Times New Roman" w:hAnsi="Times New Roman"/>
          <w:sz w:val="18"/>
          <w:szCs w:val="18"/>
          <w:u w:val="single" w:color="auto"/>
          <w:color w:val="0000FF"/>
        </w:rPr>
      </w:pPr>
    </w:p>
    <w:p>
      <w:pPr>
        <w:ind w:left="940" w:right="2339" w:hanging="942"/>
        <w:spacing w:after="0" w:line="234" w:lineRule="auto"/>
        <w:tabs>
          <w:tab w:leader="none" w:pos="9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114" w:lineRule="exact"/>
        <w:rPr>
          <w:rFonts w:ascii="Times New Roman" w:cs="Times New Roman" w:eastAsia="Times New Roman" w:hAnsi="Times New Roman"/>
          <w:sz w:val="18"/>
          <w:szCs w:val="18"/>
          <w:u w:val="single" w:color="auto"/>
          <w:color w:val="0000FF"/>
        </w:rPr>
      </w:pPr>
    </w:p>
    <w:p>
      <w:pPr>
        <w:ind w:left="940" w:right="2339" w:hanging="942"/>
        <w:spacing w:after="0" w:line="234" w:lineRule="auto"/>
        <w:tabs>
          <w:tab w:leader="none" w:pos="9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Section 906 of the Sarbanes-Oxley Act of 2002</w:t>
      </w:r>
    </w:p>
    <w:p>
      <w:pPr>
        <w:spacing w:after="0" w:line="114" w:lineRule="exact"/>
        <w:rPr>
          <w:rFonts w:ascii="Times New Roman" w:cs="Times New Roman" w:eastAsia="Times New Roman" w:hAnsi="Times New Roman"/>
          <w:sz w:val="18"/>
          <w:szCs w:val="18"/>
          <w:u w:val="single" w:color="auto"/>
          <w:color w:val="0000FF"/>
        </w:rPr>
      </w:pPr>
    </w:p>
    <w:p>
      <w:pPr>
        <w:ind w:left="940" w:right="2339" w:hanging="942"/>
        <w:spacing w:after="0" w:line="234" w:lineRule="auto"/>
        <w:tabs>
          <w:tab w:leader="none" w:pos="9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Section 906 of the Sarbanes-Oxley Act of 2002</w:t>
      </w:r>
    </w:p>
    <w:p>
      <w:pPr>
        <w:sectPr>
          <w:pgSz w:w="11900" w:h="16838" w:orient="portrait"/>
          <w:cols w:equalWidth="0" w:num="1">
            <w:col w:w="10119"/>
          </w:cols>
          <w:pgMar w:left="340" w:top="1157"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65" w:lineRule="exact"/>
        <w:rPr>
          <w:rFonts w:ascii="Times New Roman" w:cs="Times New Roman" w:eastAsia="Times New Roman" w:hAnsi="Times New Roman"/>
          <w:sz w:val="18"/>
          <w:szCs w:val="18"/>
          <w:u w:val="single" w:color="auto"/>
          <w:color w:val="0000FF"/>
        </w:rPr>
      </w:pPr>
    </w:p>
    <w:p>
      <w:pPr>
        <w:ind w:left="55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19"/>
          </w:cols>
          <w:pgMar w:left="340" w:top="1157" w:right="1440" w:bottom="1440" w:gutter="0" w:footer="0" w:header="0"/>
          <w:type w:val="continuous"/>
        </w:sectPr>
      </w:pPr>
    </w:p>
    <w:bookmarkStart w:id="61" w:name="page62"/>
    <w:bookmarkEnd w:id="61"/>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6680" w:type="dxa"/>
            <w:vAlign w:val="bottom"/>
            <w:gridSpan w:val="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Integra LifeSciences Holdings Corporation Incentive Compensation Recovery Policy</w:t>
              </w:r>
            </w:hyperlink>
          </w:p>
        </w:tc>
        <w:tc>
          <w:tcPr>
            <w:tcW w:w="0" w:type="dxa"/>
            <w:vAlign w:val="bottom"/>
          </w:tcPr>
          <w:p>
            <w:pPr>
              <w:spacing w:after="0"/>
              <w:rPr>
                <w:sz w:val="1"/>
                <w:szCs w:val="1"/>
                <w:color w:val="auto"/>
              </w:rPr>
            </w:pPr>
          </w:p>
        </w:tc>
      </w:tr>
      <w:tr>
        <w:trPr>
          <w:trHeight w:val="153"/>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97.1</w:t>
            </w:r>
          </w:p>
        </w:tc>
        <w:tc>
          <w:tcPr>
            <w:tcW w:w="6040" w:type="dxa"/>
            <w:vAlign w:val="bottom"/>
            <w:tcBorders>
              <w:top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(Incorporated by reference to Exhibit 97.1 to the Company's Annual Report on Form</w:t>
              </w:r>
            </w:hyperlink>
          </w:p>
        </w:tc>
        <w:tc>
          <w:tcPr>
            <w:tcW w:w="640" w:type="dxa"/>
            <w:vAlign w:val="bottom"/>
            <w:gridSpan w:val="2"/>
          </w:tcPr>
          <w:p>
            <w:pPr>
              <w:spacing w:after="0" w:line="153"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10-K for</w:t>
              </w:r>
            </w:hyperlink>
          </w:p>
        </w:tc>
        <w:tc>
          <w:tcPr>
            <w:tcW w:w="0" w:type="dxa"/>
            <w:vAlign w:val="bottom"/>
          </w:tcPr>
          <w:p>
            <w:pPr>
              <w:spacing w:after="0"/>
              <w:rPr>
                <w:sz w:val="1"/>
                <w:szCs w:val="1"/>
                <w:color w:val="auto"/>
              </w:rPr>
            </w:pPr>
          </w:p>
        </w:tc>
      </w:tr>
      <w:tr>
        <w:trPr>
          <w:trHeight w:val="153"/>
        </w:trPr>
        <w:tc>
          <w:tcPr>
            <w:tcW w:w="980" w:type="dxa"/>
            <w:vAlign w:val="bottom"/>
            <w:vMerge w:val="continue"/>
          </w:tcPr>
          <w:p>
            <w:pPr>
              <w:spacing w:after="0"/>
              <w:rPr>
                <w:sz w:val="13"/>
                <w:szCs w:val="13"/>
                <w:color w:val="auto"/>
              </w:rPr>
            </w:pPr>
          </w:p>
        </w:tc>
        <w:tc>
          <w:tcPr>
            <w:tcW w:w="6660" w:type="dxa"/>
            <w:vAlign w:val="bottom"/>
            <w:tcBorders>
              <w:top w:val="single" w:sz="8" w:color="0000FF"/>
            </w:tcBorders>
            <w:gridSpan w:val="3"/>
          </w:tcPr>
          <w:p>
            <w:pPr>
              <w:spacing w:after="0" w:line="139" w:lineRule="exact"/>
              <w:rPr>
                <w:rFonts w:ascii="Times New Roman" w:cs="Times New Roman" w:eastAsia="Times New Roman" w:hAnsi="Times New Roman"/>
                <w:sz w:val="15"/>
                <w:szCs w:val="15"/>
                <w:color w:val="0000FF"/>
              </w:rPr>
            </w:pPr>
            <w:hyperlink r:id="rId132">
              <w:r>
                <w:rPr>
                  <w:rFonts w:ascii="Times New Roman" w:cs="Times New Roman" w:eastAsia="Times New Roman" w:hAnsi="Times New Roman"/>
                  <w:sz w:val="15"/>
                  <w:szCs w:val="15"/>
                  <w:color w:val="0000FF"/>
                </w:rPr>
                <w:t>the fiscal year ended December 31,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8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8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0" w:type="dxa"/>
            <w:vAlign w:val="bottom"/>
          </w:tcPr>
          <w:p>
            <w:pPr>
              <w:spacing w:after="0"/>
              <w:rPr>
                <w:sz w:val="1"/>
                <w:szCs w:val="1"/>
                <w:color w:val="auto"/>
              </w:rPr>
            </w:pP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 w:right="5880" w:hanging="3"/>
        <w:spacing w:after="0" w:line="392" w:lineRule="auto"/>
        <w:tabs>
          <w:tab w:leader="none" w:pos="2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 + Indicates this document is filed as an exhibit herewith.</w:t>
      </w:r>
    </w:p>
    <w:p>
      <w:pPr>
        <w:spacing w:after="0" w:line="1" w:lineRule="exact"/>
        <w:rPr>
          <w:sz w:val="20"/>
          <w:szCs w:val="20"/>
          <w:color w:val="auto"/>
        </w:rPr>
      </w:pPr>
    </w:p>
    <w:p>
      <w:pPr>
        <w:jc w:val="both"/>
        <w:ind w:left="240" w:hanging="203"/>
        <w:spacing w:after="0" w:line="220"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Annual Report on Form 10-K for the year ended December 31, 2024 filed on February 25, 2025 formatted in XBRL (Extensible Business Reporting Language): (i) the Consolidated Statements of Operations, (ii) the Consolidated Statement of Comprehensive Income (Loss), (iii) the Consolidated Balance Sheets, (iv) Parenthetical Data to the Consolidated Balance Sheets, (v) the Consolidated Statements of Cash Flows, (vi) the Consolidated Statements of Changes in Stockholders’ Equity, and (vii) Notes to Consolidated Financial Statements, is furnished electronically herewith.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Commission File Number for Reports on Form 10-K, Form 10-Q and Form 8-K is 000-26224.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62" w:name="page63"/>
    <w:bookmarkEnd w:id="6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8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34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86" w:lineRule="exact"/>
        <w:rPr>
          <w:sz w:val="20"/>
          <w:szCs w:val="20"/>
          <w:color w:val="auto"/>
        </w:rPr>
      </w:pPr>
    </w:p>
    <w:p>
      <w:pPr>
        <w:ind w:left="3440"/>
        <w:spacing w:after="0"/>
        <w:tabs>
          <w:tab w:leader="none" w:pos="3940" w:val="left"/>
        </w:tabs>
        <w:rPr>
          <w:sz w:val="20"/>
          <w:szCs w:val="20"/>
          <w:color w:val="auto"/>
        </w:rPr>
      </w:pPr>
      <w:r>
        <w:rPr>
          <w:rFonts w:ascii="Times New Roman" w:cs="Times New Roman" w:eastAsia="Times New Roman" w:hAnsi="Times New Roman"/>
          <w:sz w:val="18"/>
          <w:szCs w:val="18"/>
          <w:color w:val="auto"/>
        </w:rPr>
        <w:t>By:</w:t>
        <w:tab/>
        <w:t>/s/ Mojdeh Poul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15240</wp:posOffset>
            </wp:positionV>
            <wp:extent cx="35756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4">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Mojdeh Poul</w:t>
      </w:r>
    </w:p>
    <w:p>
      <w:pPr>
        <w:spacing w:after="0" w:line="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p>
      <w:pPr>
        <w:spacing w:after="0" w:line="1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5" w:lineRule="exact"/>
        <w:rPr>
          <w:sz w:val="20"/>
          <w:szCs w:val="20"/>
          <w:color w:val="auto"/>
        </w:rPr>
      </w:pPr>
    </w:p>
    <w:p>
      <w:pPr>
        <w:ind w:left="3440"/>
        <w:spacing w:after="0"/>
        <w:tabs>
          <w:tab w:leader="none" w:pos="3940" w:val="left"/>
        </w:tabs>
        <w:rPr>
          <w:sz w:val="20"/>
          <w:szCs w:val="20"/>
          <w:color w:val="auto"/>
        </w:rPr>
      </w:pPr>
      <w:r>
        <w:rPr>
          <w:rFonts w:ascii="Times New Roman" w:cs="Times New Roman" w:eastAsia="Times New Roman" w:hAnsi="Times New Roman"/>
          <w:sz w:val="18"/>
          <w:szCs w:val="18"/>
          <w:color w:val="auto"/>
        </w:rPr>
        <w:t>By:</w:t>
        <w:tab/>
        <w:t>/s/ Lea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15240</wp:posOffset>
            </wp:positionV>
            <wp:extent cx="35756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5">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Lea Knight</w:t>
      </w:r>
    </w:p>
    <w:p>
      <w:pPr>
        <w:spacing w:after="0" w:line="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65" w:lineRule="exact"/>
        <w:rPr>
          <w:sz w:val="20"/>
          <w:szCs w:val="20"/>
          <w:color w:val="auto"/>
        </w:rPr>
      </w:pPr>
    </w:p>
    <w:p>
      <w:pPr>
        <w:ind w:left="3440"/>
        <w:spacing w:after="0"/>
        <w:tabs>
          <w:tab w:leader="none" w:pos="3940" w:val="left"/>
        </w:tabs>
        <w:rPr>
          <w:sz w:val="20"/>
          <w:szCs w:val="20"/>
          <w:color w:val="auto"/>
        </w:rPr>
      </w:pPr>
      <w:r>
        <w:rPr>
          <w:rFonts w:ascii="Times New Roman" w:cs="Times New Roman" w:eastAsia="Times New Roman" w:hAnsi="Times New Roman"/>
          <w:sz w:val="18"/>
          <w:szCs w:val="18"/>
          <w:color w:val="auto"/>
        </w:rPr>
        <w:t>By:</w:t>
        <w:tab/>
        <w:t>/s/ Jeffrey A. Mosebrook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15240</wp:posOffset>
            </wp:positionV>
            <wp:extent cx="35756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6">
                      <a:extLst>
                        <a:ext uri="{28A0092B-C50C-407E-A947-70E740481C1C}"/>
                      </a:extLst>
                    </a:blip>
                    <a:srcRect/>
                    <a:stretch>
                      <a:fillRect/>
                    </a:stretch>
                  </pic:blipFill>
                  <pic:spPr bwMode="auto">
                    <a:xfrm>
                      <a:off x="0" y="0"/>
                      <a:ext cx="3575685" cy="8255"/>
                    </a:xfrm>
                    <a:prstGeom prst="rect">
                      <a:avLst/>
                    </a:prstGeom>
                    <a:noFill/>
                  </pic:spPr>
                </pic:pic>
              </a:graphicData>
            </a:graphic>
          </wp:anchor>
        </w:drawing>
      </w:r>
    </w:p>
    <w:p>
      <w:pPr>
        <w:spacing w:after="0" w:line="1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Jeffrey A. Mosebrook</w:t>
      </w:r>
    </w:p>
    <w:p>
      <w:pPr>
        <w:spacing w:after="0" w:line="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Senior Vice President, Finance</w:t>
      </w:r>
    </w:p>
    <w:p>
      <w:pPr>
        <w:spacing w:after="0" w:line="1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969" w:right="479" w:bottom="1440" w:gutter="0" w:footer="0" w:header="0"/>
        </w:sectPr>
      </w:pPr>
    </w:p>
    <w:bookmarkStart w:id="63" w:name="page64"/>
    <w:bookmarkEnd w:id="63"/>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16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60" w:type="dxa"/>
            <w:vAlign w:val="bottom"/>
            <w:gridSpan w:val="2"/>
          </w:tcPr>
          <w:p>
            <w:pPr>
              <w:jc w:val="center"/>
              <w:ind w:right="2140"/>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700" w:type="dxa"/>
            <w:vAlign w:val="bottom"/>
            <w:gridSpan w:val="3"/>
          </w:tcPr>
          <w:p>
            <w:pPr>
              <w:ind w:left="1200"/>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0"/>
        </w:trPr>
        <w:tc>
          <w:tcPr>
            <w:tcW w:w="1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8"/>
        </w:trPr>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Mojdeh Poul</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February 25, 2025</w:t>
            </w:r>
          </w:p>
        </w:tc>
      </w:tr>
      <w:tr>
        <w:trPr>
          <w:trHeight w:val="225"/>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Mojdeh Poul</w:t>
            </w:r>
          </w:p>
        </w:tc>
        <w:tc>
          <w:tcPr>
            <w:tcW w:w="498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8"/>
              </w:rPr>
              <w:t>and Director (Principal Executive Officer)</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2"/>
        </w:trPr>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Lea Knight</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February 25, 2025</w:t>
            </w:r>
          </w:p>
        </w:tc>
      </w:tr>
      <w:tr>
        <w:trPr>
          <w:trHeight w:val="225"/>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Lea Knight</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85"/>
        </w:trPr>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Jeffrey A. Mosebrook</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7"/>
              </w:rPr>
              <w:t>Senior Vice President, Finance</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February 25, 2025</w:t>
            </w:r>
          </w:p>
        </w:tc>
      </w:tr>
      <w:tr>
        <w:trPr>
          <w:trHeight w:val="225"/>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Jeffrey A. Mosebrook</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2"/>
        </w:trPr>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Stuart M. Essig, Ph.D.</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8"/>
              </w:rPr>
              <w:t>Executive Chairman of the Board</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February 25, 2025</w:t>
            </w:r>
          </w:p>
        </w:tc>
      </w:tr>
      <w:tr>
        <w:trPr>
          <w:trHeight w:val="225"/>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Stuart M. Essig, Ph.D.</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2"/>
        </w:trPr>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Keith Bradley, Ph.D.</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6"/>
              </w:rPr>
              <w:t>Director</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February 25, 2025</w:t>
            </w:r>
          </w:p>
        </w:tc>
      </w:tr>
      <w:tr>
        <w:trPr>
          <w:trHeight w:val="225"/>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Keith Bradley, Ph.D.</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2"/>
        </w:trPr>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Shaundra Clay</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6"/>
              </w:rPr>
              <w:t>Director</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February 25, 2025</w:t>
            </w:r>
          </w:p>
        </w:tc>
      </w:tr>
      <w:tr>
        <w:trPr>
          <w:trHeight w:val="225"/>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Shaundra Clay</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2"/>
        </w:trPr>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Jeffrey A. Graves</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6"/>
              </w:rPr>
              <w:t>Director</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February 25, 2025</w:t>
            </w:r>
          </w:p>
        </w:tc>
      </w:tr>
      <w:tr>
        <w:trPr>
          <w:trHeight w:val="225"/>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Jeffrey A. Graves</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85"/>
        </w:trPr>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Barbara B. Hill</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6"/>
              </w:rPr>
              <w:t>Director</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February 25, 2025</w:t>
            </w:r>
          </w:p>
        </w:tc>
      </w:tr>
      <w:tr>
        <w:trPr>
          <w:trHeight w:val="225"/>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Barbara B. Hill</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2"/>
        </w:trPr>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Renee W. Lo</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6"/>
              </w:rPr>
              <w:t>Director</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February 25, 2025</w:t>
            </w:r>
          </w:p>
        </w:tc>
      </w:tr>
      <w:tr>
        <w:trPr>
          <w:trHeight w:val="225"/>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Renee W. Lo</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2"/>
        </w:trPr>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Raymond G. Murphy</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6"/>
              </w:rPr>
              <w:t>Director</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February 25, 2025</w:t>
            </w:r>
          </w:p>
        </w:tc>
      </w:tr>
      <w:tr>
        <w:trPr>
          <w:trHeight w:val="225"/>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Raymond G. Murphy</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2"/>
        </w:trPr>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Christian S. Schade</w:t>
            </w:r>
          </w:p>
        </w:tc>
        <w:tc>
          <w:tcPr>
            <w:tcW w:w="498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color w:val="auto"/>
                <w:w w:val="96"/>
              </w:rPr>
              <w:t>Director</w:t>
            </w:r>
          </w:p>
        </w:tc>
        <w:tc>
          <w:tcPr>
            <w:tcW w:w="1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February 25, 2025</w:t>
            </w:r>
          </w:p>
        </w:tc>
      </w:tr>
      <w:tr>
        <w:trPr>
          <w:trHeight w:val="225"/>
        </w:trPr>
        <w:tc>
          <w:tcPr>
            <w:tcW w:w="3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Christian S. Schade</w:t>
            </w: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9" w:lineRule="exact"/>
        <w:rPr>
          <w:sz w:val="20"/>
          <w:szCs w:val="20"/>
          <w:color w:val="auto"/>
        </w:rPr>
      </w:pPr>
    </w:p>
    <w:p>
      <w:pPr>
        <w:ind w:right="4860"/>
        <w:spacing w:after="0" w:line="391" w:lineRule="auto"/>
        <w:rPr>
          <w:sz w:val="20"/>
          <w:szCs w:val="20"/>
          <w:color w:val="auto"/>
        </w:rPr>
      </w:pPr>
      <w:r>
        <w:rPr>
          <w:rFonts w:ascii="Times New Roman" w:cs="Times New Roman" w:eastAsia="Times New Roman" w:hAnsi="Times New Roman"/>
          <w:sz w:val="17"/>
          <w:szCs w:val="17"/>
          <w:color w:val="auto"/>
        </w:rPr>
        <w:t xml:space="preserve">To the Board of Directors and Stockholders of Integra LifeSciences Holdings Corporation </w:t>
      </w: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Integra LifeSciences Holdings Corporation and its subsidiaries (the “Company”) as of December 31, 2024 and 2023, and the related consolidated statements of operations, of comprehensive income, of changes in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As described in Management’s Report on Internal Control over Financial Reporting, management has excluded Acclarent, Inc. (“Acclarent”) from its assessment of internal control over financial reporting as of December 31, 2024, because it was acquired by the Company in a purchase business combination during 2024. We have also excluded Acclarent from our audit of internal control over financial reporting. Acclarent is a wholly-owned subsidiary whose total assets and total revenues excluded from management’s assessment and our audit of internal control over financial reporting represent approximately $82.4 million and $95.0 million, respectively, of the related consolidated financial statement amounts as of and for the year ended December 31,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was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Acclarent, Inc. – Valuation of Completed Technology</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2 and 4 to the consolidated financial statements, on April 1, 2024, the Company completed the acquisition of Acclarent, Inc (Acclarent) for a net consideration of $277.8 million. Of the acquired intangible assets, $202.0 million of completed technology was recorded. Fair value is estimated by management using the multi-period, excess earnings method of the income approach for completed technology. Management’s cash flow projections for the intangible assets acquired included significant assumptions relating to revenue growth rates, cost of sales, the discount rate, obsolescence rate, and an assessment of the asset’s life cycle, as well as other factors.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completed technology acquired in the acquisition of Acclarent is a critical audit matter are (i) the significant judgment by management when developing the fair value estimate of the completed technology acquired; (ii) a high degree of auditor judgment, subjectivity, and effort in performing procedures and evaluating management’s significant assumptions related to revenue growth rates, cost of sales, the discount rate and the obsolescence rate; and (iii) the audit effort involved the use of professionals with specialized skill and knowledge.</w:t>
      </w:r>
    </w:p>
    <w:p>
      <w:pPr>
        <w:spacing w:after="0" w:line="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completed technology acquired. These procedures also included, among others (i) reading the purchase agreement; (ii) testing management’s process for developing the fair value estimate of the completed technology acquired; (iii) evaluating the appropriateness of the multi-period, excess earnings method used by management; (iv) testing the completeness and accuracy of the underlying data used in the multi-period, excess earnings method; and (v) evaluating the reasonableness of the significant assumptions used by management related to revenue growth rates, cost of sales, the discount rate and the obsolescence rate. Evaluating management’s assumption related to the revenue growth rates involved considering (i) the current and past performance of the Acclarent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method and (ii) the reasonableness of the discount rate and obsolescence rate assumptions.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Goodwill Impairment Assessment - Tissue Technologies Reporting Unit</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described in Notes 2 and 7 to the consolidated financial statements, the Company’s goodwill balance was $1,097.0 million as of December 31, 2024, of which $381.2 million relates to the Tissue Technologies reporting unit. Goodwill is not subject to amortization but is tested for impairment at the reporting unit level annually in the third quarter. Additionally, management may perform interim tests of goodwill for impairment if an event occurs or circumstances change that could potentially reduce the fair value below its carrying value. During the first quarter of 2024, management performed a quantitative impairment assessment of its Tissue Technologies reporting unit. The quantitative test used by management to estimate the fair value of the Tissue Technologies reporting unit uses a combination of both an income approach and a market approach. The income approach utilizes the estimated discounted cash flows for the reporting unit while the market approach utilizes comparable publicly-traded companies’ revenue and EBITDA multiples. Significant assumptions made by management include revenue growth rates, cost of sales, terminal growth rates and the discount rate.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interim goodwill impairment assessment for the Tissue Technologies reporting unit is a critical audit matter are (i) the significant judgment by management when developing the fair value estimate of the Tissue Technologies reporting unit; (ii) a high degree of auditor judgment, subjectivity and effort in performing procedures and evaluating management’s significant assumptions related to the revenue growth rates, terminal growth rate, discount rate, and comparable publicly-traded companies’ revenue and EBITDA multiples; and (iii) the audit effort involved the use of professionals with specialized skill and knowledge.</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6" w:name="page67"/>
    <w:bookmarkEnd w:id="66"/>
    <w:p>
      <w:pPr>
        <w:jc w:val="both"/>
        <w:spacing w:after="0" w:line="249" w:lineRule="auto"/>
        <w:rPr>
          <w:sz w:val="20"/>
          <w:szCs w:val="20"/>
          <w:color w:val="auto"/>
        </w:rPr>
      </w:pPr>
      <w:r>
        <w:rPr>
          <w:rFonts w:ascii="Times New Roman" w:cs="Times New Roman" w:eastAsia="Times New Roman" w:hAnsi="Times New Roman"/>
          <w:sz w:val="18"/>
          <w:szCs w:val="18"/>
          <w:color w:val="auto"/>
        </w:rPr>
        <w:t>relating to management’s goodwill impairment assessment, including controls over valuation of the Tissue Technologies reporting unit. These procedures also included, among others, (i) testing management’s process for developing the fair value estimate of the reporting unit; (ii) evaluating the appropriateness of the income and market approaches used by management; (iii) testing the completeness and accuracy of underlying data used by management in the income and market approaches; (iv) evaluating the reasonableness of the significant assumptions used by management related to the revenue growth rate, terminal growth rate, and discount rate in the income approach and the comparable publicly-traded companies’ revenue and EBITDA multiples in the market approach. Evaluating management’s assumptions related to the revenue growth rates and terminal growth rate involved evaluating whether the assumptions used by management were reasonable considering (i) the current and past performance of the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income and market approaches and (ii) the reasonableness of the discount rate and comparable publicly-traded companies’ revenue and EBITDA multiples assumptions.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Goodwill Impairment Assessment - Tissue Technologies, Neurosurgery, and Instruments and ENT Reporting Units</w:t>
      </w:r>
    </w:p>
    <w:p>
      <w:pPr>
        <w:spacing w:after="0" w:line="1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described in Notes 2 and 7 to the consolidated financial statements, the Company’s goodwill balance was $1,097.0 million as of December 31, 2024. Goodwill is not subject to amortization but is tested for impairment at the reporting unit level annually in the third quarter. Management performed the annual impairment assessment using quantitative tests of its Tissue Technologies, Neurosurgery, and Instruments and ENT reporting units, using a combination of both an income approach and a market approach to determine the fair value of the reporting units. The income approach utilizes the estimated discounted cash flows for the reporting unit while the market approach utilizes comparable publicly-traded companies’ revenue and EBITDA multiples. Significant assumptions made by management include revenue growth rates, cost of sales, terminal growth rates and the discount rate for each reporting unit. Management determined, after performing the quantitative analysis, that the fair value of the goodwill of the reporting units was not less than the carrying amount.</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annual goodwill impairment assessment of the Tissue Technologies, Neurosurgery, and Instruments and ENT reporting units is a critical audit matter are (i) the significant judgment by management when developing the fair value estimate of the reporting units; (ii) a high degree of auditor judgment, subjectivity, and effort in performing procedures and evaluating management’s significant assumptions related to the revenue growth rates, terminal growth rate, discount rate, and comparable publicly-traded companies’ revenue and EBITDA multiples for the Tissue Technologies reporting unit and revenue growth rate, cost of sales terminal growth rate, discount rate, and comparable publicly-traded companies’ revenue and EBITDA multiples for the Neurosurgery and Instruments and ENT reporting units; and (iii) the audit effort involved in the use of professionals with specialized skill and knowledge.</w:t>
      </w:r>
    </w:p>
    <w:p>
      <w:pPr>
        <w:spacing w:after="0" w:line="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Tissue Technologies, Neurosurgery, and Instruments and ENT reporting units. These procedures also included, among others</w:t>
      </w:r>
    </w:p>
    <w:p>
      <w:pPr>
        <w:spacing w:after="0" w:line="2" w:lineRule="exact"/>
        <w:rPr>
          <w:sz w:val="20"/>
          <w:szCs w:val="20"/>
          <w:color w:val="auto"/>
        </w:rPr>
      </w:pPr>
    </w:p>
    <w:p>
      <w:pPr>
        <w:jc w:val="both"/>
        <w:ind w:firstLine="6"/>
        <w:spacing w:after="0" w:line="247" w:lineRule="auto"/>
        <w:tabs>
          <w:tab w:leader="none" w:pos="2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developing the fair value estimate of the reporting units; (ii) evaluating the appropriateness of the income and market approaches used by management; (iii) testing the completeness and accuracy of underlying data used by management in the income and market approaches; and (iv) evaluating the reasonableness of the significant assumptions used by management related to the revenue growth rate, cost of sales, terminal growth rate, discount rate in the income approach and the comparable publicly-traded companies’ revenue and EBITDA multiples in the market approach. Evaluating management’s assumptions related to the revenue growth rates and terminal growth rate involved evaluating whether the assumptions used by management were reasonable considering (i) the current and past performance of the reporting units; (ii) the consistency with external market and industry data; and (iii) whether the assumptions were consistent with evidence obtained in other areas of the audit. Professionals with specialized skill and knowledge were used to assist in evaluating (i) the appropriateness of the income and market approaches and (ii) the reasonableness of the discount rate, the terminal growth rate and comparable publicly-traded companies’ revenue and EBITDA multiples assumptions.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7"/>
              </w:rPr>
              <w:t>Years Ended December 31,</w:t>
            </w:r>
          </w:p>
        </w:tc>
        <w:tc>
          <w:tcPr>
            <w:tcW w:w="1220" w:type="dxa"/>
            <w:vAlign w:val="bottom"/>
            <w:tcBorders>
              <w:bottom w:val="single" w:sz="8" w:color="auto"/>
            </w:tcBorders>
          </w:tcPr>
          <w:p>
            <w:pPr>
              <w:spacing w:after="0"/>
              <w:rPr>
                <w:sz w:val="18"/>
                <w:szCs w:val="18"/>
                <w:color w:val="auto"/>
              </w:rPr>
            </w:pPr>
          </w:p>
        </w:tc>
      </w:tr>
      <w:tr>
        <w:trPr>
          <w:trHeight w:val="207"/>
        </w:trPr>
        <w:tc>
          <w:tcPr>
            <w:tcW w:w="6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1,610,527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1,541,573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1,557,666</w:t>
            </w:r>
          </w:p>
        </w:tc>
      </w:tr>
      <w:tr>
        <w:trPr>
          <w:trHeight w:val="266"/>
        </w:trPr>
        <w:tc>
          <w:tcPr>
            <w:tcW w:w="6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goods sold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728,466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656,838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587,355</w:t>
            </w:r>
          </w:p>
        </w:tc>
      </w:tr>
      <w:tr>
        <w:trPr>
          <w:trHeight w:val="215"/>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101,193</w:t>
            </w:r>
          </w:p>
        </w:tc>
      </w:tr>
      <w:tr>
        <w:trPr>
          <w:trHeight w:val="210"/>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716,983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656,641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616,316</w:t>
            </w:r>
          </w:p>
        </w:tc>
      </w:tr>
      <w:tr>
        <w:trPr>
          <w:trHeight w:val="215"/>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13,882</w:t>
            </w:r>
          </w:p>
        </w:tc>
      </w:tr>
      <w:tr>
        <w:trPr>
          <w:trHeight w:val="204"/>
        </w:trPr>
        <w:tc>
          <w:tcPr>
            <w:tcW w:w="6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1,582,116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1,430,047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1,318,746</w:t>
            </w:r>
          </w:p>
        </w:tc>
      </w:tr>
      <w:tr>
        <w:trPr>
          <w:trHeight w:val="20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238,920</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w:t>
            </w:r>
          </w:p>
        </w:tc>
      </w:tr>
      <w:tr>
        <w:trPr>
          <w:trHeight w:val="21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(49,594)</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from sale of businesses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12,007</w:t>
            </w:r>
          </w:p>
        </w:tc>
      </w:tr>
      <w:tr>
        <w:trPr>
          <w:trHeight w:val="20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81,069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213,894</w:t>
            </w:r>
          </w:p>
        </w:tc>
      </w:tr>
      <w:tr>
        <w:trPr>
          <w:trHeight w:val="21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33,344</w:t>
            </w:r>
          </w:p>
        </w:tc>
      </w:tr>
      <w:tr>
        <w:trPr>
          <w:trHeight w:val="206"/>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67,741</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180,550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2"/>
        </w:trPr>
        <w:tc>
          <w:tcPr>
            <w:tcW w:w="6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1"/>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per share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0"/>
        </w:trPr>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68"/>
        </w:trPr>
        <w:tc>
          <w:tcPr>
            <w:tcW w:w="6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300"/>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(See Note 13):</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85"/>
        </w:trPr>
        <w:tc>
          <w:tcPr>
            <w:tcW w:w="6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2"/>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82,997</w:t>
            </w:r>
          </w:p>
        </w:tc>
      </w:tr>
      <w:tr>
        <w:trPr>
          <w:trHeight w:val="208"/>
        </w:trPr>
        <w:tc>
          <w:tcPr>
            <w:tcW w:w="6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83,516</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80" w:type="dxa"/>
            <w:vAlign w:val="bottom"/>
            <w:tcBorders>
              <w:bottom w:val="single" w:sz="8" w:color="auto"/>
            </w:tcBorders>
          </w:tcPr>
          <w:p>
            <w:pPr>
              <w:spacing w:after="0"/>
              <w:rPr>
                <w:sz w:val="18"/>
                <w:szCs w:val="18"/>
                <w:color w:val="auto"/>
              </w:rPr>
            </w:pPr>
          </w:p>
        </w:tc>
      </w:tr>
      <w:tr>
        <w:trPr>
          <w:trHeight w:val="207"/>
        </w:trPr>
        <w:tc>
          <w:tcPr>
            <w:tcW w:w="69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67,741</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180,550</w:t>
            </w:r>
          </w:p>
        </w:tc>
      </w:tr>
      <w:tr>
        <w:trPr>
          <w:trHeight w:val="235"/>
        </w:trPr>
        <w:tc>
          <w:tcPr>
            <w:tcW w:w="6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2"/>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income, before tax:</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Change in foreign currency translation adjustments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(17,807)</w:t>
            </w:r>
          </w:p>
        </w:tc>
      </w:tr>
      <w:tr>
        <w:trPr>
          <w:trHeight w:val="248"/>
        </w:trPr>
        <w:tc>
          <w:tcPr>
            <w:tcW w:w="6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10"/>
        </w:trPr>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gain (loss) on derivatives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Unrealized derivative gain (loss) arising during period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104,351</w:t>
            </w:r>
          </w:p>
        </w:tc>
      </w:tr>
      <w:tr>
        <w:trPr>
          <w:trHeight w:val="210"/>
        </w:trPr>
        <w:tc>
          <w:tcPr>
            <w:tcW w:w="69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Less: Reclassification adjustments for gain (loss) included in net income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53,882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18,859</w:t>
            </w:r>
          </w:p>
        </w:tc>
      </w:tr>
      <w:tr>
        <w:trPr>
          <w:trHeight w:val="206"/>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gain (loss) on derivatives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85,492</w:t>
            </w:r>
          </w:p>
        </w:tc>
      </w:tr>
      <w:tr>
        <w:trPr>
          <w:trHeight w:val="248"/>
        </w:trPr>
        <w:tc>
          <w:tcPr>
            <w:tcW w:w="6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0"/>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Defined benefit pension plan - net gain (loss) arising during period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(6,610)</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7,429</w:t>
            </w:r>
          </w:p>
        </w:tc>
      </w:tr>
      <w:tr>
        <w:trPr>
          <w:trHeight w:val="248"/>
        </w:trPr>
        <w:tc>
          <w:tcPr>
            <w:tcW w:w="6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2"/>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comprehensive (loss) gain, before tax</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75,114</w:t>
            </w:r>
          </w:p>
        </w:tc>
      </w:tr>
      <w:tr>
        <w:trPr>
          <w:trHeight w:val="210"/>
        </w:trPr>
        <w:tc>
          <w:tcPr>
            <w:tcW w:w="69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Income tax (expense) benefit related to items in other comprehensive gain (loss)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10,708</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(19,694)</w:t>
            </w:r>
          </w:p>
        </w:tc>
      </w:tr>
      <w:tr>
        <w:trPr>
          <w:trHeight w:val="20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comprehensive gain (loss), net of tax</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55,420</w:t>
            </w:r>
          </w:p>
        </w:tc>
      </w:tr>
      <w:tr>
        <w:trPr>
          <w:trHeight w:val="248"/>
        </w:trPr>
        <w:tc>
          <w:tcPr>
            <w:tcW w:w="69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231"/>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 income, net of tax</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(19,409)</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42,370</w:t>
            </w:r>
          </w:p>
        </w:tc>
        <w:tc>
          <w:tcPr>
            <w:tcW w:w="1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235,970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69850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276,402</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investments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32,694</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 accounts receivable, net of allowances of $6,917 and $4,879</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259,327</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429,090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389,608</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67,362</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32,643</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1,081,681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1,058,036</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405,723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340,199</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156,184</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1,207,588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1,067,833</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1,096,952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1,055,462</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46,080</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58,194</w:t>
            </w:r>
          </w:p>
        </w:tc>
        <w:tc>
          <w:tcPr>
            <w:tcW w:w="0" w:type="dxa"/>
            <w:vAlign w:val="bottom"/>
          </w:tcPr>
          <w:p>
            <w:pPr>
              <w:spacing w:after="0"/>
              <w:rPr>
                <w:sz w:val="1"/>
                <w:szCs w:val="1"/>
                <w:color w:val="auto"/>
              </w:rPr>
            </w:pPr>
          </w:p>
        </w:tc>
      </w:tr>
      <w:tr>
        <w:trPr>
          <w:trHeight w:val="208"/>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4,037,424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3,781,988</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1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borrowings under senior credit facility</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14,531</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lease liability - operating leases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15,284</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Convertible securities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573,170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trade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92,326</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75,455</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100,844</w:t>
            </w:r>
          </w:p>
        </w:tc>
        <w:tc>
          <w:tcPr>
            <w:tcW w:w="0" w:type="dxa"/>
            <w:vAlign w:val="bottom"/>
          </w:tcPr>
          <w:p>
            <w:pPr>
              <w:spacing w:after="0"/>
              <w:rPr>
                <w:sz w:val="1"/>
                <w:szCs w:val="1"/>
                <w:color w:val="auto"/>
              </w:rPr>
            </w:pPr>
          </w:p>
        </w:tc>
      </w:tr>
      <w:tr>
        <w:trPr>
          <w:trHeight w:val="204"/>
        </w:trPr>
        <w:tc>
          <w:tcPr>
            <w:tcW w:w="8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922,126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306,980</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 under senior credit facility</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1,087,917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825,563</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 under securitization facility</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89,200</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convertible securities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570,255</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166,849</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35,317</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146,238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199,940</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2,492,144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2,194,104</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Preferred Stock; no par value; 15,000 authorized shares; none outstanding</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810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Common stock; $0.01 par value; 240,000 authorized shares; 91,610 and 90,920 issued at December 31, 2024 and 2023,</w:t>
            </w:r>
          </w:p>
        </w:tc>
        <w:tc>
          <w:tcPr>
            <w:tcW w:w="3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1,323,431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1,302,484</w:t>
            </w:r>
          </w:p>
        </w:tc>
        <w:tc>
          <w:tcPr>
            <w:tcW w:w="0" w:type="dxa"/>
            <w:vAlign w:val="bottom"/>
          </w:tcPr>
          <w:p>
            <w:pPr>
              <w:spacing w:after="0"/>
              <w:rPr>
                <w:sz w:val="1"/>
                <w:szCs w:val="1"/>
                <w:color w:val="auto"/>
              </w:rPr>
            </w:pPr>
          </w:p>
        </w:tc>
      </w:tr>
      <w:tr>
        <w:trPr>
          <w:trHeight w:val="210"/>
        </w:trPr>
        <w:tc>
          <w:tcPr>
            <w:tcW w:w="8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Treasury stock, at cost; 14,445 and 12,751 shares at December 31, 2024 and 2023, respectively</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(691,411)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(647,262)</w:t>
            </w:r>
          </w:p>
        </w:tc>
        <w:tc>
          <w:tcPr>
            <w:tcW w:w="0" w:type="dxa"/>
            <w:vAlign w:val="bottom"/>
          </w:tcPr>
          <w:p>
            <w:pPr>
              <w:spacing w:after="0"/>
              <w:rPr>
                <w:sz w:val="1"/>
                <w:szCs w:val="1"/>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939,915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946,859</w:t>
            </w:r>
          </w:p>
        </w:tc>
        <w:tc>
          <w:tcPr>
            <w:tcW w:w="0" w:type="dxa"/>
            <w:vAlign w:val="bottom"/>
          </w:tcPr>
          <w:p>
            <w:pPr>
              <w:spacing w:after="0"/>
              <w:rPr>
                <w:sz w:val="1"/>
                <w:szCs w:val="1"/>
                <w:color w:val="auto"/>
              </w:rPr>
            </w:pPr>
          </w:p>
        </w:tc>
      </w:tr>
      <w:tr>
        <w:trPr>
          <w:trHeight w:val="206"/>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1,545,280</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1,587,884</w:t>
            </w:r>
          </w:p>
        </w:tc>
        <w:tc>
          <w:tcPr>
            <w:tcW w:w="0" w:type="dxa"/>
            <w:vAlign w:val="bottom"/>
          </w:tcPr>
          <w:p>
            <w:pPr>
              <w:spacing w:after="0"/>
              <w:rPr>
                <w:sz w:val="1"/>
                <w:szCs w:val="1"/>
                <w:color w:val="auto"/>
              </w:rPr>
            </w:pPr>
          </w:p>
        </w:tc>
      </w:tr>
      <w:tr>
        <w:trPr>
          <w:trHeight w:val="208"/>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4,037,424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3,781,988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6"/>
          <w:szCs w:val="16"/>
          <w:b w:val="1"/>
          <w:bCs w:val="1"/>
          <w:color w:val="auto"/>
        </w:rPr>
        <w:t>INTEGRA LIFESCIENCES HOLDINGS CORPORATION</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07"/>
        </w:trPr>
        <w:tc>
          <w:tcPr>
            <w:tcW w:w="6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67,741</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180,550</w:t>
            </w:r>
          </w:p>
        </w:tc>
      </w:tr>
      <w:tr>
        <w:trPr>
          <w:trHeight w:val="21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118,299</w:t>
            </w:r>
          </w:p>
        </w:tc>
      </w:tr>
      <w:tr>
        <w:trPr>
          <w:trHeight w:val="21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impairment charges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w:t>
            </w:r>
          </w:p>
        </w:tc>
      </w:tr>
      <w:tr>
        <w:trPr>
          <w:trHeight w:val="21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27,725</w:t>
            </w:r>
          </w:p>
        </w:tc>
      </w:tr>
      <w:tr>
        <w:trPr>
          <w:trHeight w:val="210"/>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 and expenses associated with debt refinancing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6,845</w:t>
            </w:r>
          </w:p>
        </w:tc>
      </w:tr>
      <w:tr>
        <w:trPr>
          <w:trHeight w:val="21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w:t>
            </w:r>
          </w:p>
        </w:tc>
      </w:tr>
      <w:tr>
        <w:trPr>
          <w:trHeight w:val="210"/>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incentive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on disposal of property and equipment and construction in-progress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(6,813)</w:t>
            </w:r>
          </w:p>
        </w:tc>
      </w:tr>
      <w:tr>
        <w:trPr>
          <w:trHeight w:val="210"/>
        </w:trPr>
        <w:tc>
          <w:tcPr>
            <w:tcW w:w="6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from the sale of businesses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5"/>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contingent consideration and others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(20,304)</w:t>
            </w: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(33,905)</w:t>
            </w:r>
          </w:p>
        </w:tc>
      </w:tr>
      <w:tr>
        <w:trPr>
          <w:trHeight w:val="210"/>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(29,124)</w:t>
            </w:r>
          </w:p>
        </w:tc>
      </w:tr>
      <w:tr>
        <w:trPr>
          <w:trHeight w:val="215"/>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8,612</w:t>
            </w:r>
          </w:p>
        </w:tc>
      </w:tr>
      <w:tr>
        <w:trPr>
          <w:trHeight w:val="210"/>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r>
      <w:tr>
        <w:trPr>
          <w:trHeight w:val="215"/>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17,343</w:t>
            </w:r>
          </w:p>
        </w:tc>
      </w:tr>
      <w:tr>
        <w:trPr>
          <w:trHeight w:val="210"/>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15"/>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(4,438)</w:t>
            </w:r>
          </w:p>
        </w:tc>
      </w:tr>
      <w:tr>
        <w:trPr>
          <w:trHeight w:val="20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129,382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139,955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264,469</w:t>
            </w:r>
          </w:p>
        </w:tc>
      </w:tr>
      <w:tr>
        <w:trPr>
          <w:trHeight w:val="19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6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(42,343)</w:t>
            </w:r>
          </w:p>
        </w:tc>
      </w:tr>
      <w:tr>
        <w:trPr>
          <w:trHeight w:val="215"/>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23,960</w:t>
            </w:r>
          </w:p>
        </w:tc>
      </w:tr>
      <w:tr>
        <w:trPr>
          <w:trHeight w:val="215"/>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Acquired in-process research and development and intangibles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w:t>
            </w:r>
          </w:p>
        </w:tc>
      </w:tr>
      <w:tr>
        <w:trPr>
          <w:trHeight w:val="210"/>
        </w:trPr>
        <w:tc>
          <w:tcPr>
            <w:tcW w:w="6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of short term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(51,509)</w:t>
            </w:r>
          </w:p>
        </w:tc>
      </w:tr>
      <w:tr>
        <w:trPr>
          <w:trHeight w:val="210"/>
        </w:trPr>
        <w:tc>
          <w:tcPr>
            <w:tcW w:w="6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11,145</w:t>
            </w:r>
          </w:p>
        </w:tc>
      </w:tr>
      <w:tr>
        <w:trPr>
          <w:trHeight w:val="215"/>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proceeds on swaps designated as net investment hedges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4,909</w:t>
            </w: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(58,580)</w:t>
            </w:r>
          </w:p>
        </w:tc>
      </w:tr>
      <w:tr>
        <w:trPr>
          <w:trHeight w:val="191"/>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4"/>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borrowings of long-term indebtedness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40,750</w:t>
            </w:r>
          </w:p>
        </w:tc>
      </w:tr>
      <w:tr>
        <w:trPr>
          <w:trHeight w:val="210"/>
        </w:trPr>
        <w:tc>
          <w:tcPr>
            <w:tcW w:w="6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on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(148,550)</w:t>
            </w:r>
          </w:p>
        </w:tc>
      </w:tr>
      <w:tr>
        <w:trPr>
          <w:trHeight w:val="215"/>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r>
      <w:tr>
        <w:trPr>
          <w:trHeight w:val="215"/>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Payments for contingent considerations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w:t>
            </w:r>
          </w:p>
        </w:tc>
      </w:tr>
      <w:tr>
        <w:trPr>
          <w:trHeight w:val="215"/>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taxes paid in net equity settlement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(24,618)</w:t>
            </w:r>
          </w:p>
        </w:tc>
      </w:tr>
      <w:tr>
        <w:trPr>
          <w:trHeight w:val="204"/>
        </w:trPr>
        <w:tc>
          <w:tcPr>
            <w:tcW w:w="6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(251,953)</w:t>
            </w: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(10,723)</w:t>
            </w: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(56,787)</w:t>
            </w:r>
          </w:p>
        </w:tc>
      </w:tr>
      <w:tr>
        <w:trPr>
          <w:trHeight w:val="21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513,448</w:t>
            </w:r>
          </w:p>
        </w:tc>
      </w:tr>
      <w:tr>
        <w:trPr>
          <w:trHeight w:val="20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246,375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276,402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456,661</w:t>
            </w:r>
          </w:p>
        </w:tc>
      </w:tr>
      <w:tr>
        <w:trPr>
          <w:trHeight w:val="22"/>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1" w:name="page72"/>
    <w:bookmarkEnd w:id="71"/>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INTEGRA LIFESCIENCES HOLDINGS CORPORATION CONSOLIDATED STATEMENTS OF CHANGES IN STOCKHOLDERS' EQUITY </w:t>
      </w:r>
      <w:r>
        <w:rPr>
          <w:rFonts w:ascii="Times New Roman" w:cs="Times New Roman" w:eastAsia="Times New Roman" w:hAnsi="Times New Roman"/>
          <w:sz w:val="18"/>
          <w:szCs w:val="18"/>
          <w:color w:val="auto"/>
        </w:rPr>
        <w:t>(Dollars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18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90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8"/>
                <w:szCs w:val="18"/>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5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7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760" w:type="dxa"/>
            <w:vAlign w:val="bottom"/>
          </w:tcPr>
          <w:p>
            <w:pPr>
              <w:spacing w:after="0"/>
              <w:rPr>
                <w:sz w:val="13"/>
                <w:szCs w:val="13"/>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1"/>
        </w:trPr>
        <w:tc>
          <w:tcPr>
            <w:tcW w:w="27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January 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1,264,943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1,684,804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tcBorders>
              <w:top w:val="single" w:sz="8" w:color="CCEEFF"/>
            </w:tcBorders>
            <w:vMerge w:val="continue"/>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180,550</w:t>
            </w:r>
          </w:p>
        </w:tc>
        <w:tc>
          <w:tcPr>
            <w:tcW w:w="8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180,550</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55,420</w:t>
            </w:r>
          </w:p>
        </w:tc>
        <w:tc>
          <w:tcPr>
            <w:tcW w:w="0" w:type="dxa"/>
            <w:vAlign w:val="bottom"/>
          </w:tcPr>
          <w:p>
            <w:pPr>
              <w:spacing w:after="0"/>
              <w:rPr>
                <w:sz w:val="1"/>
                <w:szCs w:val="1"/>
                <w:color w:val="auto"/>
              </w:rPr>
            </w:pPr>
          </w:p>
        </w:tc>
      </w:tr>
      <w:tr>
        <w:trPr>
          <w:trHeight w:val="159"/>
        </w:trPr>
        <w:tc>
          <w:tcPr>
            <w:tcW w:w="27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common stock through</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for vesting of</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share-based awards, net of shares withheld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(20,229)</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taxes and forfeitures</w:t>
            </w: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27,780</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shares repurchased</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0" w:type="dxa"/>
            <w:vAlign w:val="bottom"/>
          </w:tcPr>
          <w:p>
            <w:pPr>
              <w:spacing w:after="0"/>
              <w:rPr>
                <w:sz w:val="1"/>
                <w:szCs w:val="1"/>
                <w:color w:val="auto"/>
              </w:rPr>
            </w:pPr>
          </w:p>
        </w:tc>
      </w:tr>
      <w:tr>
        <w:trPr>
          <w:trHeight w:val="208"/>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90,476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(362,862)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1,276,977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879,118</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1,804,403</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67,741</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67,741</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through</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common stock for vesting of</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share-based awards, net of shares withheld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 taxes and forfeitures</w:t>
            </w: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20,108</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shares repurchased</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(277,450)</w:t>
            </w:r>
          </w:p>
        </w:tc>
        <w:tc>
          <w:tcPr>
            <w:tcW w:w="0" w:type="dxa"/>
            <w:vAlign w:val="bottom"/>
          </w:tcPr>
          <w:p>
            <w:pPr>
              <w:spacing w:after="0"/>
              <w:rPr>
                <w:sz w:val="1"/>
                <w:szCs w:val="1"/>
                <w:color w:val="auto"/>
              </w:rPr>
            </w:pPr>
          </w:p>
        </w:tc>
      </w:tr>
      <w:tr>
        <w:trPr>
          <w:trHeight w:val="233"/>
        </w:trPr>
        <w:tc>
          <w:tcPr>
            <w:tcW w:w="2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1,302,484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946,859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1,587,884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60" w:type="dxa"/>
            <w:vAlign w:val="bottom"/>
            <w:tcBorders>
              <w:top w:val="single" w:sz="8" w:color="CCEEFF"/>
            </w:tcBorders>
            <w:vMerge w:val="continue"/>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8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(12,465)</w:t>
            </w:r>
          </w:p>
        </w:tc>
        <w:tc>
          <w:tcPr>
            <w:tcW w:w="0" w:type="dxa"/>
            <w:vAlign w:val="bottom"/>
          </w:tcPr>
          <w:p>
            <w:pPr>
              <w:spacing w:after="0"/>
              <w:rPr>
                <w:sz w:val="1"/>
                <w:szCs w:val="1"/>
                <w:color w:val="auto"/>
              </w:rPr>
            </w:pPr>
          </w:p>
        </w:tc>
      </w:tr>
      <w:tr>
        <w:trPr>
          <w:trHeight w:val="159"/>
        </w:trPr>
        <w:tc>
          <w:tcPr>
            <w:tcW w:w="27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Issuance of common stock through</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for vesting of</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share-based awards, net of shares withheld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taxes and forfeitures</w:t>
            </w: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24,436</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shares repurchased</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(50,521)</w:t>
            </w:r>
          </w:p>
        </w:tc>
        <w:tc>
          <w:tcPr>
            <w:tcW w:w="0" w:type="dxa"/>
            <w:vAlign w:val="bottom"/>
          </w:tcPr>
          <w:p>
            <w:pPr>
              <w:spacing w:after="0"/>
              <w:rPr>
                <w:sz w:val="1"/>
                <w:szCs w:val="1"/>
                <w:color w:val="auto"/>
              </w:rPr>
            </w:pPr>
          </w:p>
        </w:tc>
      </w:tr>
      <w:tr>
        <w:trPr>
          <w:trHeight w:val="208"/>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91,609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(691,411)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1,323,431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(27,571)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939,915</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1,545,280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69850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72" w:name="page73"/>
    <w:bookmarkEnd w:id="72"/>
    <w:p>
      <w:pPr>
        <w:ind w:left="336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Integra LifeSciences Holdings Corporation (the “Company”) was incorporated in Delaware in 1989. The Company is a worldwide leader in medical technology. The Company was founded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as well as nerves and tendons. The Company has expanded its base regenerative technology business to include surgical instruments, neurosurgical products, Ear, Nose, Throat (“ENT”) products, and advanced wound care through global acquisitions and product development to meet the evolving needs of its customers and enhance patient care. The Company sells its products directly through various salesforces and through a variety of other distribution channels.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1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accounts of the Company and its wholly-owned subsidiaries. Intercompany accounts and transactions have been eliminated in consolidation. See </w:t>
      </w:r>
      <w:r>
        <w:rPr>
          <w:rFonts w:ascii="Times New Roman" w:cs="Times New Roman" w:eastAsia="Times New Roman" w:hAnsi="Times New Roman"/>
          <w:sz w:val="18"/>
          <w:szCs w:val="18"/>
          <w:i w:val="1"/>
          <w:iCs w:val="1"/>
          <w:color w:val="auto"/>
        </w:rPr>
        <w:t>Note 4. Acquisitions and Divestitures</w:t>
      </w:r>
      <w:r>
        <w:rPr>
          <w:rFonts w:ascii="Times New Roman" w:cs="Times New Roman" w:eastAsia="Times New Roman" w:hAnsi="Times New Roman"/>
          <w:sz w:val="18"/>
          <w:szCs w:val="18"/>
          <w:color w:val="auto"/>
        </w:rPr>
        <w:t>, for details of new subsidiaries included in the consolidation.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accounting for business combinations; valuation of goodwill and intangible assets including estimated projected cash flows, discount rates, and estimated useful lives used to value and test goodwill and intangible assets for impairment; income taxes and valuation allowances recorded against deferred tax assets; valuation of stock-based compensation; valuation of derivative instruments; valuation of contingent liabilities; and fair value of debt instruments. These estimates are based on historical experience and on various other assumptions that are believed to be reasonable under the current circumstances. Actual results could differ from these estimates.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purchased with original maturities of three months or less to be cash equivalents. These investments are carried at cost, which approximates fair value.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had short-term investments, which primarily consisted of time deposits with original maturities between three months and one year. The short-term investments, which are valued based on Level 1 measurements in the fair value hierarchy, totaled approximately $27.2 million at December 31, 2024 compared to $32.7 million at December 31, 2023. Interest and dividends are recorded in income when earned.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ALLOWANCES FOR DOUBTFUL ACCOUNTS RECEIVABLE</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evaluates the collectability of accounts receivable based on a combination of factors. The Company recognizes a provision for doubtful accounts that reflects the Company’s estimate of expected credit losses for trade accounts receivable.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the Company evaluates measurement of all expected credit losses for trade receivables held at the reporting date based on historical experience, current conditions, and reasonable and supportable forecasts.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Company’s exposure to credit losses may increase if its customers are adversely affected by changes in healthcare laws, coverage and reimbursement, economic pressures or uncertainty associated with local or global economic recessions.</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to the allowances for doubtful accounts are recorded to selling, general and administrative expenses. Account balances are charged off against the allowance when it is probable that the receivable will not be recovered. Provision for doubtful accounts, net of recoveries, associated with accounts receivable, included in selling, general and administrative expense, were charges of $3.4 million for the year ended December 31, 2024, $3.0 million for the year ended December 31, 2023, and $0.2 million for the year ended December 31,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shows the roll forward of the allowance for doubtful accounts for the years ended December 31, 2024, 2023, and 2022:</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Charged to</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5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6"/>
                <w:szCs w:val="16"/>
                <w:b w:val="1"/>
                <w:bCs w:val="1"/>
                <w:color w:val="auto"/>
                <w:w w:val="99"/>
              </w:rPr>
              <w:t>Beginning of</w:t>
            </w: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Costs and</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Expenses</w:t>
            </w:r>
          </w:p>
        </w:tc>
        <w:tc>
          <w:tcPr>
            <w:tcW w:w="122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Ended:</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0" w:type="dxa"/>
            <w:vAlign w:val="bottom"/>
          </w:tcPr>
          <w:p>
            <w:pPr>
              <w:spacing w:after="0"/>
              <w:rPr>
                <w:sz w:val="1"/>
                <w:szCs w:val="1"/>
                <w:color w:val="auto"/>
              </w:rPr>
            </w:pPr>
          </w:p>
        </w:tc>
      </w:tr>
      <w:tr>
        <w:trPr>
          <w:trHeight w:val="21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right="1900"/>
        <w:spacing w:after="0" w:line="369" w:lineRule="auto"/>
        <w:rPr>
          <w:sz w:val="20"/>
          <w:szCs w:val="20"/>
          <w:color w:val="auto"/>
        </w:rPr>
      </w:pPr>
      <w:r>
        <w:rPr>
          <w:rFonts w:ascii="Times New Roman" w:cs="Times New Roman" w:eastAsia="Times New Roman" w:hAnsi="Times New Roman"/>
          <w:sz w:val="18"/>
          <w:szCs w:val="18"/>
          <w:color w:val="auto"/>
        </w:rPr>
        <w:t xml:space="preserve">Deductions primarily relates to allowance for doubtful accounts written off during the year, net of recoveries and other adjustments. </w:t>
      </w:r>
      <w:r>
        <w:rPr>
          <w:rFonts w:ascii="Times New Roman" w:cs="Times New Roman" w:eastAsia="Times New Roman" w:hAnsi="Times New Roman"/>
          <w:sz w:val="18"/>
          <w:szCs w:val="18"/>
          <w:b w:val="1"/>
          <w:bCs w:val="1"/>
          <w:i w:val="1"/>
          <w:iCs w:val="1"/>
          <w:color w:val="auto"/>
        </w:rPr>
        <w:t>INVENTORIES</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Inventories, consisting of purchased materials, direct labor and manufacturing overhead, are stated at the lower of cost, the value determined by the first-in, first-out method, or net realizable value. Inventories consisted of the following:</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223,729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196,402</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74,035</w:t>
            </w:r>
          </w:p>
        </w:tc>
      </w:tr>
      <w:tr>
        <w:trPr>
          <w:trHeight w:val="21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125,938</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119,171</w:t>
            </w:r>
          </w:p>
        </w:tc>
      </w:tr>
      <w:tr>
        <w:trPr>
          <w:trHeight w:val="206"/>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429,090</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389,608</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each balance sheet date, the Company evaluates inventories for excess quantities, obsolescence or shelf life expiration. This evaluation includes analysis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inventory costs associated with certain products prior to regulatory approval, based on management’s judgment of probable economic benefit.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2024 or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Property, plant and equipment are stated at historical cost less accumulated depreciation and any impairment charges.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 The cost of computer software developed or obtained for internal use is accounted for in accordance with FASB Topic 350-40,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(“ASC 350-40”)</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balances and corresponding lives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Useful Lives</w:t>
            </w:r>
          </w:p>
        </w:tc>
      </w:tr>
      <w:tr>
        <w:trPr>
          <w:trHeight w:val="20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building improvements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14,859</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 years</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171,062</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years</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202,023</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 years</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Information systems and hardware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160,899</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years</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fixtures, and office equipment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20,549</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years</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Construction-in-progress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196,630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137,276</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4"/>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802,646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707,646</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r>
      <w:tr>
        <w:trPr>
          <w:trHeight w:val="20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(396,923)</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(367,447)</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405,723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340,199</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Depreciation expense associated with property, plant and equipment was $42.4 million, $40.9 million, and $40.1 million for the years ended December 31, 2024, 2023, and 2022,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interest cost on capital projects, including facilities build-out and internal use software, is capitalized and included in the cost of the project. Capitalization commences with the first expenditure for the project and continues until the project is substantially complete and ready for its intended use. When no debt is incurred specifically for a project, interest is capitalized on project expenditures using the weighted average cost of the Company’s outstanding borrowings. For the years ended December 31, 2024 and 2023, respectively, the Company capitalized $4.5 million and $2.4 million of interest expense into property, plant and equipment.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the acquisition of a business in accordance with FASB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Amounts paid to acquire a business are allocated to the assets acquired and liabilities assumed based on their respective estimated fair values as of the date of acquisition in accordance with the fair value hierarchy described in FASB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Any excess of the purchase price over the fair value of the net assets acquired is recorded as goodwill. Transaction costs and costs to restructure the acquired company are expensed as incurred. Results of operations of acquired companies are included in the Company’s results of operations as of the respective acquisition dates.</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Contingent consideration is recorded at fair value as measured on the date of acquisition. The value recorded is based on estimates of future financial projections under various potential scenarios using either a Monte Carlo simulation or the probability-weighted income approach derived from revenue estimates and probability assessment with respect to the likelihood of achieving contingent obligations. Contingent payments related to acquisitions consist of development, regulatory, and commercial milestone payments, in addition to sales-based payments, and are valued using discounted cash flow techniques. Each quarter until such contingent amounts are earned, the fair value of the liability is remeasured at each reporting period and adjusted as a component of operating expenses based on changes to the underlying assumptions. The change in the fair value of sales-based payments is based upon future revenue estimates and increases or decreases as revenue estimates or expectation of timing of payment charges. The estimates used to determine the fair value of the contingent consideration liability are subject to significant judgment and actual results are likely to differ from the amounts originally recorded.</w:t>
      </w:r>
    </w:p>
    <w:p>
      <w:pPr>
        <w:spacing w:after="0" w:line="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determines the fair value of acquired intangible assets based on detailed valuations that use certain information and assumptions provided by management. Determining the fair value of these intangible assets acquired as part of a business combination requires the Company to make significant estimates. These estimates include the estimated annual net cash flows including application of forecasted revenue growth rates, cost of sales, the discount rate that appropriately reflects the risk inherent in each future cash flow stream, the obsolescence curve, and an assessment of the asset’s life cycle, as well as other factors such as the consideration of legal, technical, regulatory, economic, and competitive risks. The fair value assigned to acquired intangible assets is determined by estimating the future cash flows of each project or technology and discounting the net cash flows back to their present values. The discount rate used is determined at the time of measurement in accordance with accepted valuation methodologies.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In-process research and development (“IPR&amp;D”) acquired in connection with the acquisition of a business in accordance with ASC 805 is initially recognized at fair value and characterized as an indefinite-lived intangible asset, irrespective of whether the acquired IPR&amp;D has an alternative future use. The Company uses the income approach to determine the fair value of developed technology and IPR&amp;D acquired in a business combination. This approach determines fair value by estimating the after-tax cash flows attributable to the respective asset over its useful life and then discounting these after-tax cash flows back to a present value. Some of the more significant assumptions inherent in the development of those asset valuations include the estimated net cash flows for each year for each product including net revenues, cost of sales, research and development costs, selling and marketing costs, general and administrative costs, the appropriate discount rate to select in order to measure the risk inherent in each future cash flow stream, the assessment of each asset’s life cycle, and competitive trends impacting the asset and each cash flow stream.</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Research and development costs incurred after the acquisition are expensed as incurred. Upon receipt of regulatory approval, the indefinite-lived intangible asset is then accounted for as a finite-lived intangible asset and amortized on a straight-line basis or accelerated basis, as appropriate, over its estimated useful life. If the project is subsequently abandoned, the indefinite-lived intangible asset is charged to expense.</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uncertainty associated with research and development projects, there are risks that actual results will differ materially from the original cash flow projections or that the research and development project will not result in a successful commercial product. The risks associated with achieving commercialization include, but are not limited to, delay or failure to obtain regulatory approvals to conduct clinical trials, delay or failure to obtain required market clearances, delays or issues with patent issuance, or validity and litigation.</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acquired net assets do not constitute a business under the acquisition method of accounting, the transaction is accounted for as an asset acquisition and no goodwill is recognized. In an asset acquisition, the amount allocated to acquired IPR&amp;D with no alternative future use is charged to expense at the acquisition date. Payments that would be recognized as contingent consideration in a business combination are recognized when probable in an asset acquisition.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4. Acquisitions and Divestitures</w:t>
      </w:r>
      <w:r>
        <w:rPr>
          <w:rFonts w:ascii="Times New Roman" w:cs="Times New Roman" w:eastAsia="Times New Roman" w:hAnsi="Times New Roman"/>
          <w:sz w:val="18"/>
          <w:szCs w:val="18"/>
          <w:color w:val="auto"/>
        </w:rPr>
        <w:t xml:space="preserve"> for more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excess of the cost over the fair value of net assets of acquired businesses is recorded as goodwill. In accordance with FASB Topic 350, </w:t>
      </w:r>
      <w:r>
        <w:rPr>
          <w:rFonts w:ascii="Times New Roman" w:cs="Times New Roman" w:eastAsia="Times New Roman" w:hAnsi="Times New Roman"/>
          <w:sz w:val="17"/>
          <w:szCs w:val="17"/>
          <w:i w:val="1"/>
          <w:iCs w:val="1"/>
          <w:color w:val="auto"/>
        </w:rPr>
        <w:t>Intangibles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Goodwill and Other </w:t>
      </w:r>
      <w:r>
        <w:rPr>
          <w:rFonts w:ascii="Times New Roman" w:cs="Times New Roman" w:eastAsia="Times New Roman" w:hAnsi="Times New Roman"/>
          <w:sz w:val="17"/>
          <w:szCs w:val="17"/>
          <w:color w:val="auto"/>
        </w:rPr>
        <w:t>(“ASC 350”), goodwill is not subject to amortization but is tested for impairment at the reporting unit level annually in the third quarter.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Additionally, the Company may perform interim tests of goodwill for impairment if an event occurs or circumstances change that could potentially reduce the fair value of a reporting unit below its carrying amount. The carrying value of each reporting unit is determined by assigning the assets and liabilities, including the existing goodwill and intangible assets, to those reporting units. Refer to </w:t>
      </w:r>
      <w:r>
        <w:rPr>
          <w:rFonts w:ascii="Times New Roman" w:cs="Times New Roman" w:eastAsia="Times New Roman" w:hAnsi="Times New Roman"/>
          <w:sz w:val="17"/>
          <w:szCs w:val="17"/>
          <w:i w:val="1"/>
          <w:iCs w:val="1"/>
          <w:color w:val="auto"/>
        </w:rPr>
        <w:t>Note 7. Goodwill and Other Intangibles</w:t>
      </w:r>
      <w:r>
        <w:rPr>
          <w:rFonts w:ascii="Times New Roman" w:cs="Times New Roman" w:eastAsia="Times New Roman" w:hAnsi="Times New Roman"/>
          <w:sz w:val="17"/>
          <w:szCs w:val="17"/>
          <w:color w:val="auto"/>
        </w:rPr>
        <w:t xml:space="preserve"> for more information.</w:t>
      </w:r>
    </w:p>
    <w:p>
      <w:pPr>
        <w:spacing w:after="0" w:line="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Company has two reportable segments with three underlying reporting units. Refer to </w:t>
      </w:r>
      <w:r>
        <w:rPr>
          <w:rFonts w:ascii="Times New Roman" w:cs="Times New Roman" w:eastAsia="Times New Roman" w:hAnsi="Times New Roman"/>
          <w:sz w:val="18"/>
          <w:szCs w:val="18"/>
          <w:i w:val="1"/>
          <w:iCs w:val="1"/>
          <w:color w:val="auto"/>
        </w:rPr>
        <w:t>Note 16. Segment and Geographic Information</w:t>
      </w:r>
      <w:r>
        <w:rPr>
          <w:rFonts w:ascii="Times New Roman" w:cs="Times New Roman" w:eastAsia="Times New Roman" w:hAnsi="Times New Roman"/>
          <w:sz w:val="18"/>
          <w:szCs w:val="18"/>
          <w:color w:val="auto"/>
        </w:rPr>
        <w:t xml:space="preserve"> for more information on reportable segments.</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intangible assets include patents, trademarks, purchased technology, and supplier and customer relationships. Identifiable intangible assets are initially recorded at fair market value at the time of acquisition generally using an income or cost approach. Developed technologies and other definite-lived intangible assets are amortized over their estimated useful lives either using the straight-line method or, if reliably determinable, based on the pattern of which the economic benefit of the asset is expected to be utilized. The Company capitalizes costs incurred to renew or extend the term of recognized intangible assets, if applicable, and amortizes those costs over their expected useful lives.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accordance with ASC 350, the Company tests its indefinite-lived intangible assets for impairment annually in the third quarter. Additionally, the Company may perform interim tests if an event occurs or circumstances change that could potentially reduce the fair value of an indefinite lived intangible asset below its carrying amount. The Company tests indefinite-lived intangible assets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 The quantitative test uses an income approach to determine the fair value of the indefinite-lived intangible asset. The income approach utilizes the estimated discounted cash flows for the indefinite-lived intangible asset. Estimates and assumptions used in the income approach to calculate projected future discounted cash flows included revenue growth rates, cost of sales, terminal growth rate, and a discount rate for each indefinite-lived intangible asset. Discount rates are determined using a weighted average cost of capital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 The assumptions used are inherently subject to uncertainty and slight changes in these assumptions could have a significant impact on the concluded value. The estimates and assumptions applied represent a Level 3 measurement in the fair value hierarchy described in ASC 820. Level 3 inputs are supported by limited or no market activity and reflect the Company’s assumptions in measuring fair value.</w:t>
      </w:r>
    </w:p>
    <w:p>
      <w:pPr>
        <w:spacing w:after="0" w:line="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Developed technologies and other definite-lived intangible assets are amortized over their estimated useful lives either using the straight-line method or, if reliably determinable, based on the pattern of which the economic benefit of the asset is expected to be utilized. Definite-lived intangible assets tested periodically for impairment in accordance with FASB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 when events or changes in circumstances indicate that an asset’s carrying value may not be recoverable. The evaluation for recoverability involves comparing the carrying amount of the definite-lived intangible asset to the Company’s expectations of the future undiscounted cash flows derived from the definite-lived intangible asset. In the event the carrying value of the definite-lived intangible asset exceeds the undiscounted future cash flows expected to be derived from the definite-lived intangible asset over its remaining estimated useful life, the definite-lived intangible asset is considered not recoverable and the definite-lived intangible asset is tested for impairment. An impairment loss is measured as the excess of the asset’s carrying value over its fair value, calculated using discounted future cash flows. The computed impairment loss is recognized in the period that the impairment occurs.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7. Goodwill and Other Intangibles</w:t>
      </w:r>
      <w:r>
        <w:rPr>
          <w:rFonts w:ascii="Times New Roman" w:cs="Times New Roman" w:eastAsia="Times New Roman" w:hAnsi="Times New Roman"/>
          <w:sz w:val="18"/>
          <w:szCs w:val="18"/>
          <w:color w:val="auto"/>
        </w:rPr>
        <w:t xml:space="preserve"> for more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Long-lived assets held and used by the Company, including property, plant and equipment, intangible assets, and lease right-of-use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 FOUNDATION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$0.3 million to the Integra Foundation in 2024, which was recorded in selling, general, and administrative expenses. The Company made no contributions to the Integra Foundation in 2023 and 2022.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From time to time, the Company may enter into derivatives that are not designated as hedging instruments in order to protect itself from currency volatility due to intercompany balances.</w:t>
      </w:r>
    </w:p>
    <w:p>
      <w:pPr>
        <w:spacing w:after="0" w:line="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All derivative instruments are recognized at their fair values as either assets or liabilities on the balance sheet. The Company determines the fair value of its derivative instruments using the fair value hierarchy described in ASC 820,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designated as hedges in the same category as the item being hedged for cash flow presentation purposes.</w:t>
      </w:r>
    </w:p>
    <w:p>
      <w:pPr>
        <w:spacing w:after="0" w:line="6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The Company entered into foreign currency forward and foreign currency swap contracts that are not designated as hedging instruments for accounting purposes. These contracts are recorded at fair value, with the changes in fair value recognized into other income, net, on the consolidated financial statements.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6. Derivative Instruments</w:t>
      </w:r>
      <w:r>
        <w:rPr>
          <w:rFonts w:ascii="Times New Roman" w:cs="Times New Roman" w:eastAsia="Times New Roman" w:hAnsi="Times New Roman"/>
          <w:sz w:val="18"/>
          <w:szCs w:val="18"/>
          <w:color w:val="auto"/>
        </w:rPr>
        <w:t xml:space="preserve"> for more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net losses of $2.3 million, net losses of $4.4 million, and net gains of $3.3 million are reported in other income, net in the statements of operations, for the year ended December 31, 2024, 2023, and 2022,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by using the asset and liability method.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unless the reserves are expected to be paid in cash during the next twelve months, in which case they are classified as current liabilities. The Company also records interest and penalties accrued in relation to uncertain tax benefits as a component of income tax expense.</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While the Company believes it has identified all reasonable exposures and the reserve it has established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continues to indefinitely reinvest substantially all of its foreign earnings unless there is a manner under which to remit the earnings without a material tax cost. The current provisional analysis indicates that the Company has sufficient U.S. liquidity, including borrowing capacity, to fund foreseeable U.S. cash needs, including potential repayment of the 2025 Notes, without requiring the repatriation of foreign cash. One time or unusual items that may impact the ability or intent to keep the foreign earnings and cash indefinitely reinvested include significant U.S. acquisitions, loans from a foreign subsidiary and changes in tax laws.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 Income Taxes</w:t>
      </w:r>
      <w:r>
        <w:rPr>
          <w:rFonts w:ascii="Times New Roman" w:cs="Times New Roman" w:eastAsia="Times New Roman" w:hAnsi="Times New Roman"/>
          <w:sz w:val="18"/>
          <w:szCs w:val="18"/>
          <w:color w:val="auto"/>
        </w:rPr>
        <w:t xml:space="preserve"> for more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Revenue is recognized upon the transfer of control of promised products or services to the customers in an amount that reflects the consideration the Company expects to receive in exchange for those products and services in accordance with FASB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net, includes product sales, product royalties and other revenues, such as fees received from services.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month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30 days after the invoice date. The Company performs a review of each specific customer’s creditworthiness and ability to pay prior to acceptance as a customer. Further, the Company performs periodic reviews of its customers’ creditworthiness prospectively.</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also maintains a provision for estimated returns and allowances in the same period that the related revenue is recorded. This reserve is based upon an analysis of actual credit memos issued for pricing issues or returned goods over an extended period, as well as assumptions about outstanding accounts receivable and judgment in interpreting the data.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3. Revenue from Contracts with Customers</w:t>
      </w:r>
      <w:r>
        <w:rPr>
          <w:rFonts w:ascii="Times New Roman" w:cs="Times New Roman" w:eastAsia="Times New Roman" w:hAnsi="Times New Roman"/>
          <w:sz w:val="18"/>
          <w:szCs w:val="18"/>
          <w:color w:val="auto"/>
        </w:rPr>
        <w:t xml:space="preserve"> for more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BENEFITS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does not have a written severance plan, but has a history of providing benefits for employees in the case of involuntary termination. In situations outside the U.S., there are minimum statutory termination benefits requirements by country that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situations where the Company pays out termination benefits in excess of statutory minimum amounts based on management’s discretion, the Company records these termination costs once communication is made to the affected employees.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incurred employee termination costs on restructuring activities in the consolidated statement of operations for the years ended December 31, 2024 and 2023. The following table summarizes the restructuring related accrual balances included within accrued expenses and other current liabilities in the consolidated balance sheet for the years ended December 31, 2024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380" w:type="dxa"/>
            <w:vAlign w:val="bottom"/>
            <w:tcBorders>
              <w:bottom w:val="single" w:sz="8" w:color="auto"/>
            </w:tcBorders>
          </w:tcPr>
          <w:p>
            <w:pPr>
              <w:spacing w:after="0"/>
              <w:rPr>
                <w:sz w:val="18"/>
                <w:szCs w:val="18"/>
                <w:color w:val="auto"/>
              </w:rPr>
            </w:pPr>
          </w:p>
        </w:tc>
      </w:tr>
      <w:tr>
        <w:trPr>
          <w:trHeight w:val="207"/>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year</w:t>
            </w:r>
          </w:p>
        </w:tc>
        <w:tc>
          <w:tcPr>
            <w:tcW w:w="5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w:t>
            </w: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Goods Sold</w:t>
            </w:r>
          </w:p>
        </w:tc>
        <w:tc>
          <w:tcPr>
            <w:tcW w:w="5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21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 and other adjustments</w:t>
            </w: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(4,042)</w:t>
            </w: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the year</w:t>
            </w: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Relevant authoritative guidance requires companies to recognize the expense related to the fair value of their stock-based compensation awards. Stock-based compensation expense for stock option awards are based on the grant date fair value using the binomial distribution model. The Company recognizes compensation expense for stock option awards, restricted stock awards, performance stock awards and contract stock awards over the requisite service period of the award. All excess tax benefits and tax deficiencies from stock-based compensation are included in the provision for income taxes in the consolidated statement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9. Stock Based Compensation</w:t>
      </w:r>
      <w:r>
        <w:rPr>
          <w:rFonts w:ascii="Times New Roman" w:cs="Times New Roman" w:eastAsia="Times New Roman" w:hAnsi="Times New Roman"/>
          <w:sz w:val="18"/>
          <w:szCs w:val="18"/>
          <w:color w:val="auto"/>
        </w:rPr>
        <w:t xml:space="preserve"> for more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 PLANS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maintains defined benefit pension plans that cover certain employees in France, Japan, Germany, India, and Switzerland.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Company uses the corridor approach in measuring the amount of net periodic benefit pension cost to recognize each period. The corridor approach defers all actuarial gains and losses resulting from variances between actual results and actuarial assumptions. Those unrecognized gains and losses are amortized when the net gains and losses exceed 10% of the greater of the market-related value of plan assets or the projected benefit obligation at the beginning of the year. The amount in excess of the corridor is amortized over the average remaining service period to retirement date of active plan participants.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deferred compensation is invested in funds offered under the Plan and is valued based on Level 1 measurements in the fair value hierarchy. The purpose of the plan is to retain key employees by providing them with an opportunity to defer a portion of their compensation as elected by the participant in accordance with the plan. Any amounts set aside to defray the liabilities assumed by the Company will remain the general assets of the Company until such amounts are distributed to the participants. Assets of the Company’s deferred compensation plan are included in Other current assets and recorded at fair value based on their quoted market prices.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10. Retirement Benefit Plans</w:t>
      </w:r>
      <w:r>
        <w:rPr>
          <w:rFonts w:ascii="Times New Roman" w:cs="Times New Roman" w:eastAsia="Times New Roman" w:hAnsi="Times New Roman"/>
          <w:sz w:val="18"/>
          <w:szCs w:val="18"/>
          <w:color w:val="auto"/>
        </w:rPr>
        <w:t xml:space="preserve"> for more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w:t>
      </w:r>
    </w:p>
    <w:p>
      <w:pPr>
        <w:spacing w:after="0" w:line="71" w:lineRule="exact"/>
        <w:rPr>
          <w:sz w:val="20"/>
          <w:szCs w:val="20"/>
          <w:color w:val="auto"/>
        </w:rPr>
      </w:pPr>
    </w:p>
    <w:p>
      <w:pPr>
        <w:ind w:right="280"/>
        <w:spacing w:after="0" w:line="368" w:lineRule="auto"/>
        <w:rPr>
          <w:sz w:val="20"/>
          <w:szCs w:val="20"/>
          <w:color w:val="auto"/>
        </w:rPr>
      </w:pPr>
      <w:r>
        <w:rPr>
          <w:rFonts w:ascii="Times New Roman" w:cs="Times New Roman" w:eastAsia="Times New Roman" w:hAnsi="Times New Roman"/>
          <w:sz w:val="18"/>
          <w:szCs w:val="18"/>
          <w:color w:val="auto"/>
        </w:rPr>
        <w:t xml:space="preserve">None of the Company’s customers accounted for 10% or more of the consolidated net sales during the years ended December 31, 2024, 2023, and 2022 . </w:t>
      </w:r>
      <w:r>
        <w:rPr>
          <w:rFonts w:ascii="Times New Roman" w:cs="Times New Roman" w:eastAsia="Times New Roman" w:hAnsi="Times New Roman"/>
          <w:sz w:val="18"/>
          <w:szCs w:val="18"/>
          <w:b w:val="1"/>
          <w:bCs w:val="1"/>
          <w:i w:val="1"/>
          <w:iCs w:val="1"/>
          <w:color w:val="auto"/>
        </w:rPr>
        <w:t>RECENT ACCOUNTING PRONOUNCEMENTS</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ASU 2020-04, </w:t>
      </w:r>
      <w:r>
        <w:rPr>
          <w:rFonts w:ascii="Times New Roman" w:cs="Times New Roman" w:eastAsia="Times New Roman" w:hAnsi="Times New Roman"/>
          <w:sz w:val="18"/>
          <w:szCs w:val="18"/>
          <w:i w:val="1"/>
          <w:iCs w:val="1"/>
          <w:color w:val="auto"/>
        </w:rPr>
        <w:t>Reference Rate Reform (Topic 848): Facilitation of the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 Rate Reform on Financial Reporting</w:t>
      </w:r>
      <w:r>
        <w:rPr>
          <w:rFonts w:ascii="Times New Roman" w:cs="Times New Roman" w:eastAsia="Times New Roman" w:hAnsi="Times New Roman"/>
          <w:sz w:val="18"/>
          <w:szCs w:val="18"/>
          <w:color w:val="auto"/>
        </w:rPr>
        <w:t>, and, in January 2021, subsequently amended the initial guidance in ASU 2021-01,</w:t>
      </w:r>
      <w:r>
        <w:rPr>
          <w:rFonts w:ascii="Times New Roman" w:cs="Times New Roman" w:eastAsia="Times New Roman" w:hAnsi="Times New Roman"/>
          <w:sz w:val="18"/>
          <w:szCs w:val="18"/>
          <w:i w:val="1"/>
          <w:iCs w:val="1"/>
          <w:color w:val="auto"/>
        </w:rPr>
        <w:t xml:space="preserve"> Reference Rate Reform (Topic 848): Scope </w:t>
      </w:r>
      <w:r>
        <w:rPr>
          <w:rFonts w:ascii="Times New Roman" w:cs="Times New Roman" w:eastAsia="Times New Roman" w:hAnsi="Times New Roman"/>
          <w:sz w:val="18"/>
          <w:szCs w:val="18"/>
          <w:color w:val="auto"/>
        </w:rPr>
        <w:t>(collectively, “Topic 848”). Topic 848 provides optional expedients and exceptions for applying GAAP to contracts, hedging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In December 2022, the FASB issued ASU 2022-06</w:t>
      </w:r>
      <w:r>
        <w:rPr>
          <w:rFonts w:ascii="Times New Roman" w:cs="Times New Roman" w:eastAsia="Times New Roman" w:hAnsi="Times New Roman"/>
          <w:sz w:val="18"/>
          <w:szCs w:val="18"/>
          <w:i w:val="1"/>
          <w:iCs w:val="1"/>
          <w:color w:val="auto"/>
        </w:rPr>
        <w:t>, Reference Rate Reform (Topic 848): Deferral of the Sunset Date of Topic 848</w:t>
      </w:r>
      <w:r>
        <w:rPr>
          <w:rFonts w:ascii="Times New Roman" w:cs="Times New Roman" w:eastAsia="Times New Roman" w:hAnsi="Times New Roman"/>
          <w:sz w:val="18"/>
          <w:szCs w:val="18"/>
          <w:color w:val="auto"/>
        </w:rPr>
        <w:t xml:space="preserve">, which delayed the effective date from December 31, 2022 to December 31, 2024. The Alternative Reference Rates Committee, a group of private-market participants convened by the U.S. Federal Reserve Board and the New York Federal Reserve, has recommended the use of the Secured Overnight Financing Rate (“SOFR”) as a more robust reference rate alternative to LIBOR. On March 24, 2023, the Company entered into the seventh amendment and restatement (the “March 2023 Amendment”) of its Senior Credit Facility (the “Senior Credit Facility”) with a syndicate of lending banks with Bank of America, N.A., as Administrative Agent. In connection with the March 2023 Amendment, the Company replaced all LIBOR-based contracts with SOFR, which is calculated based on overnight transactions under repurchase agreements backed by Treasury securities. In addition, on April 17, 2023 the Company entered into an amendment (the “April 2023 Amendment”) of the Securitization Facility (as defined below) and amended the interest rate from LIBOR to a SOFR-indexed rate. (See </w:t>
      </w:r>
      <w:r>
        <w:rPr>
          <w:rFonts w:ascii="Times New Roman" w:cs="Times New Roman" w:eastAsia="Times New Roman" w:hAnsi="Times New Roman"/>
          <w:sz w:val="18"/>
          <w:szCs w:val="18"/>
          <w:i w:val="1"/>
          <w:iCs w:val="1"/>
          <w:color w:val="auto"/>
        </w:rPr>
        <w:t>Note 5. Debt</w:t>
      </w:r>
      <w:r>
        <w:rPr>
          <w:rFonts w:ascii="Times New Roman" w:cs="Times New Roman" w:eastAsia="Times New Roman" w:hAnsi="Times New Roman"/>
          <w:sz w:val="18"/>
          <w:szCs w:val="18"/>
          <w:color w:val="auto"/>
        </w:rPr>
        <w:t>). In March 2023, the Company entered into a basis swap where the Company receives Term SOFR and pays daily compounded SOFR to convert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portfolio of swaps from daily compounded SOFR to term SOFR. The Company has elected to adopt the optional expedient under Topic 848, which will allow the interest rate swap hedging relationship to continue, without de-designation, due to the change in the indexed rate from LIBOR to SOFR. The adoption of this guidance did not have a material impact on the consolidated financial statements.</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enhances the transparency of income tax disclosures by expanding annual disclosure requirements related to the rate reconciliation and income taxes paid. The amendments are effective for fiscal years beginning after December 15, 2024. Early adoption is permitted. The amendments should be applied retrospectively to all prior periods presented in the financial statements. The Company does not plan to early adopt and is currently evaluating ASU 2023-09 to determine its impact on the Company’s future disclosures.</w:t>
      </w:r>
    </w:p>
    <w:p>
      <w:pPr>
        <w:spacing w:after="0" w:line="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adopted ASU 2023-07 as of December 31, 2024 on a retrospective basis to all prior periods presented. The adoption did not have a material impact on the Company’s consolidated financial statements.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requires additional disclosure of the nature of expenses included in the income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We are currently evaluating the impact that the adoption of this guidance will have on our disclosures.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 OF CASH FLOW INFORMATION</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paid for interest during the years ended December 31, 2024, 2023, and 2022 was $64.4 million (net of $4.5 million that was capitalized into construction in progress), $44.3 million (net of $2.4 million that was capitalized into construction in progress), and $42.2 million (net of $1.4 million that was capitalized into construction in progress), respectively.</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Cash paid for income taxes, net of refunds, for the years ended December 31, 2024, 2023, and 2022 were $22.7 million, $23.6 million, and $35.9 million,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AND FINANCING ACTIVITIES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Property and equipment purchases included in liabilities at December 31, 2024, 2023, and 2022 were $12.3 million, $10.0 million, and $10.5 million,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Definite-lived intangible asset purchases included in liabilities at December 31, 2024 were $32.7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 FROM CONTRACTS WITH CUSTOMERS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Accounting Policies on Revenue Recognition</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performance obligations consist mainly of transferring control of goods and services identified in the contracts, purchase orders, or invoices.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significant multi-element contracts with customers.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Estimates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 Upon invoicing to the customer, the balance is recorded in trade receivable, net in the consolidated balance sheet.</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a contract liability.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summarized the changes in the contract asset and liability balances for the year ended December 31, 2024:</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5"/>
        </w:trPr>
        <w:tc>
          <w:tcPr>
            <w:tcW w:w="8980" w:type="dxa"/>
            <w:vAlign w:val="bottom"/>
            <w:tcBorders>
              <w:left w:val="single" w:sz="8" w:color="CCEEFF"/>
            </w:tcBorders>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Contract Asset</w:t>
            </w:r>
          </w:p>
        </w:tc>
        <w:tc>
          <w:tcPr>
            <w:tcW w:w="5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40"/>
        </w:trPr>
        <w:tc>
          <w:tcPr>
            <w:tcW w:w="960" w:type="dxa"/>
            <w:vAlign w:val="bottom"/>
            <w:tcBorders>
              <w:left w:val="single" w:sz="8" w:color="CCEEFF"/>
            </w:tcBorders>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8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r>
      <w:tr>
        <w:trPr>
          <w:trHeight w:val="210"/>
        </w:trPr>
        <w:tc>
          <w:tcPr>
            <w:tcW w:w="89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Contract asset, January 1, 2024</w:t>
            </w:r>
          </w:p>
        </w:tc>
        <w:tc>
          <w:tcPr>
            <w:tcW w:w="50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9,233</w:t>
            </w:r>
          </w:p>
        </w:tc>
      </w:tr>
      <w:tr>
        <w:trPr>
          <w:trHeight w:val="215"/>
        </w:trPr>
        <w:tc>
          <w:tcPr>
            <w:tcW w:w="8980" w:type="dxa"/>
            <w:vAlign w:val="bottom"/>
            <w:tcBorders>
              <w:left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Transferred to trade receivable from contract asset included in beginning of the year contract asset</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(9,233)</w:t>
            </w:r>
          </w:p>
        </w:tc>
      </w:tr>
      <w:tr>
        <w:trPr>
          <w:trHeight w:val="210"/>
        </w:trPr>
        <w:tc>
          <w:tcPr>
            <w:tcW w:w="898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Contract asset, net of transferred to trade receivables on contracts during the period</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6,146</w:t>
            </w:r>
          </w:p>
        </w:tc>
      </w:tr>
      <w:tr>
        <w:trPr>
          <w:trHeight w:val="233"/>
        </w:trPr>
        <w:tc>
          <w:tcPr>
            <w:tcW w:w="898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asset, December 31, 2024</w:t>
            </w: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73"/>
        </w:trPr>
        <w:tc>
          <w:tcPr>
            <w:tcW w:w="8980" w:type="dxa"/>
            <w:vAlign w:val="bottom"/>
            <w:tcBorders>
              <w:left w:val="single" w:sz="8" w:color="CCEEFF"/>
            </w:tcBorders>
            <w:gridSpan w:val="3"/>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Contract Liability</w:t>
            </w:r>
          </w:p>
        </w:tc>
        <w:tc>
          <w:tcPr>
            <w:tcW w:w="5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40"/>
        </w:trPr>
        <w:tc>
          <w:tcPr>
            <w:tcW w:w="960" w:type="dxa"/>
            <w:vAlign w:val="bottom"/>
            <w:tcBorders>
              <w:left w:val="single" w:sz="8" w:color="CCEEFF"/>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8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r>
      <w:tr>
        <w:trPr>
          <w:trHeight w:val="210"/>
        </w:trPr>
        <w:tc>
          <w:tcPr>
            <w:tcW w:w="89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Contract liability, January 1, 2024</w:t>
            </w:r>
          </w:p>
        </w:tc>
        <w:tc>
          <w:tcPr>
            <w:tcW w:w="50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16,252</w:t>
            </w:r>
          </w:p>
        </w:tc>
      </w:tr>
      <w:tr>
        <w:trPr>
          <w:trHeight w:val="215"/>
        </w:trPr>
        <w:tc>
          <w:tcPr>
            <w:tcW w:w="8980" w:type="dxa"/>
            <w:vAlign w:val="bottom"/>
            <w:tcBorders>
              <w:left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Recognition of revenue included in beginning of year contract liability</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w:t>
            </w:r>
          </w:p>
        </w:tc>
      </w:tr>
      <w:tr>
        <w:trPr>
          <w:trHeight w:val="210"/>
        </w:trPr>
        <w:tc>
          <w:tcPr>
            <w:tcW w:w="89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Contract liability, acquired with Acclarent</w:t>
            </w: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w:t>
            </w:r>
          </w:p>
        </w:tc>
      </w:tr>
      <w:tr>
        <w:trPr>
          <w:trHeight w:val="215"/>
        </w:trPr>
        <w:tc>
          <w:tcPr>
            <w:tcW w:w="8980" w:type="dxa"/>
            <w:vAlign w:val="bottom"/>
            <w:tcBorders>
              <w:left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Contract liability, net of revenue recognized on contracts during the period</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9,874</w:t>
            </w:r>
          </w:p>
        </w:tc>
      </w:tr>
      <w:tr>
        <w:trPr>
          <w:trHeight w:val="210"/>
        </w:trPr>
        <w:tc>
          <w:tcPr>
            <w:tcW w:w="898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33"/>
        </w:trPr>
        <w:tc>
          <w:tcPr>
            <w:tcW w:w="8980" w:type="dxa"/>
            <w:vAlign w:val="bottom"/>
            <w:tcBorders>
              <w:left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liability, December 31, 2024</w:t>
            </w: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19,669</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2024, the short-term portion of the contract liability of $10.5 million and the long-term portion of $9.2 million is included in current liabilities and other liabilities, respectively, in the consolidated balance sheet.</w:t>
      </w:r>
    </w:p>
    <w:p>
      <w:pPr>
        <w:spacing w:after="0" w:line="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2024, the Company is expected to recognize revenue from unsatisfied or partially satisfied performance obligations of approximately $10.5 million in 2025, $5.1 million in 2026, $2.9 million in 2027, $0.8 million in 2028, $0.2 million in 2029, and $0.1 million thereafter.</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Fees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Company’s medical devices, including monitoring, ENT navigation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Collected from Customers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1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of revenues for years-ended December 31, 2024, 2023, and 2022 (dollar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47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Year Ended December Year Ended December Year Ended December</w:t>
            </w:r>
          </w:p>
        </w:tc>
      </w:tr>
      <w:tr>
        <w:trPr>
          <w:trHeight w:val="211"/>
        </w:trPr>
        <w:tc>
          <w:tcPr>
            <w:tcW w:w="6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31, 2022</w:t>
            </w:r>
          </w:p>
        </w:tc>
      </w:tr>
      <w:tr>
        <w:trPr>
          <w:trHeight w:val="20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Neurosurgery</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803,816</w:t>
            </w:r>
          </w:p>
        </w:tc>
        <w:tc>
          <w:tcPr>
            <w:tcW w:w="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818,101</w:t>
            </w:r>
          </w:p>
        </w:tc>
        <w:tc>
          <w:tcPr>
            <w:tcW w:w="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794,017</w:t>
            </w: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204,177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203,617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192,679</w:t>
            </w:r>
          </w:p>
        </w:tc>
      </w:tr>
      <w:tr>
        <w:trPr>
          <w:trHeight w:val="215"/>
        </w:trPr>
        <w:tc>
          <w:tcPr>
            <w:tcW w:w="654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24"/>
                <w:szCs w:val="24"/>
                <w:color w:val="auto"/>
                <w:vertAlign w:val="subscript"/>
              </w:rPr>
              <w:t>ENT</w:t>
            </w:r>
            <w:r>
              <w:rPr>
                <w:rFonts w:ascii="Times New Roman" w:cs="Times New Roman" w:eastAsia="Times New Roman" w:hAnsi="Times New Roman"/>
                <w:sz w:val="9"/>
                <w:szCs w:val="9"/>
                <w:color w:val="auto"/>
              </w:rPr>
              <w:t>(1)(2)</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135,643</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37,275</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32,868</w:t>
            </w:r>
          </w:p>
        </w:tc>
      </w:tr>
      <w:tr>
        <w:trPr>
          <w:trHeight w:val="204"/>
        </w:trPr>
        <w:tc>
          <w:tcPr>
            <w:tcW w:w="6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Codman Specialty Surgical</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1,143,636</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1,058,993</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1,019,564</w:t>
            </w:r>
          </w:p>
        </w:tc>
      </w:tr>
      <w:tr>
        <w:trPr>
          <w:trHeight w:val="215"/>
        </w:trPr>
        <w:tc>
          <w:tcPr>
            <w:tcW w:w="6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2"/>
        </w:trPr>
        <w:tc>
          <w:tcPr>
            <w:tcW w:w="6540" w:type="dxa"/>
            <w:vAlign w:val="bottom"/>
          </w:tcPr>
          <w:p>
            <w:pPr>
              <w:ind w:left="20"/>
              <w:spacing w:after="0" w:line="212" w:lineRule="exact"/>
              <w:rPr>
                <w:sz w:val="20"/>
                <w:szCs w:val="20"/>
                <w:color w:val="auto"/>
              </w:rPr>
            </w:pPr>
            <w:r>
              <w:rPr>
                <w:rFonts w:ascii="Times New Roman" w:cs="Times New Roman" w:eastAsia="Times New Roman" w:hAnsi="Times New Roman"/>
                <w:sz w:val="16"/>
                <w:szCs w:val="16"/>
                <w:color w:val="auto"/>
              </w:rPr>
              <w:t>Wound Reconstruction and Care</w:t>
            </w:r>
            <w:r>
              <w:rPr>
                <w:rFonts w:ascii="Times New Roman" w:cs="Times New Roman" w:eastAsia="Times New Roman" w:hAnsi="Times New Roman"/>
                <w:sz w:val="20"/>
                <w:szCs w:val="20"/>
                <w:color w:val="auto"/>
                <w:vertAlign w:val="superscript"/>
              </w:rPr>
              <w:t>(3)(4)</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350,565</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373,986</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406,689</w:t>
            </w:r>
          </w:p>
        </w:tc>
      </w:tr>
      <w:tr>
        <w:trPr>
          <w:trHeight w:val="21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Label</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116,326</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108,594</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131,413</w:t>
            </w:r>
          </w:p>
        </w:tc>
      </w:tr>
      <w:tr>
        <w:trPr>
          <w:trHeight w:val="204"/>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Tissue Technologies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466,891</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482,580</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538,102</w:t>
            </w:r>
          </w:p>
        </w:tc>
      </w:tr>
      <w:tr>
        <w:trPr>
          <w:trHeight w:val="233"/>
        </w:trPr>
        <w:tc>
          <w:tcPr>
            <w:tcW w:w="6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1,610,527</w:t>
            </w: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1,541,573</w:t>
            </w: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1,557,666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140" w:hanging="134"/>
        <w:spacing w:after="0"/>
        <w:tabs>
          <w:tab w:leader="none" w:pos="14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Note 4. Acquisitions and Divestitures</w:t>
      </w:r>
      <w:r>
        <w:rPr>
          <w:rFonts w:ascii="Times New Roman" w:cs="Times New Roman" w:eastAsia="Times New Roman" w:hAnsi="Times New Roman"/>
          <w:sz w:val="13"/>
          <w:szCs w:val="13"/>
          <w:color w:val="auto"/>
        </w:rPr>
        <w:t xml:space="preserve"> for details surrounding the acquisition of Acclarent on April 1, 2024.</w:t>
      </w:r>
    </w:p>
    <w:p>
      <w:pPr>
        <w:ind w:left="140" w:hanging="134"/>
        <w:spacing w:after="0"/>
        <w:tabs>
          <w:tab w:leader="none" w:pos="14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Prior period revenues included within our instruments business have been reclassified under the ENT business.</w:t>
      </w:r>
    </w:p>
    <w:p>
      <w:pPr>
        <w:spacing w:after="0" w:line="7" w:lineRule="exact"/>
        <w:rPr>
          <w:rFonts w:ascii="Times New Roman" w:cs="Times New Roman" w:eastAsia="Times New Roman" w:hAnsi="Times New Roman"/>
          <w:sz w:val="9"/>
          <w:szCs w:val="9"/>
          <w:color w:val="auto"/>
        </w:rPr>
      </w:pPr>
    </w:p>
    <w:p>
      <w:pPr>
        <w:ind w:left="140" w:hanging="134"/>
        <w:spacing w:after="0"/>
        <w:tabs>
          <w:tab w:leader="none" w:pos="14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4. Acquisitions and Divestitures</w:t>
      </w:r>
      <w:r>
        <w:rPr>
          <w:rFonts w:ascii="Times New Roman" w:cs="Times New Roman" w:eastAsia="Times New Roman" w:hAnsi="Times New Roman"/>
          <w:sz w:val="14"/>
          <w:szCs w:val="14"/>
          <w:color w:val="auto"/>
        </w:rPr>
        <w:t xml:space="preserve"> for details surrounding the SIA acquisition on December 7, 2022.</w:t>
      </w:r>
    </w:p>
    <w:p>
      <w:pPr>
        <w:spacing w:after="0" w:line="11" w:lineRule="exact"/>
        <w:rPr>
          <w:rFonts w:ascii="Times New Roman" w:cs="Times New Roman" w:eastAsia="Times New Roman" w:hAnsi="Times New Roman"/>
          <w:sz w:val="9"/>
          <w:szCs w:val="9"/>
          <w:color w:val="auto"/>
        </w:rPr>
      </w:pPr>
    </w:p>
    <w:p>
      <w:pPr>
        <w:ind w:left="140" w:hanging="134"/>
        <w:spacing w:after="0" w:line="211" w:lineRule="auto"/>
        <w:tabs>
          <w:tab w:leader="none" w:pos="14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Note 4. Acquisitions and Divestitures</w:t>
      </w:r>
      <w:r>
        <w:rPr>
          <w:rFonts w:ascii="Times New Roman" w:cs="Times New Roman" w:eastAsia="Times New Roman" w:hAnsi="Times New Roman"/>
          <w:sz w:val="13"/>
          <w:szCs w:val="13"/>
          <w:color w:val="auto"/>
        </w:rPr>
        <w:t xml:space="preserve"> for details surrounding the sale of the Company’s non-core traditional wound care (“TWC”) business on August 31, 2022.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16. Segment and Geographic Information</w:t>
      </w:r>
      <w:r>
        <w:rPr>
          <w:rFonts w:ascii="Times New Roman" w:cs="Times New Roman" w:eastAsia="Times New Roman" w:hAnsi="Times New Roman"/>
          <w:sz w:val="18"/>
          <w:szCs w:val="18"/>
          <w:color w:val="auto"/>
        </w:rPr>
        <w:t>, for details of revenues based on the location of the customer.</w:t>
      </w:r>
    </w:p>
    <w:p>
      <w:pPr>
        <w:spacing w:after="0" w:line="218" w:lineRule="exact"/>
        <w:rPr>
          <w:sz w:val="20"/>
          <w:szCs w:val="20"/>
          <w:color w:val="auto"/>
        </w:rPr>
      </w:pPr>
    </w:p>
    <w:p>
      <w:pPr>
        <w:ind w:right="7960" w:firstLine="6"/>
        <w:spacing w:after="0" w:line="354" w:lineRule="auto"/>
        <w:tabs>
          <w:tab w:leader="none" w:pos="16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AND DIVESTITURES </w:t>
      </w:r>
      <w:r>
        <w:rPr>
          <w:rFonts w:ascii="Times New Roman" w:cs="Times New Roman" w:eastAsia="Times New Roman" w:hAnsi="Times New Roman"/>
          <w:sz w:val="18"/>
          <w:szCs w:val="18"/>
          <w:b w:val="1"/>
          <w:bCs w:val="1"/>
          <w:i w:val="1"/>
          <w:iCs w:val="1"/>
          <w:color w:val="auto"/>
        </w:rPr>
        <w:t>Durepair® Acquisition</w:t>
      </w:r>
    </w:p>
    <w:p>
      <w:pPr>
        <w:jc w:val="both"/>
        <w:spacing w:after="0" w:line="272" w:lineRule="auto"/>
        <w:rPr>
          <w:sz w:val="20"/>
          <w:szCs w:val="20"/>
          <w:color w:val="auto"/>
        </w:rPr>
      </w:pPr>
      <w:r>
        <w:rPr>
          <w:rFonts w:ascii="Times New Roman" w:cs="Times New Roman" w:eastAsia="Times New Roman" w:hAnsi="Times New Roman"/>
          <w:sz w:val="17"/>
          <w:szCs w:val="17"/>
          <w:color w:val="auto"/>
        </w:rPr>
        <w:t>On October 2, 2024, the Company completed the acquisition of the product rights for the Durepair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Regeneration Matrix (“Durepair”), a non-synthetic dura substitute for repair of the dura mater during neurosurgical procedures, from Medtronic plc for total cash consideration of $45.0 million. The Company made a cash payment of $10.0 million upon the closing of the acquisition and will make additional cash payments of $15.0 million upon the first anniversary of the acquisition and $20.0 million upon the second anniversary of the acquisition. The additional cash payments to be paid in October 2025 and October 2026 were included at their present values in accrued expenses and other current liabilities and other liabilities, respectively, as of December 31, 2024.</w:t>
      </w:r>
    </w:p>
    <w:p>
      <w:pPr>
        <w:spacing w:after="0" w:line="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acquisition of the product rights for Durepair, which consist of certain patents and trademarks, regulatory approvals, and other records, has been accounted for as an asset acquisition in accordance with ASC 805 as the acquisition does not include an assembled workforce and substantially all of the fair value of the assets acquired is concentrated in a single identifiable intangible asset.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Acclarent, Inc. Acquisition</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April 1, 2024, the Company completed the acquisition of all of the outstanding capital stock of Acclarent, Inc. (“Acclarent”), a developer and marketer of medical devices used in ENT procedures, from Ethicon, Inc., a subsidiary of Johnson &amp; Johnson, for approximately $282.0 million in cash, subject to customary adjustments set forth in the purchase agreement related to working capital balances transferred to the Company. In September 2024, the Company finalized the working capital adjustment in the amount of $4.2 million, which resulted in a reduction to goodwill. This adjustment has been settled during the three months ending December 31, 2024. During the quarter ended December 31, 2024, the Company also recognized a measurement period adjustment to recognize deferred tax liabilities of $1.1 million with a corresponding increase to goodwill as a result of a change to the estimated deferred tax rate applied and the book-to-tax difference associated with fixed assets acquired.</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addition of Acclarent’s ENT product portfolio, including sinus balloon dilation, eustachian tube balloon dilation, and surgical navigation systems technologies, and dedicated salesforce will enhance the Company’s position in the ENT specialty device market.</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Acclarent’s results of operations have been reported in the Company’s Codman Specialty Surgical reportable segment from the date of acquisition. The Company recorded revenue from Acclarent of approximately $95.0 million, in the consolidated statements of operations and comprehensive income for the year ended December 31, 2024. The net income or loss attributable to this acquisition cannot be identified on a stand-alone basis because it is in the process of being integrated into the Company’s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Acquired and Liabilities Assumed at Fair Value</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Acclarent acquisition has been accounted for using the acquisition method of accounting in accordance with ASC 805. This method requires that assets acquired and liabilities assumed in a business combination are recognized at their fair values as of the acquisition date.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at the acquisition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Useful Life</w:t>
            </w:r>
          </w:p>
        </w:tc>
      </w:tr>
      <w:tr>
        <w:trPr>
          <w:trHeight w:val="19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1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Trade accounts receivable, net of allowances of $3,885</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08"/>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Completed technology</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202,000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12 years</w:t>
            </w:r>
          </w:p>
        </w:tc>
      </w:tr>
      <w:tr>
        <w:trPr>
          <w:trHeight w:val="21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Trademarks/brand names</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 years</w:t>
            </w:r>
          </w:p>
        </w:tc>
      </w:tr>
      <w:tr>
        <w:trPr>
          <w:trHeight w:val="21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 other</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 years</w:t>
            </w: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62,482</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344,841</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4"/>
        </w:trPr>
        <w:tc>
          <w:tcPr>
            <w:tcW w:w="7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trade</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lease liability - operating leases</w:t>
            </w: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4"/>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11,653</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54,753</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0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67,030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2"/>
        </w:trPr>
        <w:tc>
          <w:tcPr>
            <w:tcW w:w="7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3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277,811</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carrying value of trade accounts receivable, prepaid expenses, other current assets, accounts payable, contract liabilities, accrued compensation, accrued expenses and other current liabilities, as well as certain other current and non-current assets and liabilities, generally represented the fair value at the date of acquisition.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estimated fair value of the intangible assets acquired was determined using the multi-period, excess earnings method of the income approach, which estimates value based on the present value of future economic benefits attributable to the intangible assets. The significant assumptions used in developing the valuation included the estimated annual net cash flows including application of revenue growth rates, cost of sales, the discount rate that appropriately reflects the risk inherent in each future cash flow stream, obsolescence rate, and an assessment of the asset’s life cycle, as well as other factors. The assumptions used in the financial forecasts were based on historical data, supplemented by current and anticipated growth rates, management plans, and market-comparable information. Fair value determinations require considerable judgment and are sensitive to changes in underlying assumptions and factors. The intangible assets acquired have a weighted average useful life of 11 years.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used a discount rate of 12.2%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Goodwill is the excess of the consideration transferred over the net assets recognized and represents the expected synergies of the combined company and assembled workforce. Goodwill has been allocated to the Codman Specialty Surgical segment, as shown in </w:t>
      </w:r>
      <w:r>
        <w:rPr>
          <w:rFonts w:ascii="Times New Roman" w:cs="Times New Roman" w:eastAsia="Times New Roman" w:hAnsi="Times New Roman"/>
          <w:sz w:val="18"/>
          <w:szCs w:val="18"/>
          <w:i w:val="1"/>
          <w:iCs w:val="1"/>
          <w:color w:val="auto"/>
        </w:rPr>
        <w:t>Note 7. Goodwill and Other Intangibles</w:t>
      </w:r>
      <w:r>
        <w:rPr>
          <w:rFonts w:ascii="Times New Roman" w:cs="Times New Roman" w:eastAsia="Times New Roman" w:hAnsi="Times New Roman"/>
          <w:sz w:val="18"/>
          <w:szCs w:val="18"/>
          <w:color w:val="auto"/>
        </w:rPr>
        <w:t>. Goodwill recognized as a result of this acquisition is non-deductible for income tax purposes.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Liabilities</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Results (unaudited)</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unaudited pro forma revenues for the years ended December 31, 2024 and 2023, giving effect as if Acclarent had been acquired as of January 1, 2023, were $1,638.1 million and $1,658.0 million, respectively. The calculation of unaudited pro forma net income for the years ended December 31, 2024 and 2023 is not practicable because of complexities associated with its hypothetical calculation due to the allocation of certain costs to Acclarent from Johnson &amp; Johnson. The unaudited pro forma revenue is presented for illustrative purposes only and does not indicate the actual financial results of the Company if the acquisition of Acclarent in the current year had been completed on January 1, 2023, nor is it indicative of the results of operations in future periods.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Surgical Innovation Associates, Inc. Acquisition</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December 6, 2022, the Company completed its acquisition of Surgical Innovation Associates, Inc. (“SIA”) for an acquisition purchase price of $51.5 million (the “SIA Acquisition”) plus contingent consideration of up to $90.0 million. In addition to the purchase price, the acquisition includes two separate contingent consideration payments, which are dependent on (1) achieving certain revenue-based performance milestones in 2023, 2024, and 2025 (up to $50.0 million in additional payments), as well as (2) the approval by the United States Food and Drug Administration (the “FDA”) of the Premarket Approval (“PMA”) application for DuraSorb for certain uses by certain timing targets (up to $40.0 million in additional payments). SIA’s core technology, DuraSorb, is a fully resorbable scaffold of a globally accepted polymer, which is cleared for use in hernia repair, abdominal wall, and other soft tissue reinforcement. DuraSorb sales are reported within Integra’s Tissue Technologies segment.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Acquired and Liabilities Assumed at Fair Value</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SIA Acquisition has been accounted for using the acquisition method of accounting. This method requires that assets acquired, and liabilities assumed in a business combination to be recognized at their fair values as of the acquisition date.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at the acquisition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Final Valuation</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 Life</w:t>
            </w:r>
          </w:p>
        </w:tc>
      </w:tr>
      <w:tr>
        <w:trPr>
          <w:trHeight w:val="19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21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4"/>
        </w:trPr>
        <w:tc>
          <w:tcPr>
            <w:tcW w:w="7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10,543</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14 years</w:t>
            </w:r>
          </w:p>
        </w:tc>
      </w:tr>
      <w:tr>
        <w:trPr>
          <w:trHeight w:val="21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41,380</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0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126,923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2"/>
        </w:trPr>
        <w:tc>
          <w:tcPr>
            <w:tcW w:w="7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08"/>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3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70,976</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4"/>
        </w:trPr>
        <w:tc>
          <w:tcPr>
            <w:tcW w:w="73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05"/>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55,947</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
        </w:trPr>
        <w:tc>
          <w:tcPr>
            <w:tcW w:w="7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Developed Technology</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estimated fair value of the developed technology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working capital, and contributory asset charges, the appropriate discount rate to select in order to measure the risk inherent in each future cash flow stream, the assessment of the asset’s life cycle, and competitive trends impacting the asset and the cash flow stream.</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used a discount rate of 18.0%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Company allocated goodwill related to the SIA Acquisition to the Tissue Technologies segment. Goodwill is the excess of the consideration transferred over the net assets recognized and represents the expected revenue and cost synergies of the combined company and assembled workforce. A key factor that contributes to the recognition of goodwill, and a driver for the Company’s acquisition of SIA, is the attractive growth opportunities presented by the surgical matrix business in the breast reconstruction market. Goodwill recognized as a result of this acquisition is non-deductible for income tax purposes.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determines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using the fair value hierarchy described in ASC 820. The resulting most likely payouts are discounted using an appropriate effective annual interest rate. At each reporting date, the contingent consideration obligation will be revalued to estimated fair value and changes in fair value will be reflected as income or expense in the consolidated statement of operations. Changes in the fair value of the contingent considerations may result from changes in discount periods and rates and changes in the timing and amount of revenue estimates. Changes in assumptions utilized in the contingent consideration fair value estimates could result in an increase in the contingent consideration obligation and a corresponding charge to operating results.</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 part of the acquisition, the Company is required to pay to the shareholders of SIA up to $90.0 million, dependent upon (1) achieving certain revenue-based performance milestones in 2023, 2024, and 2025 (up to $50.0 million in additional payments), as well as (2) the approval by the FDA of the PMA for DuraSorb for certain uses by certain timing targets (up to $40.0 million in additional payments). In the second quarter of 2024, the Company paid out $12.4 million related to the 2023 performance year. The Company used iterations of the Monte Carlo simulation to calculate the fair value of the contingent consideration that considered the possible outcomes of scenarios related to each specific milestone for the revenue-based milestone. The Company used probabilities of achieving the conditions to calculate the fair value of the contingent consideration for the PMA approval milestone. See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the Notes to Consolidated Financial Statements for further details.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Liabilities</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Deferred tax liabilities result from identifiable intangible assets’ fair value adjustments. These adjustments create excess book basis over tax basis which is tax-effected by the statutory tax rates of applicable jurisdictions.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non-core traditional wound care business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31, 2022, the Company completed its sale of its non-core traditional wound care (“TWC”) business to Gentell, LLC (“Gentell”) for $28.8 million, which consists of $27.8 million in cash plus $1.0 million in contingent consideration which may be received upon achieving certain revenue-based performance milestones two years after the closing date. The proceeds from the sale of the TWC business of $27.8 million is presented in the consolidated statement of cash flows net of cash transferred of $3.5 million and other transaction fees. The transaction included the sale of the Company’s TWC products, such as sponges, gauze and conforming bandages, and certain advanced wound care dressings, such as supportive, calcium alginate, hydrogel, and foam dressings.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divestiture did not represent a strategic shift that had a major effect on the Company’s operations and financial statements. Goodwill was allocated to the assets and liabilities divested using the relative fair value method of the TWC business to the Company’s Tissue Technologies reportable business segment. In connection with the sale, the Company recognized $0.6 million as a gain from the sale of the business in the consolidated statement of operations for the year ended December 31, 2022. The transaction is subject to final working capital adjustments, which are pending finalization between the parties.</w:t>
      </w:r>
    </w:p>
    <w:p>
      <w:pPr>
        <w:spacing w:after="0" w:line="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addition to the purchase and sale agreement, the Company also entered into a contract manufacturing agreement with Gentell. Under the terms of the agreement, Gentell received inventory, equipment, and tooling to manufacture certain MediHoney® and TCC-EZ® products on behalf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Seventh Amended and Restated Senior Credit Agreement</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24, 2023, the Company entered into the seventh amendment and restatement (the “March 2023 Amendment”) of the Senior Credit Facility (the “Senior Credit Facility”) with a syndicate of lending banks with Bank of America, N.A., as Administrative Agent. The March 2023 Amendment extended the maturity date to March 24, 2028, amended the contractual repayments of the term loan component, and amended the interest rate from LIBOR to SOFR-indexed interest. The Company continues to have the ability to borrow an aggregate principal amount of up to approximately $2.1 billion through the following facilities: (i) a $775.0 million term loan facility, and (ii) a $1.3 billion revolving credit facility, which includes a $60.0 million sublimit for the issuance of standby letters of credit and a $60.0 million sublimit for swingline loans. The terms of the Senior Credit Facility limit the amount of dividends we may pay.</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maximum Consolidated Total Leverage Ratio (as defined in the March 2023 Amendment) in the financial covenants is outlined below. Concurrent with the Durepair acquisition (see </w:t>
      </w:r>
      <w:r>
        <w:rPr>
          <w:rFonts w:ascii="Times New Roman" w:cs="Times New Roman" w:eastAsia="Times New Roman" w:hAnsi="Times New Roman"/>
          <w:sz w:val="18"/>
          <w:szCs w:val="18"/>
          <w:i w:val="1"/>
          <w:iCs w:val="1"/>
          <w:color w:val="auto"/>
        </w:rPr>
        <w:t>Note 4. Acquisitions and Divestitures),</w:t>
      </w:r>
      <w:r>
        <w:rPr>
          <w:rFonts w:ascii="Times New Roman" w:cs="Times New Roman" w:eastAsia="Times New Roman" w:hAnsi="Times New Roman"/>
          <w:sz w:val="18"/>
          <w:szCs w:val="18"/>
          <w:color w:val="auto"/>
        </w:rPr>
        <w:t xml:space="preserve"> in accordance with the terms of the March 2023 Amendment, the Company elected to increase the maximum Consolidated Total Leverage Ratio to 5.00 from the fiscal quarter ending December 31, 2024 through the fiscal quarter ending September 30, 2025.</w:t>
      </w: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Fiscal Quarter Ending</w:t>
            </w:r>
          </w:p>
        </w:tc>
        <w:tc>
          <w:tcPr>
            <w:tcW w:w="120" w:type="dxa"/>
            <w:vAlign w:val="bottom"/>
            <w:vMerge w:val="restart"/>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 Consolidated Total</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Leverage Ratio</w:t>
            </w:r>
          </w:p>
        </w:tc>
        <w:tc>
          <w:tcPr>
            <w:tcW w:w="0" w:type="dxa"/>
            <w:vAlign w:val="bottom"/>
          </w:tcPr>
          <w:p>
            <w:pPr>
              <w:spacing w:after="0"/>
              <w:rPr>
                <w:sz w:val="1"/>
                <w:szCs w:val="1"/>
                <w:color w:val="auto"/>
              </w:rPr>
            </w:pPr>
          </w:p>
        </w:tc>
      </w:tr>
      <w:tr>
        <w:trPr>
          <w:trHeight w:val="244"/>
        </w:trPr>
        <w:tc>
          <w:tcPr>
            <w:tcW w:w="8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March 31, 2023 through September 30, 2024</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4.50 to 1.00</w:t>
            </w:r>
          </w:p>
        </w:tc>
        <w:tc>
          <w:tcPr>
            <w:tcW w:w="0" w:type="dxa"/>
            <w:vAlign w:val="bottom"/>
          </w:tcPr>
          <w:p>
            <w:pPr>
              <w:spacing w:after="0"/>
              <w:rPr>
                <w:sz w:val="1"/>
                <w:szCs w:val="1"/>
                <w:color w:val="auto"/>
              </w:rPr>
            </w:pPr>
          </w:p>
        </w:tc>
      </w:tr>
      <w:tr>
        <w:trPr>
          <w:trHeight w:val="21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 through September 30, 2025</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 to 1.00</w:t>
            </w:r>
          </w:p>
        </w:tc>
        <w:tc>
          <w:tcPr>
            <w:tcW w:w="0" w:type="dxa"/>
            <w:vAlign w:val="bottom"/>
          </w:tcPr>
          <w:p>
            <w:pPr>
              <w:spacing w:after="0"/>
              <w:rPr>
                <w:sz w:val="1"/>
                <w:szCs w:val="1"/>
                <w:color w:val="auto"/>
              </w:rPr>
            </w:pPr>
          </w:p>
        </w:tc>
      </w:tr>
      <w:tr>
        <w:trPr>
          <w:trHeight w:val="210"/>
        </w:trPr>
        <w:tc>
          <w:tcPr>
            <w:tcW w:w="8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 through June 30, 2026</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4.25 to 1.00</w:t>
            </w:r>
          </w:p>
        </w:tc>
        <w:tc>
          <w:tcPr>
            <w:tcW w:w="0" w:type="dxa"/>
            <w:vAlign w:val="bottom"/>
          </w:tcPr>
          <w:p>
            <w:pPr>
              <w:spacing w:after="0"/>
              <w:rPr>
                <w:sz w:val="1"/>
                <w:szCs w:val="1"/>
                <w:color w:val="auto"/>
              </w:rPr>
            </w:pPr>
          </w:p>
        </w:tc>
      </w:tr>
      <w:tr>
        <w:trPr>
          <w:trHeight w:val="215"/>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2026 and the last day of each fiscal quarter thereafter</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 to 1.00</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Credit Facility bear interest, at the Company’s option, at a rate equal to the following:</w:t>
      </w:r>
    </w:p>
    <w:p>
      <w:pPr>
        <w:spacing w:after="0" w:line="112" w:lineRule="exact"/>
        <w:rPr>
          <w:sz w:val="20"/>
          <w:szCs w:val="20"/>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in effect from time to time plus 0.10% plus the applicable rate (ranging from 1.00% to 1.75%), or</w:t>
      </w:r>
    </w:p>
    <w:p>
      <w:pPr>
        <w:spacing w:after="0" w:line="1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of:</w:t>
      </w:r>
    </w:p>
    <w:p>
      <w:pPr>
        <w:spacing w:after="0" w:line="111"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overnight Federal funds rate, as published by the Federal Reserve Bank of New York, plus 0.50%</w:t>
      </w:r>
    </w:p>
    <w:p>
      <w:pPr>
        <w:spacing w:after="0" w:line="111"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lending rate of Bank of America, N.A. or</w:t>
      </w:r>
    </w:p>
    <w:p>
      <w:pPr>
        <w:spacing w:after="0" w:line="111" w:lineRule="exact"/>
        <w:rPr>
          <w:rFonts w:ascii="Times New Roman" w:cs="Times New Roman" w:eastAsia="Times New Roman" w:hAnsi="Times New Roman"/>
          <w:sz w:val="18"/>
          <w:szCs w:val="18"/>
          <w:color w:val="auto"/>
        </w:rPr>
      </w:pPr>
    </w:p>
    <w:p>
      <w:pPr>
        <w:ind w:left="1280" w:hanging="318"/>
        <w:spacing w:after="0"/>
        <w:tabs>
          <w:tab w:leader="none" w:pos="1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one-month Term SOFR plus 1.00%</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applicable rates are based on the Company’s Consolidated Total Leverage Ratio (defined, as of any date of determination, as the ratio of (a) Consolidated Funded Indebtedness as of such date (as defined in the Seventh Amended and Restated Credit Agreement (the “Credit Agreement”)) less cash that is not subject to any restriction on the use or investment thereof to (b) Consolidated EBITDA (as defined by the Credit Agreement)), for the period of four consecutive fiscal quarters ending on such date.</w:t>
      </w:r>
    </w:p>
    <w:p>
      <w:pPr>
        <w:spacing w:after="0" w:line="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will pay an annual commitment fee (ranging from 0.15% to 0.30%), based on the Company’s consolidated total leverage ratio, on the amount available for borrowing under the revolving credit facility component of the Senior Credit Facility.</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Senior Credit Facility is collateralized by substantially all of the assets of the Company’s U.S. subsidiaries, excluding intangible assets. The Senior Credit Facility is subject to various financial and negative covenants and, at December 31, 2024, the Company was in compliance with all such covenants. The Company capitalized $7.6 million in deferred financing costs in connection with the March 2023 Amendment and wrote off $0.2 million of previously capitalized financing costs during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2024 and 2023 there was $365.0 million and $70.0 million, respectively, outstanding under the revolving credit facility component of the Senior Credit Facility. At December 31, 2024 and 2023, there was $760.5 million and $775.0 million outstanding under the term loan component of the Senior Credit Facility. At December 31, 2024 and 2023, the weighted average interest rate of both the revolving credit facility component and term loan component of the Senior Credit Facility was 6.0% and 6.8%, respectively. As of December 31, 2024 and 2023 there was $33.9 million and $14.5 million, respectively, of the term loan component of the Senior Credit Facility classified as current on the consolidated balance sheet.</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the term loan and revolving portion of the Senior Credit Facility at December 31, 2024 was $751.1 million, and $360.1 million, respectively. The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outstanding as of December 31, 2024 and 2023 totaled $1.7 million. There were no amounts drawn as of December 31,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the Term Loan component of the Senior Credit Facility are due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80" w:type="dxa"/>
            <w:vAlign w:val="bottom"/>
          </w:tcPr>
          <w:p>
            <w:pPr>
              <w:spacing w:after="0"/>
              <w:rPr>
                <w:sz w:val="18"/>
                <w:szCs w:val="18"/>
                <w:color w:val="auto"/>
              </w:rPr>
            </w:pPr>
          </w:p>
        </w:tc>
        <w:tc>
          <w:tcPr>
            <w:tcW w:w="6920" w:type="dxa"/>
            <w:vAlign w:val="bottom"/>
            <w:gridSpan w:val="3"/>
          </w:tcPr>
          <w:p>
            <w:pPr>
              <w:jc w:val="right"/>
              <w:ind w:right="366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94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Principal Repayment</w:t>
            </w:r>
          </w:p>
        </w:tc>
      </w:tr>
      <w:tr>
        <w:trPr>
          <w:trHeight w:val="206"/>
        </w:trPr>
        <w:tc>
          <w:tcPr>
            <w:tcW w:w="2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6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r>
      <w:tr>
        <w:trPr>
          <w:trHeight w:val="21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6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33,906</w:t>
            </w:r>
          </w:p>
        </w:tc>
      </w:tr>
      <w:tr>
        <w:trPr>
          <w:trHeight w:val="21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6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38,750</w:t>
            </w:r>
          </w:p>
        </w:tc>
      </w:tr>
      <w:tr>
        <w:trPr>
          <w:trHeight w:val="21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6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53,281</w:t>
            </w:r>
          </w:p>
        </w:tc>
      </w:tr>
      <w:tr>
        <w:trPr>
          <w:trHeight w:val="210"/>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6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634,532</w:t>
            </w:r>
          </w:p>
        </w:tc>
      </w:tr>
      <w:tr>
        <w:trPr>
          <w:trHeight w:val="231"/>
        </w:trPr>
        <w:tc>
          <w:tcPr>
            <w:tcW w:w="2380" w:type="dxa"/>
            <w:vAlign w:val="bottom"/>
            <w:tcBorders>
              <w:bottom w:val="single" w:sz="8" w:color="CCEEFF"/>
            </w:tcBorders>
            <w:shd w:val="clear" w:color="auto" w:fill="CCEEFF"/>
          </w:tcPr>
          <w:p>
            <w:pPr>
              <w:spacing w:after="0"/>
              <w:rPr>
                <w:sz w:val="19"/>
                <w:szCs w:val="19"/>
                <w:color w:val="auto"/>
              </w:rPr>
            </w:pPr>
          </w:p>
        </w:tc>
        <w:tc>
          <w:tcPr>
            <w:tcW w:w="6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760,469</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Future interest payments on the term loan component of the Senior Credit Facility based on current interest rates are expected to approximate $44.7 million in 2025, $42.4 million in 2026, $39.9 million in 2027, and $8.7 million in 2028. Interest is calculated on the term loan portion of the Senior Credit Facility based on SOFR plus the certain amounts set forth in the Credit Agreement. As the revolving credit facility and Securitization Facility (defined below) can be repaid at any time, no interest has been included in the calculation.</w:t>
      </w:r>
    </w:p>
    <w:p>
      <w:pPr>
        <w:spacing w:after="0" w:line="77" w:lineRule="exact"/>
        <w:rPr>
          <w:sz w:val="20"/>
          <w:szCs w:val="20"/>
          <w:color w:val="auto"/>
        </w:rPr>
      </w:pPr>
    </w:p>
    <w:p>
      <w:pPr>
        <w:ind w:right="2160"/>
        <w:spacing w:after="0" w:line="369" w:lineRule="auto"/>
        <w:rPr>
          <w:sz w:val="20"/>
          <w:szCs w:val="20"/>
          <w:color w:val="auto"/>
        </w:rPr>
      </w:pPr>
      <w:r>
        <w:rPr>
          <w:rFonts w:ascii="Times New Roman" w:cs="Times New Roman" w:eastAsia="Times New Roman" w:hAnsi="Times New Roman"/>
          <w:sz w:val="18"/>
          <w:szCs w:val="18"/>
          <w:color w:val="auto"/>
        </w:rPr>
        <w:t xml:space="preserve">Any outstanding borrowings on the revolving credit facility component of the Senior Credit Facility are due on March 24, 2028. </w:t>
      </w:r>
      <w:r>
        <w:rPr>
          <w:rFonts w:ascii="Times New Roman" w:cs="Times New Roman" w:eastAsia="Times New Roman" w:hAnsi="Times New Roman"/>
          <w:sz w:val="18"/>
          <w:szCs w:val="18"/>
          <w:b w:val="1"/>
          <w:bCs w:val="1"/>
          <w:i w:val="1"/>
          <w:iCs w:val="1"/>
          <w:color w:val="auto"/>
        </w:rPr>
        <w:t>Convertible Senior Notes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7, 2020, the Company issued $575.0 million aggregate principal amount of its 0.5% Convertible Senior Notes due 2025 (the “2025 Notes”) pursuant to an indenture, dated as of February 7, 2020 (the “Original Indenture”), between the Company and Citibank, N.A., as trustee. The 2025 Notes will mature on August 15, 2025 and bear interest at a rate of 0.5% per annum payable semi-annually in arrears, unless earlier converted, repurchased or redeemed in accordance with the terms of the 2025 Notes. In connection with this offering, the Company capitalized $13.2 million of financing fees.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2025 Notes are senior, unsecured obligations of the Company, and are convertible into cash and shares of its common stock based on an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specified in the Original Indenture; (3) if the Company calls the notes for optional redemption as described in the Original Indenture; or (4) if specified corporate transactions occur. As of December 31, 2024, none of these conditions existed and the 2025 Notes are classified as current convertible securities on the consolidated balance sheet, as they are due within one year.</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9, 2020, the Company entered into the first supplemental indenture to the Original Indenture (the “First Supplemental Indenture” and, together with Original Indenture, the “Indenture”), pursuant to which the Company irrevocably elected (1) to eliminate the Company’s option to choose physical settlement on any conversion of the 2025 Notes that occurs on or after the date of the First Supplemental Indenture and (2) with respect to any Combination Settlement (as defined in the First Supplemental Indenture) for a conversion of the 2025 Notes, the Specified Dollar Amount (as defined in the First Supplemental Indenture) that will be settled in cash per $1,000 principal amount of the 2025 Notes shall be no lower than $1,000.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the 2025 Notes will have the right to require the Company to repurchase for cash all or a portion of their 2025 Notes at 100% of their principal amount, plus any accrued and unpaid interest, upon the occurrence of a fundamental change (as defined in the Indenture). The Company will also be required to increase the conversion rate for holders who convert their 2025 Notes in connection with certain Fundamental Changes (as defined in the Original Indenture) occurring prior to the maturity date or following delivery by the Company of a notice of redemption.</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the carrying amount of the liability of the 2025 Notes was $575.0 million. The fair value of the 2025 Notes at December 31, 2024 was $555.6 million. Factors that the Company considered when estimating the fair value of the 2025 Notes included recent quoted market prices or dealer quotes. The 2025 Notes are valued based on Level 1 measurements in the fair value hierarchy. Level 1 inputs represent quoted prices in active markets for identical assets or liabilities.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Facility</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December 31, 2024, the Company was in compliance with the covenants and none of the termination events had occurred.</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December 15, 2023, the Company entered into an amendment (the “December 2023 Amendment”) of the Securitization Facility which extended the maturity date from May 28, 2024 to December 15, 2026. The Company incurred approximately $0.3 million of new issuance costs associated with the December 2023 Amendment which will be amortized over 3 years, the length of the Securitization Agreement as amended by the December 2023 Amendment. Due to the increase in borrowing capacity, the remaining $0.1 million of unamortized costs from the previous agreement will also be amortized over the length of the amended agreement, three years. In addition, on April 17, 2023 the Company entered into an amendment (the “April 2023 Amendment”) of the Securitization Facility and amended the interest rate from LIBOR to SOFR-indexed rate. The December 2023 Amendment and April 2023 Amendment did not increase the Company’s total indebtedness.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December 31, 2024 and 2023, the Company had $108.1 million and $89.2 million, respectively, of outstanding borrowings under its Securitization Facility at an interest rate of 5.4% and 6.4%, respectively. The fair value of the outstanding borrowing of the Securitization Facility at December 31, 2024 was $105.8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Fair Value of Debt Measurements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the estimated fair values of debt as of December 31, 2024 and 2023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242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2340" w:type="dxa"/>
            <w:vAlign w:val="bottom"/>
          </w:tcPr>
          <w:p>
            <w:pPr>
              <w:ind w:left="1160"/>
              <w:spacing w:after="0" w:line="16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4"/>
                <w:szCs w:val="14"/>
                <w:color w:val="auto"/>
              </w:rPr>
            </w:pPr>
          </w:p>
        </w:tc>
        <w:tc>
          <w:tcPr>
            <w:tcW w:w="11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Carrying Value</w:t>
            </w:r>
          </w:p>
        </w:tc>
        <w:tc>
          <w:tcPr>
            <w:tcW w:w="100" w:type="dxa"/>
            <w:vAlign w:val="bottom"/>
          </w:tcPr>
          <w:p>
            <w:pPr>
              <w:spacing w:after="0"/>
              <w:rPr>
                <w:sz w:val="14"/>
                <w:szCs w:val="14"/>
                <w:color w:val="auto"/>
              </w:rPr>
            </w:pPr>
          </w:p>
        </w:tc>
        <w:tc>
          <w:tcPr>
            <w:tcW w:w="1140" w:type="dxa"/>
            <w:vAlign w:val="bottom"/>
          </w:tcPr>
          <w:p>
            <w:pPr>
              <w:jc w:val="right"/>
              <w:ind w:right="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Estimated Fair</w:t>
            </w:r>
          </w:p>
        </w:tc>
        <w:tc>
          <w:tcPr>
            <w:tcW w:w="120" w:type="dxa"/>
            <w:vAlign w:val="bottom"/>
          </w:tcPr>
          <w:p>
            <w:pPr>
              <w:spacing w:after="0"/>
              <w:rPr>
                <w:sz w:val="14"/>
                <w:szCs w:val="14"/>
                <w:color w:val="auto"/>
              </w:rPr>
            </w:pPr>
          </w:p>
        </w:tc>
        <w:tc>
          <w:tcPr>
            <w:tcW w:w="11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Carrying Value</w:t>
            </w:r>
          </w:p>
        </w:tc>
        <w:tc>
          <w:tcPr>
            <w:tcW w:w="100" w:type="dxa"/>
            <w:vAlign w:val="bottom"/>
          </w:tcPr>
          <w:p>
            <w:pPr>
              <w:spacing w:after="0"/>
              <w:rPr>
                <w:sz w:val="14"/>
                <w:szCs w:val="14"/>
                <w:color w:val="auto"/>
              </w:rPr>
            </w:pPr>
          </w:p>
        </w:tc>
        <w:tc>
          <w:tcPr>
            <w:tcW w:w="1160" w:type="dxa"/>
            <w:vAlign w:val="bottom"/>
          </w:tcPr>
          <w:p>
            <w:pPr>
              <w:jc w:val="right"/>
              <w:ind w:right="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Estimated Fair</w:t>
            </w:r>
          </w:p>
        </w:tc>
        <w:tc>
          <w:tcPr>
            <w:tcW w:w="0" w:type="dxa"/>
            <w:vAlign w:val="bottom"/>
          </w:tcPr>
          <w:p>
            <w:pPr>
              <w:spacing w:after="0"/>
              <w:rPr>
                <w:sz w:val="1"/>
                <w:szCs w:val="1"/>
                <w:color w:val="auto"/>
              </w:rPr>
            </w:pPr>
          </w:p>
        </w:tc>
      </w:tr>
      <w:tr>
        <w:trPr>
          <w:trHeight w:val="211"/>
        </w:trPr>
        <w:tc>
          <w:tcPr>
            <w:tcW w:w="38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5"/>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 - term loan</w:t>
            </w:r>
          </w:p>
        </w:tc>
        <w:tc>
          <w:tcPr>
            <w:tcW w:w="234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760,469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762,869</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credit facility - revolving component</w:t>
            </w:r>
          </w:p>
        </w:tc>
        <w:tc>
          <w:tcPr>
            <w:tcW w:w="2340" w:type="dxa"/>
            <w:vAlign w:val="bottom"/>
          </w:tcPr>
          <w:p>
            <w:pPr>
              <w:ind w:left="184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360,144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68,902</w:t>
            </w:r>
          </w:p>
        </w:tc>
        <w:tc>
          <w:tcPr>
            <w:tcW w:w="0" w:type="dxa"/>
            <w:vAlign w:val="bottom"/>
          </w:tcPr>
          <w:p>
            <w:pPr>
              <w:spacing w:after="0"/>
              <w:rPr>
                <w:sz w:val="1"/>
                <w:szCs w:val="1"/>
                <w:color w:val="auto"/>
              </w:rPr>
            </w:pPr>
          </w:p>
        </w:tc>
      </w:tr>
      <w:tr>
        <w:trPr>
          <w:trHeight w:val="215"/>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Notes</w:t>
            </w:r>
          </w:p>
        </w:tc>
        <w:tc>
          <w:tcPr>
            <w:tcW w:w="234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w w:val="99"/>
              </w:rPr>
              <w:t>Level 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555,594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541,219</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Securitization</w:t>
            </w:r>
          </w:p>
        </w:tc>
        <w:tc>
          <w:tcPr>
            <w:tcW w:w="234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6"/>
                <w:szCs w:val="16"/>
                <w:color w:val="auto"/>
                <w:w w:val="99"/>
              </w:rPr>
              <w:t>Level 2</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108,100</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105,831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89,200</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87,069</w:t>
            </w:r>
          </w:p>
        </w:tc>
        <w:tc>
          <w:tcPr>
            <w:tcW w:w="0" w:type="dxa"/>
            <w:vAlign w:val="bottom"/>
          </w:tcPr>
          <w:p>
            <w:pPr>
              <w:spacing w:after="0"/>
              <w:rPr>
                <w:sz w:val="1"/>
                <w:szCs w:val="1"/>
                <w:color w:val="auto"/>
              </w:rPr>
            </w:pPr>
          </w:p>
        </w:tc>
      </w:tr>
      <w:tr>
        <w:trPr>
          <w:trHeight w:val="208"/>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Subtotal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1,808,569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1,772,712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1,460,059</w:t>
            </w: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2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debt</w:t>
            </w:r>
          </w:p>
        </w:tc>
        <w:tc>
          <w:tcPr>
            <w:tcW w:w="2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1,803,093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1,772,712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1,499,549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1,460,059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 INSTRUMENTS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In March 2023, the Company entered into a basis swap where the Company receives Term SOFR and pays daily compounded SOFR to convert the portfolio of swaps from daily compounded SOFR to Term SOFR.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December 31, 2024 and 2023 (dollar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3"/>
        </w:trPr>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3"/>
        </w:trPr>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Designation Date</w:t>
            </w:r>
          </w:p>
        </w:tc>
        <w:tc>
          <w:tcPr>
            <w:tcW w:w="1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Fixed Interest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08"/>
        </w:trPr>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gridSpan w:val="4"/>
            <w:vMerge w:val="restart"/>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240" w:type="dxa"/>
            <w:vAlign w:val="bottom"/>
            <w:gridSpan w:val="3"/>
            <w:vMerge w:val="restart"/>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9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4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2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900" w:type="dxa"/>
            <w:vAlign w:val="bottom"/>
            <w:tcBorders>
              <w:top w:val="single" w:sz="8" w:color="auto"/>
              <w:bottom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119"/>
        </w:trPr>
        <w:tc>
          <w:tcPr>
            <w:tcW w:w="132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1-month Term</w:t>
            </w:r>
          </w:p>
        </w:tc>
        <w:tc>
          <w:tcPr>
            <w:tcW w:w="220" w:type="dxa"/>
            <w:vAlign w:val="bottom"/>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0"/>
                <w:szCs w:val="10"/>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13, 2017</w:t>
            </w: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2019</w:t>
            </w: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28, 2024</w:t>
            </w:r>
          </w:p>
        </w:tc>
        <w:tc>
          <w:tcPr>
            <w:tcW w:w="1240" w:type="dxa"/>
            <w:vAlign w:val="bottom"/>
            <w:gridSpan w:val="3"/>
            <w:vMerge w:val="restart"/>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2.423 %  $</w:t>
            </w:r>
          </w:p>
        </w:tc>
        <w:tc>
          <w:tcPr>
            <w:tcW w:w="8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0" w:type="dxa"/>
            <w:vAlign w:val="bottom"/>
          </w:tcPr>
          <w:p>
            <w:pPr>
              <w:spacing w:after="0"/>
              <w:rPr>
                <w:sz w:val="1"/>
                <w:szCs w:val="1"/>
                <w:color w:val="auto"/>
              </w:rPr>
            </w:pPr>
          </w:p>
        </w:tc>
      </w:tr>
      <w:tr>
        <w:trPr>
          <w:trHeight w:val="108"/>
        </w:trPr>
        <w:tc>
          <w:tcPr>
            <w:tcW w:w="1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220" w:type="dxa"/>
            <w:vAlign w:val="bottom"/>
            <w:vMerge w:val="continue"/>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240" w:type="dxa"/>
            <w:vAlign w:val="bottom"/>
            <w:gridSpan w:val="3"/>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3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32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1-month Term</w:t>
            </w:r>
          </w:p>
        </w:tc>
        <w:tc>
          <w:tcPr>
            <w:tcW w:w="22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13, 2017</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January 1, 2018</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2.313 %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0" w:type="dxa"/>
            <w:vAlign w:val="bottom"/>
          </w:tcPr>
          <w:p>
            <w:pPr>
              <w:spacing w:after="0"/>
              <w:rPr>
                <w:sz w:val="1"/>
                <w:szCs w:val="1"/>
                <w:color w:val="auto"/>
              </w:rPr>
            </w:pPr>
          </w:p>
        </w:tc>
      </w:tr>
      <w:tr>
        <w:trPr>
          <w:trHeight w:val="108"/>
        </w:trPr>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2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32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1-month Term</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10, 2018</w:t>
            </w: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2020</w:t>
            </w: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08"/>
        </w:trPr>
        <w:tc>
          <w:tcPr>
            <w:tcW w:w="1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22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3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32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1-month Term</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October 10, 2018</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July 1, 2020</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3.199 %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08"/>
        </w:trPr>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32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1-month Term</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10, 2018</w:t>
            </w: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2020</w:t>
            </w: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2025</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108"/>
        </w:trPr>
        <w:tc>
          <w:tcPr>
            <w:tcW w:w="1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22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3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32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1-month Term</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18, 2018</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30, 2022</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 2027</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2.885 %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3,406</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0" w:type="dxa"/>
            <w:vAlign w:val="bottom"/>
          </w:tcPr>
          <w:p>
            <w:pPr>
              <w:spacing w:after="0"/>
              <w:rPr>
                <w:sz w:val="1"/>
                <w:szCs w:val="1"/>
                <w:color w:val="auto"/>
              </w:rPr>
            </w:pPr>
          </w:p>
        </w:tc>
      </w:tr>
      <w:tr>
        <w:trPr>
          <w:trHeight w:val="108"/>
        </w:trPr>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32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1-month Term</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18, 2018</w:t>
            </w: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30, 2022</w:t>
            </w: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2027</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3,507</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0" w:type="dxa"/>
            <w:vAlign w:val="bottom"/>
          </w:tcPr>
          <w:p>
            <w:pPr>
              <w:spacing w:after="0"/>
              <w:rPr>
                <w:sz w:val="1"/>
                <w:szCs w:val="1"/>
                <w:color w:val="auto"/>
              </w:rPr>
            </w:pPr>
          </w:p>
        </w:tc>
      </w:tr>
      <w:tr>
        <w:trPr>
          <w:trHeight w:val="108"/>
        </w:trPr>
        <w:tc>
          <w:tcPr>
            <w:tcW w:w="1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22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3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32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1-month Term</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15, 2020</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July 31, 2025</w:t>
            </w: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December 31, 2027</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1.415 %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34,537</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22,965</w:t>
            </w:r>
          </w:p>
        </w:tc>
        <w:tc>
          <w:tcPr>
            <w:tcW w:w="0" w:type="dxa"/>
            <w:vAlign w:val="bottom"/>
          </w:tcPr>
          <w:p>
            <w:pPr>
              <w:spacing w:after="0"/>
              <w:rPr>
                <w:sz w:val="1"/>
                <w:szCs w:val="1"/>
                <w:color w:val="auto"/>
              </w:rPr>
            </w:pPr>
          </w:p>
        </w:tc>
      </w:tr>
      <w:tr>
        <w:trPr>
          <w:trHeight w:val="108"/>
        </w:trPr>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32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1-month Term</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15, 2020</w:t>
            </w: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2025</w:t>
            </w: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2027</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7,848</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0" w:type="dxa"/>
            <w:vAlign w:val="bottom"/>
          </w:tcPr>
          <w:p>
            <w:pPr>
              <w:spacing w:after="0"/>
              <w:rPr>
                <w:sz w:val="1"/>
                <w:szCs w:val="1"/>
                <w:color w:val="auto"/>
              </w:rPr>
            </w:pPr>
          </w:p>
        </w:tc>
      </w:tr>
      <w:tr>
        <w:trPr>
          <w:trHeight w:val="108"/>
        </w:trPr>
        <w:tc>
          <w:tcPr>
            <w:tcW w:w="1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SOFR Loan</w:t>
            </w:r>
          </w:p>
        </w:tc>
        <w:tc>
          <w:tcPr>
            <w:tcW w:w="22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1540" w:type="dxa"/>
            <w:vAlign w:val="bottom"/>
            <w:gridSpan w:val="2"/>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32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32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4"/>
                <w:szCs w:val="14"/>
                <w:color w:val="auto"/>
              </w:rPr>
              <w:t xml:space="preserve">Basis Swap </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7"/>
                <w:szCs w:val="17"/>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24, 2023</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2027</w:t>
            </w:r>
          </w:p>
        </w:tc>
        <w:tc>
          <w:tcPr>
            <w:tcW w:w="1240" w:type="dxa"/>
            <w:vAlign w:val="bottom"/>
            <w:gridSpan w:val="3"/>
          </w:tcPr>
          <w:p>
            <w:pPr>
              <w:jc w:val="center"/>
              <w:ind w:right="249"/>
              <w:spacing w:after="0"/>
              <w:rPr>
                <w:sz w:val="20"/>
                <w:szCs w:val="20"/>
                <w:color w:val="auto"/>
              </w:rPr>
            </w:pPr>
            <w:r>
              <w:rPr>
                <w:rFonts w:ascii="Times New Roman" w:cs="Times New Roman" w:eastAsia="Times New Roman" w:hAnsi="Times New Roman"/>
                <w:sz w:val="14"/>
                <w:szCs w:val="14"/>
                <w:color w:val="auto"/>
                <w:w w:val="99"/>
              </w:rPr>
              <w:t>N/A</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 0</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0" w:type="dxa"/>
            <w:vAlign w:val="bottom"/>
          </w:tcPr>
          <w:p>
            <w:pPr>
              <w:spacing w:after="0"/>
              <w:rPr>
                <w:sz w:val="1"/>
                <w:szCs w:val="1"/>
                <w:color w:val="auto"/>
              </w:rPr>
            </w:pPr>
          </w:p>
        </w:tc>
      </w:tr>
      <w:tr>
        <w:trPr>
          <w:trHeight w:val="177"/>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1,125,000</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1,475,000</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48,795</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151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5">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 w:lineRule="exact"/>
        <w:rPr>
          <w:sz w:val="20"/>
          <w:szCs w:val="20"/>
          <w:color w:val="auto"/>
        </w:rPr>
      </w:pPr>
    </w:p>
    <w:p>
      <w:pPr>
        <w:ind w:left="320" w:hanging="137"/>
        <w:spacing w:after="0"/>
        <w:tabs>
          <w:tab w:leader="none" w:pos="32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notional of the basis swap amortizes to match the total notional of the interest rate swap portfolio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5789295</wp:posOffset>
            </wp:positionH>
            <wp:positionV relativeFrom="paragraph">
              <wp:posOffset>-102235</wp:posOffset>
            </wp:positionV>
            <wp:extent cx="13493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6">
                      <a:extLst>
                        <a:ext uri="{28A0092B-C50C-407E-A947-70E740481C1C}"/>
                      </a:extLst>
                    </a:blip>
                    <a:srcRect/>
                    <a:stretch>
                      <a:fillRect/>
                    </a:stretch>
                  </pic:blipFill>
                  <pic:spPr bwMode="auto">
                    <a:xfrm>
                      <a:off x="0" y="0"/>
                      <a:ext cx="1349375" cy="8255"/>
                    </a:xfrm>
                    <a:prstGeom prst="rect">
                      <a:avLst/>
                    </a:prstGeom>
                    <a:noFill/>
                  </pic:spPr>
                </pic:pic>
              </a:graphicData>
            </a:graphic>
          </wp:anchor>
        </w:drawing>
        <w:drawing>
          <wp:anchor simplePos="0" relativeHeight="251657728" behindDoc="1" locked="0" layoutInCell="0" allowOverlap="1">
            <wp:simplePos x="0" y="0"/>
            <wp:positionH relativeFrom="column">
              <wp:posOffset>838835</wp:posOffset>
            </wp:positionH>
            <wp:positionV relativeFrom="paragraph">
              <wp:posOffset>-102235</wp:posOffset>
            </wp:positionV>
            <wp:extent cx="13074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7">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2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interest rate swaps were carried on the consolidated balance sheet at fair value and changes in the fair values were recorded as unrealized gains or losses in accumulated other comprehensive income (“AOCI”). For the years ended December 31, 2024 and 2023, the Company recorded gains of $22.7 million and $4.9 million, respectively, in AOCI related to the change in fair value of the interest rate swaps.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gains of $17.5 million and $18.1 million, respectively, in interest income included in the consolidated statements of operations related to the interest rate differential of the interest rate swaps. The estimated gain that is expected to be reclassified to interest income from AOCI as of December 31, 2024 within the next twelve months is $11.6 million.</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Hedging</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Rate Swaps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objective of the cross-currency swaps is to reduce volatility of earnings and cash flows associated with changes in the foreign currency exchange rate. Under the terms of these contracts, which have been designated as cash flow hedges, the Company will make interest payments in Swiss francs (“CHFs”) and receive interest in U.S. dollars. Upon the maturity of these contracts, the Company will pay the principal amount of the loans in CHF and receive U.S. dollars from the counterparties.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22, 2023, the Company amended the CHF-denominated intercompany loan to partially settle CHF 20.0 million and extend the termination date to September 2024 and as a result, the Company terminated the cross-currency swap designated as cash flow hedge of an intercompany loan with aggregate notional amount of $48.5 million. Simultaneously, the Company entered into a cross-currency swap agreement to hedge a notional amount of CHF 28.5 million equivalent to $31.5 million of this amended intercompany loan into U.S. dollars. Based on the closing exchange rates, the loss upon settlement was approximately $2.3 million which was offset by the gain on the settlement of the intercompany loan.</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19, 2025, the Company amended the CHF-denominated intercompany loan to extend the maturity to December 2030. Concurrently, the Company amended the cross-currency swap agreement, with a notional amount of $368.4 million, equivalent to CHF 328.1 million, to extend the maturity to December 2030.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cross-currency rate swaps as of December 31, 2024 and 2023 (dollar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   December 31, 2024</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Termination Date</w:t>
            </w:r>
          </w:p>
        </w:tc>
        <w:tc>
          <w:tcPr>
            <w:tcW w:w="80" w:type="dxa"/>
            <w:vAlign w:val="bottom"/>
          </w:tcPr>
          <w:p>
            <w:pPr>
              <w:spacing w:after="0"/>
              <w:rPr>
                <w:sz w:val="11"/>
                <w:szCs w:val="11"/>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660" w:type="dxa"/>
            <w:vAlign w:val="bottom"/>
          </w:tcPr>
          <w:p>
            <w:pPr>
              <w:spacing w:after="0"/>
              <w:rPr>
                <w:sz w:val="11"/>
                <w:szCs w:val="11"/>
                <w:color w:val="auto"/>
              </w:rPr>
            </w:pPr>
          </w:p>
        </w:tc>
        <w:tc>
          <w:tcPr>
            <w:tcW w:w="2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Notional Amount</w:t>
            </w:r>
          </w:p>
        </w:tc>
        <w:tc>
          <w:tcPr>
            <w:tcW w:w="420" w:type="dxa"/>
            <w:vAlign w:val="bottom"/>
          </w:tcPr>
          <w:p>
            <w:pPr>
              <w:spacing w:after="0"/>
              <w:rPr>
                <w:sz w:val="11"/>
                <w:szCs w:val="11"/>
                <w:color w:val="auto"/>
              </w:rPr>
            </w:pPr>
          </w:p>
        </w:tc>
        <w:tc>
          <w:tcPr>
            <w:tcW w:w="1420" w:type="dxa"/>
            <w:vAlign w:val="bottom"/>
            <w:gridSpan w:val="2"/>
          </w:tcPr>
          <w:p>
            <w:pPr>
              <w:jc w:val="center"/>
              <w:ind w:left="224"/>
              <w:spacing w:after="0" w:line="128"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gridSpan w:val="2"/>
            <w:vMerge w:val="restart"/>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w w:val="99"/>
              </w:rPr>
              <w:t>Asset (Liability)</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gridSpan w:val="2"/>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21, 2020</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22, 2025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328,136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351,137</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620" w:type="dxa"/>
            <w:vAlign w:val="bottom"/>
            <w:vMerge w:val="restart"/>
            <w:shd w:val="clear" w:color="auto" w:fill="CCEEFF"/>
          </w:tcPr>
          <w:p>
            <w:pPr>
              <w:jc w:val="center"/>
              <w:ind w:right="38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(38,324)</w:t>
            </w:r>
          </w:p>
        </w:tc>
        <w:tc>
          <w:tcPr>
            <w:tcW w:w="0" w:type="dxa"/>
            <w:vAlign w:val="bottom"/>
          </w:tcPr>
          <w:p>
            <w:pPr>
              <w:spacing w:after="0"/>
              <w:rPr>
                <w:sz w:val="1"/>
                <w:szCs w:val="1"/>
                <w:color w:val="auto"/>
              </w:rPr>
            </w:pPr>
          </w:p>
        </w:tc>
      </w:tr>
      <w:tr>
        <w:trPr>
          <w:trHeight w:val="106"/>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368,362</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394,183</w:t>
            </w:r>
          </w:p>
        </w:tc>
        <w:tc>
          <w:tcPr>
            <w:tcW w:w="100" w:type="dxa"/>
            <w:vAlign w:val="bottom"/>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440" w:type="dxa"/>
            <w:vAlign w:val="bottom"/>
            <w:gridSpan w:val="2"/>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September 22, 2023</w:t>
            </w: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September 23, 2024</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CHF</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(2,348)</w:t>
            </w:r>
          </w:p>
        </w:tc>
        <w:tc>
          <w:tcPr>
            <w:tcW w:w="0" w:type="dxa"/>
            <w:vAlign w:val="bottom"/>
          </w:tcPr>
          <w:p>
            <w:pPr>
              <w:spacing w:after="0"/>
              <w:rPr>
                <w:sz w:val="1"/>
                <w:szCs w:val="1"/>
                <w:color w:val="auto"/>
              </w:rPr>
            </w:pPr>
          </w:p>
        </w:tc>
      </w:tr>
      <w:tr>
        <w:trPr>
          <w:trHeight w:val="106"/>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520" w:type="dxa"/>
            <w:vAlign w:val="bottom"/>
            <w:gridSpan w:val="2"/>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31,457</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3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24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440" w:type="dxa"/>
            <w:vAlign w:val="bottom"/>
            <w:tcBorders>
              <w:bottom w:val="single" w:sz="8" w:color="CCEEFF"/>
            </w:tcBorders>
            <w:gridSpan w:val="2"/>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620" w:type="dxa"/>
            <w:vAlign w:val="bottom"/>
            <w:tcBorders>
              <w:bottom w:val="single" w:sz="8" w:color="auto"/>
            </w:tcBorders>
            <w:shd w:val="clear" w:color="auto" w:fill="CCEEFF"/>
          </w:tcPr>
          <w:p>
            <w:pPr>
              <w:jc w:val="center"/>
              <w:ind w:right="38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(40,672)</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cross-currency swaps are carried on the consolidated balance sheet at fair value, and changes in the fair values are recorded as unrealized gains or losses in AOCI. For the years ended December 31, 2024 and 2023 the Company recorded a gain of $41.0 million and a loss of $27.4 million, respectively, in AOCI related to change in fair value of the cross-currency swaps.</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a gain of $32.2 million and a loss of $37.4 million in other income, net for the change in fair value related to the foreign currency rate translation to offset the gains and losses, respectively, recognized on the intercompany loans.</w:t>
      </w:r>
    </w:p>
    <w:p>
      <w:pPr>
        <w:spacing w:after="0" w:line="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gains of $4.7 million and $5.5 million, respectively, in other income, net included in the consolidated statements of operations related to the interest rate differential of the cross-currency swaps.</w:t>
      </w:r>
    </w:p>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estimated loss that is expected to be reclassified to other income (expense), net from AOCI as of December 31, 2024 within the next twelve months is $4.4 million. As of December 31, 2024, the Company does not expect any gains or losses will be reclassified into earnings because the original forecasted transactions will not occur.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w:t>
      </w:r>
    </w:p>
    <w:p>
      <w:pPr>
        <w:spacing w:after="0" w:line="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May 2024, the Company entered into a cross-currency swap agreement with a notional amount of CHF 68.5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November 2023, May 2022, and October 2018, the Company entered into cross-currency swap agreements designated as net investment hedges to partially offset the effects of foreign currency on foreign subsidiaries.</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21, 2025, the Company entered into a cross-currency swap agreement with a notional amount of CHF 67.8 million, equivalent to $75.0 million, to be designated as a net investment hedge to partially offset the effects of foreign currency on foreign subsidiaries.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Company held the following cross-currency rate swaps designated as net investment hedges as of December 31, 2024 and 2023 (dollar amounts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4"/>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Effective Date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00" w:type="dxa"/>
            <w:vAlign w:val="bottom"/>
          </w:tcPr>
          <w:p>
            <w:pPr>
              <w:spacing w:after="0"/>
              <w:rPr>
                <w:sz w:val="11"/>
                <w:szCs w:val="11"/>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8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Aggregate Notional Amount</w:t>
            </w:r>
          </w:p>
        </w:tc>
        <w:tc>
          <w:tcPr>
            <w:tcW w:w="100" w:type="dxa"/>
            <w:vAlign w:val="bottom"/>
          </w:tcPr>
          <w:p>
            <w:pPr>
              <w:spacing w:after="0"/>
              <w:rPr>
                <w:sz w:val="11"/>
                <w:szCs w:val="11"/>
                <w:color w:val="auto"/>
              </w:rPr>
            </w:pPr>
          </w:p>
        </w:tc>
        <w:tc>
          <w:tcPr>
            <w:tcW w:w="2060" w:type="dxa"/>
            <w:vAlign w:val="bottom"/>
            <w:gridSpan w:val="4"/>
          </w:tcPr>
          <w:p>
            <w:pPr>
              <w:jc w:val="right"/>
              <w:ind w:right="683"/>
              <w:spacing w:after="0" w:line="134"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06"/>
        </w:trPr>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8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85"/>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EUR</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October 3, 2018</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September 30, 2025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EUR</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38,820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38,820</w:t>
            </w:r>
          </w:p>
        </w:tc>
        <w:tc>
          <w:tcPr>
            <w:tcW w:w="10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4,827</w:t>
            </w:r>
          </w:p>
        </w:tc>
        <w:tc>
          <w:tcPr>
            <w:tcW w:w="10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0" w:type="dxa"/>
            <w:vAlign w:val="bottom"/>
          </w:tcPr>
          <w:p>
            <w:pPr>
              <w:spacing w:after="0"/>
              <w:rPr>
                <w:sz w:val="1"/>
                <w:szCs w:val="1"/>
                <w:color w:val="auto"/>
              </w:rPr>
            </w:pPr>
          </w:p>
        </w:tc>
      </w:tr>
      <w:tr>
        <w:trPr>
          <w:trHeight w:val="106"/>
        </w:trPr>
        <w:tc>
          <w:tcPr>
            <w:tcW w:w="1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2.19%</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45,000</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8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May 26, 2022</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December 16, 2028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CHF</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240,175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(48,047)</w:t>
            </w:r>
          </w:p>
        </w:tc>
        <w:tc>
          <w:tcPr>
            <w:tcW w:w="0" w:type="dxa"/>
            <w:vAlign w:val="bottom"/>
          </w:tcPr>
          <w:p>
            <w:pPr>
              <w:spacing w:after="0"/>
              <w:rPr>
                <w:sz w:val="1"/>
                <w:szCs w:val="1"/>
                <w:color w:val="auto"/>
              </w:rPr>
            </w:pPr>
          </w:p>
        </w:tc>
      </w:tr>
      <w:tr>
        <w:trPr>
          <w:trHeight w:val="106"/>
        </w:trPr>
        <w:tc>
          <w:tcPr>
            <w:tcW w:w="1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1.94%</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250,000</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8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November 17, 2023</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December 17, 2029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CHF</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66,525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2.54%</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75,000</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0" w:type="dxa"/>
            <w:vAlign w:val="bottom"/>
          </w:tcPr>
          <w:p>
            <w:pPr>
              <w:spacing w:after="0"/>
              <w:rPr>
                <w:sz w:val="1"/>
                <w:szCs w:val="1"/>
                <w:color w:val="auto"/>
              </w:rPr>
            </w:pPr>
          </w:p>
        </w:tc>
      </w:tr>
      <w:tr>
        <w:trPr>
          <w:trHeight w:val="111"/>
        </w:trPr>
        <w:tc>
          <w:tcPr>
            <w:tcW w:w="1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8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 CHF</w:t>
            </w:r>
          </w:p>
        </w:tc>
        <w:tc>
          <w:tcPr>
            <w:tcW w:w="10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May 6, 2024</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December 18, 2030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CHF</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68,483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Receive U.S.$</w:t>
            </w:r>
          </w:p>
        </w:tc>
        <w:tc>
          <w:tcPr>
            <w:tcW w:w="100" w:type="dxa"/>
            <w:vAlign w:val="bottom"/>
            <w:shd w:val="clear" w:color="auto" w:fill="CCEEFF"/>
          </w:tcPr>
          <w:p>
            <w:pPr>
              <w:spacing w:after="0"/>
              <w:rPr>
                <w:sz w:val="9"/>
                <w:szCs w:val="9"/>
                <w:color w:val="auto"/>
              </w:rPr>
            </w:pPr>
          </w:p>
        </w:tc>
        <w:tc>
          <w:tcPr>
            <w:tcW w:w="1420" w:type="dxa"/>
            <w:vAlign w:val="bottom"/>
            <w:gridSpan w:val="2"/>
            <w:vMerge w:val="continue"/>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2.74%</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75,000</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1"/>
        </w:trPr>
        <w:tc>
          <w:tcPr>
            <w:tcW w:w="1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gridSpan w:val="2"/>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(49,609)</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cross-currency swaps were carried on the consolidated balance sheet at fair value and changes in the fair values were recorded as unrealized gains or losses in AOCI. For the years ended December 31, 2024 and 2023, the Company recorded a gain of $24.5 million and a loss of $30.7 million, respectively, in AOCI related to the change in fair value of the cross-currency swaps.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gains of $10.1 million and $7.8 million, respectively, in interest income included in the consolidated statements of operations related to the interest rate differential of the cross-currency swaps. The estimated gain that is expected to be reclassified to interest income from AOCI as of December 31, 2024 within the next twelve months is $9.4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into a hedge for forecasted intercompany purchases denominated in foreign currencies through the use of forward contracts designated as cash flow hedges. To the extent these forward contracts meet hedge accounting criteria, changes in their fair value are not included in accumulated comprehensive loss. These changes in fair value will be recognized into earnings as a component of cost of sales when the forecasted-transaction occurs.</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Throughout 2024, the Company entered into foreign currency forwards to mitigate the exchange rate risk of CHF denominated intercompany purchases. These contracts typically settle at various dates within twelve months of execution. As of December 31, 2024 the notional amount of foreign currency forward contracts was CHF 16.9 million.</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2024 and 2023 the Company recorded losses of $1.1 million and gains of $0.4 million, respectively, in AOCI related to the change in fair value of the foreign currency forward contracts.</w:t>
      </w:r>
    </w:p>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2024 and 2023 the Company recorded losses of $0.4 million and gains of $0.4 million, respectively, in other income and cost of goods sold included in the consolidated statements of operations related to the amortization of forward points and rate translation on the foreign currency forward contracts.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Derivative Instruments on Financial Position and Results of Operations</w:t>
      </w:r>
    </w:p>
    <w:p>
      <w:pPr>
        <w:spacing w:after="0" w:line="11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fair value for derivatives designated as hedging instruments in the consolidated balance sheets as of December 31, 2024 and 2023:</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2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 as of December 31,</w:t>
            </w:r>
          </w:p>
        </w:tc>
      </w:tr>
      <w:tr>
        <w:trPr>
          <w:trHeight w:val="205"/>
        </w:trPr>
        <w:tc>
          <w:tcPr>
            <w:tcW w:w="82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54"/>
        </w:trPr>
        <w:tc>
          <w:tcPr>
            <w:tcW w:w="8260" w:type="dxa"/>
            <w:vAlign w:val="bottom"/>
            <w:tcBorders>
              <w:left w:val="single" w:sz="8" w:color="CCEEFF"/>
            </w:tcBorders>
            <w:gridSpan w:val="4"/>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 xml:space="preserve">Location on Balance Sheet </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40"/>
        </w:trPr>
        <w:tc>
          <w:tcPr>
            <w:tcW w:w="320" w:type="dxa"/>
            <w:vAlign w:val="bottom"/>
            <w:tcBorders>
              <w:left w:val="single" w:sz="8" w:color="CCEEFF"/>
            </w:tcBorders>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6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r>
        <w:trPr>
          <w:trHeight w:val="211"/>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8260" w:type="dxa"/>
            <w:vAlign w:val="bottom"/>
            <w:tcBorders>
              <w:lef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3"/>
        </w:trPr>
        <w:tc>
          <w:tcPr>
            <w:tcW w:w="320" w:type="dxa"/>
            <w:vAlign w:val="bottom"/>
          </w:tcPr>
          <w:p>
            <w:pPr>
              <w:spacing w:after="0"/>
              <w:rPr>
                <w:sz w:val="15"/>
                <w:szCs w:val="15"/>
                <w:color w:val="auto"/>
              </w:rPr>
            </w:pPr>
          </w:p>
        </w:tc>
        <w:tc>
          <w:tcPr>
            <w:tcW w:w="1220" w:type="dxa"/>
            <w:vAlign w:val="bottom"/>
            <w:tcBorders>
              <w:bottom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w w:val="99"/>
              </w:rPr>
              <w:t>Cash Flow Hedges</w:t>
            </w:r>
          </w:p>
        </w:tc>
        <w:tc>
          <w:tcPr>
            <w:tcW w:w="672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2"/>
        </w:trPr>
        <w:tc>
          <w:tcPr>
            <w:tcW w:w="320" w:type="dxa"/>
            <w:vAlign w:val="bottom"/>
            <w:tcBorders>
              <w:left w:val="single" w:sz="8" w:color="CCEEFF"/>
            </w:tcBorders>
            <w:shd w:val="clear" w:color="auto" w:fill="CCEEFF"/>
          </w:tcPr>
          <w:p>
            <w:pPr>
              <w:spacing w:after="0"/>
              <w:rPr>
                <w:sz w:val="19"/>
                <w:szCs w:val="19"/>
                <w:color w:val="auto"/>
              </w:rPr>
            </w:pPr>
          </w:p>
        </w:tc>
        <w:tc>
          <w:tcPr>
            <w:tcW w:w="7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14,675</w:t>
            </w:r>
          </w:p>
        </w:tc>
      </w:tr>
      <w:tr>
        <w:trPr>
          <w:trHeight w:val="210"/>
        </w:trPr>
        <w:tc>
          <w:tcPr>
            <w:tcW w:w="320" w:type="dxa"/>
            <w:vAlign w:val="bottom"/>
          </w:tcPr>
          <w:p>
            <w:pPr>
              <w:spacing w:after="0"/>
              <w:rPr>
                <w:sz w:val="18"/>
                <w:szCs w:val="18"/>
                <w:color w:val="auto"/>
              </w:rPr>
            </w:pP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Cross-currency swap</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195"/>
        </w:trPr>
        <w:tc>
          <w:tcPr>
            <w:tcW w:w="320" w:type="dxa"/>
            <w:vAlign w:val="bottom"/>
            <w:tcBorders>
              <w:left w:val="single" w:sz="8" w:color="CCEEFF"/>
            </w:tcBorders>
            <w:shd w:val="clear" w:color="auto" w:fill="CCEEFF"/>
          </w:tcPr>
          <w:p>
            <w:pPr>
              <w:spacing w:after="0"/>
              <w:rPr>
                <w:sz w:val="16"/>
                <w:szCs w:val="16"/>
                <w:color w:val="auto"/>
              </w:rPr>
            </w:pPr>
          </w:p>
        </w:tc>
        <w:tc>
          <w:tcPr>
            <w:tcW w:w="79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Investment Hedges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Cross-currency swap</w:t>
            </w:r>
          </w:p>
        </w:tc>
        <w:tc>
          <w:tcPr>
            <w:tcW w:w="6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8,605</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2,938</w:t>
            </w:r>
          </w:p>
        </w:tc>
      </w:tr>
      <w:tr>
        <w:trPr>
          <w:trHeight w:val="215"/>
        </w:trPr>
        <w:tc>
          <w:tcPr>
            <w:tcW w:w="8260" w:type="dxa"/>
            <w:vAlign w:val="bottom"/>
            <w:tcBorders>
              <w:lef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3"/>
        </w:trPr>
        <w:tc>
          <w:tcPr>
            <w:tcW w:w="320" w:type="dxa"/>
            <w:vAlign w:val="bottom"/>
          </w:tcPr>
          <w:p>
            <w:pPr>
              <w:spacing w:after="0"/>
              <w:rPr>
                <w:sz w:val="15"/>
                <w:szCs w:val="15"/>
                <w:color w:val="auto"/>
              </w:rPr>
            </w:pPr>
          </w:p>
        </w:tc>
        <w:tc>
          <w:tcPr>
            <w:tcW w:w="1220" w:type="dxa"/>
            <w:vAlign w:val="bottom"/>
            <w:tcBorders>
              <w:bottom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w w:val="99"/>
              </w:rPr>
              <w:t>Cash Flow Hedges</w:t>
            </w:r>
          </w:p>
        </w:tc>
        <w:tc>
          <w:tcPr>
            <w:tcW w:w="672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2"/>
        </w:trPr>
        <w:tc>
          <w:tcPr>
            <w:tcW w:w="320" w:type="dxa"/>
            <w:vAlign w:val="bottom"/>
            <w:tcBorders>
              <w:left w:val="single" w:sz="8" w:color="CCEEFF"/>
            </w:tcBorders>
            <w:shd w:val="clear" w:color="auto" w:fill="CCEEFF"/>
          </w:tcPr>
          <w:p>
            <w:pPr>
              <w:spacing w:after="0"/>
              <w:rPr>
                <w:sz w:val="19"/>
                <w:szCs w:val="19"/>
                <w:color w:val="auto"/>
              </w:rPr>
            </w:pPr>
          </w:p>
        </w:tc>
        <w:tc>
          <w:tcPr>
            <w:tcW w:w="7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30,710</w:t>
            </w:r>
          </w:p>
        </w:tc>
      </w:tr>
      <w:tr>
        <w:trPr>
          <w:trHeight w:val="183"/>
        </w:trPr>
        <w:tc>
          <w:tcPr>
            <w:tcW w:w="320" w:type="dxa"/>
            <w:vAlign w:val="bottom"/>
          </w:tcPr>
          <w:p>
            <w:pPr>
              <w:spacing w:after="0"/>
              <w:rPr>
                <w:sz w:val="15"/>
                <w:szCs w:val="15"/>
                <w:color w:val="auto"/>
              </w:rPr>
            </w:pPr>
          </w:p>
        </w:tc>
        <w:tc>
          <w:tcPr>
            <w:tcW w:w="794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color w:val="auto"/>
              </w:rPr>
              <w:t>Net Investment Hedges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2"/>
        </w:trPr>
        <w:tc>
          <w:tcPr>
            <w:tcW w:w="320" w:type="dxa"/>
            <w:vAlign w:val="bottom"/>
            <w:tcBorders>
              <w:left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Cross-currency swap</w:t>
            </w:r>
          </w:p>
        </w:tc>
        <w:tc>
          <w:tcPr>
            <w:tcW w:w="6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04"/>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Assets</w:t>
            </w: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59,227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50,330</w:t>
            </w: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4"/>
        </w:trPr>
        <w:tc>
          <w:tcPr>
            <w:tcW w:w="320" w:type="dxa"/>
            <w:vAlign w:val="bottom"/>
            <w:tcBorders>
              <w:left w:val="single" w:sz="8" w:color="CCEEFF"/>
            </w:tcBorders>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1"/>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hedges —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8260" w:type="dxa"/>
            <w:vAlign w:val="bottom"/>
            <w:tcBorders>
              <w:lef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3"/>
        </w:trPr>
        <w:tc>
          <w:tcPr>
            <w:tcW w:w="320" w:type="dxa"/>
            <w:vAlign w:val="bottom"/>
          </w:tcPr>
          <w:p>
            <w:pPr>
              <w:spacing w:after="0"/>
              <w:rPr>
                <w:sz w:val="15"/>
                <w:szCs w:val="15"/>
                <w:color w:val="auto"/>
              </w:rPr>
            </w:pPr>
          </w:p>
        </w:tc>
        <w:tc>
          <w:tcPr>
            <w:tcW w:w="1220" w:type="dxa"/>
            <w:vAlign w:val="bottom"/>
            <w:tcBorders>
              <w:bottom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w w:val="99"/>
              </w:rPr>
              <w:t>Cash Flow Hedges</w:t>
            </w:r>
          </w:p>
        </w:tc>
        <w:tc>
          <w:tcPr>
            <w:tcW w:w="672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2"/>
        </w:trPr>
        <w:tc>
          <w:tcPr>
            <w:tcW w:w="320" w:type="dxa"/>
            <w:vAlign w:val="bottom"/>
            <w:tcBorders>
              <w:left w:val="single" w:sz="8" w:color="CCEEFF"/>
            </w:tcBorders>
            <w:shd w:val="clear" w:color="auto" w:fill="CCEEFF"/>
          </w:tcPr>
          <w:p>
            <w:pPr>
              <w:spacing w:after="0"/>
              <w:rPr>
                <w:sz w:val="19"/>
                <w:szCs w:val="19"/>
                <w:color w:val="auto"/>
              </w:rPr>
            </w:pPr>
          </w:p>
        </w:tc>
        <w:tc>
          <w:tcPr>
            <w:tcW w:w="7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210"/>
        </w:trPr>
        <w:tc>
          <w:tcPr>
            <w:tcW w:w="320" w:type="dxa"/>
            <w:vAlign w:val="bottom"/>
          </w:tcPr>
          <w:p>
            <w:pPr>
              <w:spacing w:after="0"/>
              <w:rPr>
                <w:sz w:val="18"/>
                <w:szCs w:val="18"/>
                <w:color w:val="auto"/>
              </w:rPr>
            </w:pP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Cross-currency swap</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w:t>
            </w:r>
          </w:p>
        </w:tc>
      </w:tr>
      <w:tr>
        <w:trPr>
          <w:trHeight w:val="215"/>
        </w:trPr>
        <w:tc>
          <w:tcPr>
            <w:tcW w:w="320" w:type="dxa"/>
            <w:vAlign w:val="bottom"/>
            <w:tcBorders>
              <w:left w:val="single" w:sz="8" w:color="CCEEFF"/>
            </w:tcBorders>
            <w:shd w:val="clear" w:color="auto" w:fill="CCEEFF"/>
          </w:tcPr>
          <w:p>
            <w:pPr>
              <w:spacing w:after="0"/>
              <w:rPr>
                <w:sz w:val="18"/>
                <w:szCs w:val="18"/>
                <w:color w:val="auto"/>
              </w:rPr>
            </w:pPr>
          </w:p>
        </w:tc>
        <w:tc>
          <w:tcPr>
            <w:tcW w:w="7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320" w:type="dxa"/>
            <w:vAlign w:val="bottom"/>
          </w:tcPr>
          <w:p>
            <w:pPr>
              <w:spacing w:after="0"/>
              <w:rPr>
                <w:sz w:val="15"/>
                <w:szCs w:val="15"/>
                <w:color w:val="auto"/>
              </w:rPr>
            </w:pPr>
          </w:p>
        </w:tc>
        <w:tc>
          <w:tcPr>
            <w:tcW w:w="794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color w:val="auto"/>
              </w:rPr>
              <w:t>Net Investment Hedges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2"/>
        </w:trPr>
        <w:tc>
          <w:tcPr>
            <w:tcW w:w="320" w:type="dxa"/>
            <w:vAlign w:val="bottom"/>
            <w:tcBorders>
              <w:left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6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r>
      <w:tr>
        <w:trPr>
          <w:trHeight w:val="210"/>
        </w:trPr>
        <w:tc>
          <w:tcPr>
            <w:tcW w:w="826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5"/>
        </w:trPr>
        <w:tc>
          <w:tcPr>
            <w:tcW w:w="320" w:type="dxa"/>
            <w:vAlign w:val="bottom"/>
            <w:tcBorders>
              <w:left w:val="single" w:sz="8" w:color="CCEEFF"/>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w w:val="99"/>
              </w:rPr>
              <w:t>Cash Flow Hedges</w:t>
            </w:r>
          </w:p>
        </w:tc>
        <w:tc>
          <w:tcPr>
            <w:tcW w:w="6720" w:type="dxa"/>
            <w:vAlign w:val="bottom"/>
            <w:tcBorders>
              <w:bottom w:val="single" w:sz="8" w:color="CCEEFF"/>
            </w:tcBorders>
            <w:gridSpan w:val="2"/>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10"/>
        </w:trPr>
        <w:tc>
          <w:tcPr>
            <w:tcW w:w="320" w:type="dxa"/>
            <w:vAlign w:val="bottom"/>
          </w:tcPr>
          <w:p>
            <w:pPr>
              <w:spacing w:after="0"/>
              <w:rPr>
                <w:sz w:val="18"/>
                <w:szCs w:val="18"/>
                <w:color w:val="auto"/>
              </w:rPr>
            </w:pP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Interest rate swap</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5"/>
        </w:trPr>
        <w:tc>
          <w:tcPr>
            <w:tcW w:w="320" w:type="dxa"/>
            <w:vAlign w:val="bottom"/>
            <w:tcBorders>
              <w:left w:val="single" w:sz="8" w:color="CCEEFF"/>
            </w:tcBorders>
            <w:shd w:val="clear" w:color="auto" w:fill="CCEEFF"/>
          </w:tcPr>
          <w:p>
            <w:pPr>
              <w:spacing w:after="0"/>
              <w:rPr>
                <w:sz w:val="18"/>
                <w:szCs w:val="18"/>
                <w:color w:val="auto"/>
              </w:rPr>
            </w:pPr>
          </w:p>
        </w:tc>
        <w:tc>
          <w:tcPr>
            <w:tcW w:w="7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Cross-currency swap</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36,396</w:t>
            </w:r>
          </w:p>
        </w:tc>
      </w:tr>
      <w:tr>
        <w:trPr>
          <w:trHeight w:val="183"/>
        </w:trPr>
        <w:tc>
          <w:tcPr>
            <w:tcW w:w="320" w:type="dxa"/>
            <w:vAlign w:val="bottom"/>
          </w:tcPr>
          <w:p>
            <w:pPr>
              <w:spacing w:after="0"/>
              <w:rPr>
                <w:sz w:val="15"/>
                <w:szCs w:val="15"/>
                <w:color w:val="auto"/>
              </w:rPr>
            </w:pPr>
          </w:p>
        </w:tc>
        <w:tc>
          <w:tcPr>
            <w:tcW w:w="794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color w:val="auto"/>
              </w:rPr>
              <w:t>Net Investment Hedges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2"/>
        </w:trPr>
        <w:tc>
          <w:tcPr>
            <w:tcW w:w="320" w:type="dxa"/>
            <w:vAlign w:val="bottom"/>
            <w:tcBorders>
              <w:left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Cross-currency swap</w:t>
            </w:r>
          </w:p>
        </w:tc>
        <w:tc>
          <w:tcPr>
            <w:tcW w:w="64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51,114</w:t>
            </w:r>
          </w:p>
        </w:tc>
      </w:tr>
      <w:tr>
        <w:trPr>
          <w:trHeight w:val="204"/>
        </w:trPr>
        <w:tc>
          <w:tcPr>
            <w:tcW w:w="82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 designated as hedges — Liabilities</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97,055</w:t>
            </w:r>
          </w:p>
        </w:tc>
      </w:tr>
      <w:tr>
        <w:trPr>
          <w:trHeight w:val="22"/>
        </w:trPr>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160" w:hanging="154"/>
        <w:spacing w:after="0"/>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classifies derivative assets and liabilities as current based on the cash flows expected to be incurred within the following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presents the effect of derivative instruments designated as cash flow hedges and net investment hedges on the accompanying consolidated statement of operations during the years ended December 31, 2024 and 2023:</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Balance in AOCI</w:t>
            </w: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220" w:type="dxa"/>
            <w:vAlign w:val="bottom"/>
          </w:tcPr>
          <w:p>
            <w:pPr>
              <w:spacing w:after="0"/>
              <w:rPr>
                <w:sz w:val="16"/>
                <w:szCs w:val="16"/>
                <w:color w:val="auto"/>
              </w:rPr>
            </w:pP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 of Gain (Loss)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Location in</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6"/>
                <w:szCs w:val="16"/>
                <w:b w:val="1"/>
                <w:bCs w:val="1"/>
                <w:color w:val="auto"/>
              </w:rPr>
              <w:t>Gain (Loss)</w:t>
            </w:r>
          </w:p>
        </w:tc>
        <w:tc>
          <w:tcPr>
            <w:tcW w:w="220" w:type="dxa"/>
            <w:vAlign w:val="bottom"/>
          </w:tcPr>
          <w:p>
            <w:pPr>
              <w:spacing w:after="0"/>
              <w:rPr>
                <w:sz w:val="13"/>
                <w:szCs w:val="13"/>
                <w:color w:val="auto"/>
              </w:rPr>
            </w:pPr>
          </w:p>
        </w:tc>
        <w:tc>
          <w:tcPr>
            <w:tcW w:w="212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Reclassified from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Balance in AOCI</w:t>
            </w:r>
          </w:p>
        </w:tc>
        <w:tc>
          <w:tcPr>
            <w:tcW w:w="14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3"/>
                <w:szCs w:val="13"/>
                <w:color w:val="auto"/>
              </w:rPr>
            </w:pPr>
          </w:p>
        </w:tc>
        <w:tc>
          <w:tcPr>
            <w:tcW w:w="162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Beginning of</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w w:val="98"/>
              </w:rPr>
              <w:t>Recognized in</w:t>
            </w:r>
          </w:p>
        </w:tc>
        <w:tc>
          <w:tcPr>
            <w:tcW w:w="220" w:type="dxa"/>
            <w:vAlign w:val="bottom"/>
          </w:tcPr>
          <w:p>
            <w:pPr>
              <w:spacing w:after="0"/>
              <w:rPr>
                <w:sz w:val="13"/>
                <w:szCs w:val="13"/>
                <w:color w:val="auto"/>
              </w:rPr>
            </w:pPr>
          </w:p>
        </w:tc>
        <w:tc>
          <w:tcPr>
            <w:tcW w:w="212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AOCI into</w:t>
            </w:r>
          </w:p>
        </w:tc>
        <w:tc>
          <w:tcPr>
            <w:tcW w:w="1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0" w:type="dxa"/>
            <w:vAlign w:val="bottom"/>
          </w:tcPr>
          <w:p>
            <w:pPr>
              <w:spacing w:after="0"/>
              <w:rPr>
                <w:sz w:val="1"/>
                <w:szCs w:val="1"/>
                <w:color w:val="auto"/>
              </w:rPr>
            </w:pPr>
          </w:p>
        </w:tc>
      </w:tr>
      <w:tr>
        <w:trPr>
          <w:trHeight w:val="211"/>
        </w:trPr>
        <w:tc>
          <w:tcPr>
            <w:tcW w:w="266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AOCI</w:t>
            </w:r>
          </w:p>
        </w:tc>
        <w:tc>
          <w:tcPr>
            <w:tcW w:w="220" w:type="dxa"/>
            <w:vAlign w:val="bottom"/>
          </w:tcPr>
          <w:p>
            <w:pPr>
              <w:spacing w:after="0"/>
              <w:rPr>
                <w:sz w:val="18"/>
                <w:szCs w:val="18"/>
                <w:color w:val="auto"/>
              </w:rPr>
            </w:pPr>
          </w:p>
        </w:tc>
        <w:tc>
          <w:tcPr>
            <w:tcW w:w="2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4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End of Year</w:t>
            </w:r>
          </w:p>
        </w:tc>
        <w:tc>
          <w:tcPr>
            <w:tcW w:w="1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0" w:type="dxa"/>
            <w:vAlign w:val="bottom"/>
          </w:tcPr>
          <w:p>
            <w:pPr>
              <w:spacing w:after="0"/>
              <w:rPr>
                <w:sz w:val="1"/>
                <w:szCs w:val="1"/>
                <w:color w:val="auto"/>
              </w:rPr>
            </w:pPr>
          </w:p>
        </w:tc>
      </w:tr>
      <w:tr>
        <w:trPr>
          <w:trHeight w:val="194"/>
        </w:trPr>
        <w:tc>
          <w:tcPr>
            <w:tcW w:w="26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252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color w:val="auto"/>
              </w:rPr>
              <w:t>Cash Flow Hedges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14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48,794</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(11,621)</w:t>
            </w:r>
          </w:p>
        </w:tc>
        <w:tc>
          <w:tcPr>
            <w:tcW w:w="140" w:type="dxa"/>
            <w:vAlign w:val="bottom"/>
          </w:tcPr>
          <w:p>
            <w:pPr>
              <w:spacing w:after="0"/>
              <w:rPr>
                <w:sz w:val="18"/>
                <w:szCs w:val="18"/>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Forward Currency Forward</w:t>
            </w:r>
          </w:p>
        </w:tc>
        <w:tc>
          <w:tcPr>
            <w:tcW w:w="18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Cost of sales and other</w:t>
            </w:r>
          </w:p>
        </w:tc>
        <w:tc>
          <w:tcPr>
            <w:tcW w:w="0" w:type="dxa"/>
            <w:vAlign w:val="bottom"/>
          </w:tcPr>
          <w:p>
            <w:pPr>
              <w:spacing w:after="0"/>
              <w:rPr>
                <w:sz w:val="1"/>
                <w:szCs w:val="1"/>
                <w:color w:val="auto"/>
              </w:rPr>
            </w:pPr>
          </w:p>
        </w:tc>
      </w:tr>
      <w:tr>
        <w:trPr>
          <w:trHeight w:val="128"/>
        </w:trPr>
        <w:tc>
          <w:tcPr>
            <w:tcW w:w="140" w:type="dxa"/>
            <w:vAlign w:val="bottom"/>
            <w:shd w:val="clear" w:color="auto" w:fill="CCEEFF"/>
          </w:tcPr>
          <w:p>
            <w:pPr>
              <w:spacing w:after="0"/>
              <w:rPr>
                <w:sz w:val="11"/>
                <w:szCs w:val="11"/>
                <w:color w:val="auto"/>
              </w:rPr>
            </w:pPr>
          </w:p>
        </w:tc>
        <w:tc>
          <w:tcPr>
            <w:tcW w:w="25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Contracts</w:t>
            </w:r>
          </w:p>
        </w:tc>
        <w:tc>
          <w:tcPr>
            <w:tcW w:w="18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net</w:t>
            </w:r>
          </w:p>
        </w:tc>
        <w:tc>
          <w:tcPr>
            <w:tcW w:w="0" w:type="dxa"/>
            <w:vAlign w:val="bottom"/>
          </w:tcPr>
          <w:p>
            <w:pPr>
              <w:spacing w:after="0"/>
              <w:rPr>
                <w:sz w:val="1"/>
                <w:szCs w:val="1"/>
                <w:color w:val="auto"/>
              </w:rPr>
            </w:pPr>
          </w:p>
        </w:tc>
      </w:tr>
      <w:tr>
        <w:trPr>
          <w:trHeight w:val="85"/>
        </w:trPr>
        <w:tc>
          <w:tcPr>
            <w:tcW w:w="140" w:type="dxa"/>
            <w:vAlign w:val="bottom"/>
            <w:shd w:val="clear" w:color="auto" w:fill="CCEEFF"/>
          </w:tcPr>
          <w:p>
            <w:pPr>
              <w:spacing w:after="0"/>
              <w:rPr>
                <w:sz w:val="7"/>
                <w:szCs w:val="7"/>
                <w:color w:val="auto"/>
              </w:rPr>
            </w:pPr>
          </w:p>
        </w:tc>
        <w:tc>
          <w:tcPr>
            <w:tcW w:w="2520" w:type="dxa"/>
            <w:vAlign w:val="bottom"/>
            <w:gridSpan w:val="3"/>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500" w:type="dxa"/>
            <w:vAlign w:val="bottom"/>
            <w:tcBorders>
              <w:bottom w:val="single" w:sz="8" w:color="auto"/>
            </w:tcBorders>
            <w:gridSpan w:val="2"/>
          </w:tcPr>
          <w:p>
            <w:pPr>
              <w:spacing w:after="0" w:line="173" w:lineRule="exact"/>
              <w:rPr>
                <w:sz w:val="20"/>
                <w:szCs w:val="20"/>
                <w:color w:val="auto"/>
              </w:rPr>
            </w:pPr>
            <w:r>
              <w:rPr>
                <w:rFonts w:ascii="Times New Roman" w:cs="Times New Roman" w:eastAsia="Times New Roman" w:hAnsi="Times New Roman"/>
                <w:sz w:val="16"/>
                <w:szCs w:val="16"/>
                <w:color w:val="auto"/>
                <w:w w:val="98"/>
              </w:rPr>
              <w:t>Net Investment Hedges</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4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24,489</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(31,130)</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87,127</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64,003</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60" w:type="dxa"/>
            <w:vAlign w:val="bottom"/>
            <w:gridSpan w:val="4"/>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252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color w:val="auto"/>
              </w:rPr>
              <w:t>Cash Flow Hedges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14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rate swap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43,556</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(15,763)</w:t>
            </w:r>
          </w:p>
        </w:tc>
        <w:tc>
          <w:tcPr>
            <w:tcW w:w="140" w:type="dxa"/>
            <w:vAlign w:val="bottom"/>
          </w:tcPr>
          <w:p>
            <w:pPr>
              <w:spacing w:after="0"/>
              <w:rPr>
                <w:sz w:val="18"/>
                <w:szCs w:val="18"/>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0" w:type="dxa"/>
            <w:vAlign w:val="bottom"/>
          </w:tcPr>
          <w:p>
            <w:pPr>
              <w:spacing w:after="0"/>
              <w:rPr>
                <w:sz w:val="1"/>
                <w:szCs w:val="1"/>
                <w:color w:val="auto"/>
              </w:rPr>
            </w:pPr>
          </w:p>
        </w:tc>
      </w:tr>
      <w:tr>
        <w:trPr>
          <w:trHeight w:val="162"/>
        </w:trPr>
        <w:tc>
          <w:tcPr>
            <w:tcW w:w="14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Forward Currency Forward</w:t>
            </w:r>
          </w:p>
        </w:tc>
        <w:tc>
          <w:tcPr>
            <w:tcW w:w="18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Cost of sales and other</w:t>
            </w:r>
          </w:p>
        </w:tc>
        <w:tc>
          <w:tcPr>
            <w:tcW w:w="0" w:type="dxa"/>
            <w:vAlign w:val="bottom"/>
          </w:tcPr>
          <w:p>
            <w:pPr>
              <w:spacing w:after="0"/>
              <w:rPr>
                <w:sz w:val="1"/>
                <w:szCs w:val="1"/>
                <w:color w:val="auto"/>
              </w:rPr>
            </w:pPr>
          </w:p>
        </w:tc>
      </w:tr>
      <w:tr>
        <w:trPr>
          <w:trHeight w:val="128"/>
        </w:trPr>
        <w:tc>
          <w:tcPr>
            <w:tcW w:w="140" w:type="dxa"/>
            <w:vAlign w:val="bottom"/>
            <w:shd w:val="clear" w:color="auto" w:fill="CCEEFF"/>
          </w:tcPr>
          <w:p>
            <w:pPr>
              <w:spacing w:after="0"/>
              <w:rPr>
                <w:sz w:val="11"/>
                <w:szCs w:val="11"/>
                <w:color w:val="auto"/>
              </w:rPr>
            </w:pPr>
          </w:p>
        </w:tc>
        <w:tc>
          <w:tcPr>
            <w:tcW w:w="25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Contracts</w:t>
            </w:r>
          </w:p>
        </w:tc>
        <w:tc>
          <w:tcPr>
            <w:tcW w:w="180" w:type="dxa"/>
            <w:vAlign w:val="bottom"/>
            <w:shd w:val="clear" w:color="auto" w:fill="CCEEFF"/>
          </w:tcPr>
          <w:p>
            <w:pPr>
              <w:spacing w:after="0"/>
              <w:rPr>
                <w:sz w:val="11"/>
                <w:szCs w:val="11"/>
                <w:color w:val="auto"/>
              </w:rPr>
            </w:pPr>
          </w:p>
        </w:tc>
        <w:tc>
          <w:tcPr>
            <w:tcW w:w="162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net</w:t>
            </w:r>
          </w:p>
        </w:tc>
        <w:tc>
          <w:tcPr>
            <w:tcW w:w="0" w:type="dxa"/>
            <w:vAlign w:val="bottom"/>
          </w:tcPr>
          <w:p>
            <w:pPr>
              <w:spacing w:after="0"/>
              <w:rPr>
                <w:sz w:val="1"/>
                <w:szCs w:val="1"/>
                <w:color w:val="auto"/>
              </w:rPr>
            </w:pPr>
          </w:p>
        </w:tc>
      </w:tr>
      <w:tr>
        <w:trPr>
          <w:trHeight w:val="85"/>
        </w:trPr>
        <w:tc>
          <w:tcPr>
            <w:tcW w:w="140" w:type="dxa"/>
            <w:vAlign w:val="bottom"/>
            <w:shd w:val="clear" w:color="auto" w:fill="CCEEFF"/>
          </w:tcPr>
          <w:p>
            <w:pPr>
              <w:spacing w:after="0"/>
              <w:rPr>
                <w:sz w:val="7"/>
                <w:szCs w:val="7"/>
                <w:color w:val="auto"/>
              </w:rPr>
            </w:pPr>
          </w:p>
        </w:tc>
        <w:tc>
          <w:tcPr>
            <w:tcW w:w="2520" w:type="dxa"/>
            <w:vAlign w:val="bottom"/>
            <w:gridSpan w:val="3"/>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500" w:type="dxa"/>
            <w:vAlign w:val="bottom"/>
            <w:tcBorders>
              <w:bottom w:val="single" w:sz="8" w:color="auto"/>
            </w:tcBorders>
            <w:gridSpan w:val="2"/>
          </w:tcPr>
          <w:p>
            <w:pPr>
              <w:spacing w:after="0" w:line="173" w:lineRule="exact"/>
              <w:rPr>
                <w:sz w:val="20"/>
                <w:szCs w:val="20"/>
                <w:color w:val="auto"/>
              </w:rPr>
            </w:pPr>
            <w:r>
              <w:rPr>
                <w:rFonts w:ascii="Times New Roman" w:cs="Times New Roman" w:eastAsia="Times New Roman" w:hAnsi="Times New Roman"/>
                <w:sz w:val="16"/>
                <w:szCs w:val="16"/>
                <w:color w:val="auto"/>
                <w:w w:val="98"/>
              </w:rPr>
              <w:t>Net Investment Hedges</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4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Cross-currency swap</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(30,738)</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(45,498)</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29,527</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(5,577)</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Not Designated as Hedges: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2024, the Company entered into foreign currency forward contracts to mitigate risk from the fluctuations in foreign currency exchange rates associated with intercompany receivables in Chinese yuan (“CNH”). These contracts typically settle at various dates within twelve months of execution. As of December 31, 2024, the notional amounts totaled CNH 140.0 million.</w:t>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second quarter of 2021, the Company entered into a foreign currency swap, with a notional amount of $7.3 million, to mitigate the risk from fluctuations in foreign currency exchange rates associated with an intercompany loan denominated in Japanese Yen (“JPY”).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in the second quarter of 2023 and the second quarter of 2024, bringing the notional amount down to $4.6 million as of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derivative instruments not designated as hedges was $1.7 million and $1.2 million as of December 31, 2024 and 2023, respectively.</w:t>
      </w:r>
    </w:p>
    <w:p>
      <w:pPr>
        <w:spacing w:after="0" w:line="1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gains (losses) of derivative instruments not designated as hedges on the consolidated statements of income, which was included in other income:</w:t>
      </w:r>
    </w:p>
    <w:p>
      <w:pPr>
        <w:spacing w:after="0" w:line="205" w:lineRule="exact"/>
        <w:rPr>
          <w:sz w:val="20"/>
          <w:szCs w:val="20"/>
          <w:color w:val="auto"/>
        </w:rPr>
      </w:pPr>
    </w:p>
    <w:tbl>
      <w:tblPr>
        <w:tblLayout w:type="fixed"/>
        <w:tblInd w:w="2360" w:type="dxa"/>
        <w:tblCellMar>
          <w:top w:w="0" w:type="dxa"/>
          <w:left w:w="0" w:type="dxa"/>
          <w:bottom w:w="0" w:type="dxa"/>
          <w:right w:w="0" w:type="dxa"/>
        </w:tblCellMar>
      </w:tblPr>
      <w:tr>
        <w:trPr>
          <w:trHeight w:val="21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r>
      <w:tr>
        <w:trPr>
          <w:trHeight w:val="207"/>
        </w:trPr>
        <w:tc>
          <w:tcPr>
            <w:tcW w:w="29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118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Foreign currency swaps</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33"/>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FASB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 goodwill is not subject to amortization but is tested for impairment at the reporting unit level annually in the third quarter. Additionally, the Company may perform interim tests of goodwill for impairment if an event occurs or circumstances change that could potentially reduce the fair value of a reporting unit below its carrying amount. The carrying value of each reporting unit is determined by assigning the assets and liabilities, including the existing goodwill and intangible assets, to those reporting units.</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uses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earnings before interest, taxes, depreciation, and amortization (“EBITDA”) multiples. Estimates and assumptions used in the income approach to calculate projected future discounted cash flows included revenue growth rates, cost of sales, terminal growth rates, and a discount rate for each reporting unit. Discount rates are determined using a weighted average cost of capital for risk factors specific to each reporting unit and other market and industry data. The assumptions used are inherently subject to uncertainty and slight changes in these assumptions could have a significant impact on the concluded value. The estimates and assumptions applied represent a Level 3 measurement in the fair value hierarchy. Level 3 inputs are supported by limited or no market activity and reflect the Company’s assumptions in measuring fair value.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assumptions impacting the valuation included the following:</w:t>
      </w:r>
    </w:p>
    <w:p>
      <w:pPr>
        <w:spacing w:after="0" w:line="112" w:lineRule="exact"/>
        <w:rPr>
          <w:sz w:val="20"/>
          <w:szCs w:val="20"/>
          <w:color w:val="auto"/>
        </w:rPr>
      </w:pPr>
    </w:p>
    <w:p>
      <w:pPr>
        <w:ind w:left="640" w:hanging="315"/>
        <w:spacing w:after="0" w:line="27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unit’s financial projections, including revenue growth rates and cost of sales, which are based on management’s assessment of regional and macroeconomic variables, industry trends and market opportunities, and the Company’s strategic objectives and future growth plans.</w:t>
      </w:r>
    </w:p>
    <w:p>
      <w:pPr>
        <w:spacing w:after="0" w:line="43"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5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During the third quarter of 2024, the Company elected to bypass the qualitative evaluations of its Tissue Technologies, Neurosurgery, and Instruments and ENT reporting units and perform quantitative tests. The quantitative test for the Tissue Technologies reporting unit utilized a terminal growth rate of 2.5% and a discount rate of 12.5% in the income approach. The Company determined, after performing the quantitative analysis, that the fair value of the Tissue Technologies reporting unit was not less than its carrying amount, with 21.2% headroom. The quantitative test for the Neurosurgery reporting unit utilized a terminal growth rate of 2.5% and a discount rate of 12.0% in the income approach. The Company determined, after performing the quantitative analysis, that the fair value of the Neurosurgery reporting unit was not less than its carrying amount, with 11.7% headroom. The quantitative test for the Instruments and ENT reporting unit utilized a terminal growth rate of 2.5% and a discount rate of 11.5% in the income approach. The Company determined, after performing the quantitative analysis, that the fair value of the Instruments and ENT reporting unit was not less than its carrying amount, with 22.1% headroom. Based on the results of these quantitative tests, the Company recorded no impairment of goodwill for Tissue Technologies, Neurosurgery, or Instruments and ENT reporting units.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performed a hypothetical sensitivity analysis of the fair value for each reporting unit by increasing the discount rate by 50 basis points, decreasing the terminal growth rate by 50 basis points, and holding all other assumptions constant, which resulted in a decrease to the estimated fair value of the Tissue Technology reporting unit by 4.5%, a decrease to the estimated fair value of the Neurosurgery reporting unit by 3.8%, and a decrease to the estimated fair value of the Instruments and ENT reporting unit by 3.5%. Based on the results of the hypothetical sensitivity analyses, the Company would still not have recorded an impairment of goodwill for Tissue Technologies, Neurosurgery, or Instruments and ENT reporting units.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first quarter of 2024, due to third-party audit findings and an update to the estimated timeframe to resume the commercial distribution of products manufactured in the Company’s manufacturing facility located in Boston, Massachusetts (the “Boston facility”), the Company elected to perform a quantitative analysis of its Tissue Technologies reporting unit.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quantitative test utilized a terminal growth rate of 2.0% and a discount rate of 14.5% in the income approach. An impairment loss is recognized when the reporting unit’s carrying amount exceeds its estimated fair value. The Company determined, after performing the quantitative analysis, that the fair value of the Tissue Technologies reporting unit was not less than its carrying amount, with 19.9% headroom.</w:t>
      </w:r>
    </w:p>
    <w:p>
      <w:pPr>
        <w:sectPr>
          <w:pgSz w:w="11900" w:h="16838" w:orient="portrait"/>
          <w:cols w:equalWidth="0" w:num="1">
            <w:col w:w="11240"/>
          </w:cols>
          <w:pgMar w:left="320" w:top="119" w:right="339" w:bottom="1440" w:gutter="0" w:footer="0" w:header="0"/>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carrying amount of goodwill in 2024 and 2023 were as follows:</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6932295" cy="143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5">
                      <a:extLst>
                        <a:ext uri="{28A0092B-C50C-407E-A947-70E740481C1C}"/>
                      </a:extLst>
                    </a:blip>
                    <a:srcRect/>
                    <a:stretch>
                      <a:fillRect/>
                    </a:stretch>
                  </pic:blipFill>
                  <pic:spPr bwMode="auto">
                    <a:xfrm>
                      <a:off x="0" y="0"/>
                      <a:ext cx="6932295" cy="14351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Goodwill at January 1, 2023</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SIA Acquisition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932295" cy="134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6">
                      <a:extLst>
                        <a:ext uri="{28A0092B-C50C-407E-A947-70E740481C1C}"/>
                      </a:extLst>
                    </a:blip>
                    <a:srcRect/>
                    <a:stretch>
                      <a:fillRect/>
                    </a:stretch>
                  </pic:blipFill>
                  <pic:spPr bwMode="auto">
                    <a:xfrm>
                      <a:off x="0" y="0"/>
                      <a:ext cx="6932295" cy="13462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Acclarent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932295" cy="134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7">
                      <a:extLst>
                        <a:ext uri="{28A0092B-C50C-407E-A947-70E740481C1C}"/>
                      </a:extLst>
                    </a:blip>
                    <a:srcRect/>
                    <a:stretch>
                      <a:fillRect/>
                    </a:stretch>
                  </pic:blipFill>
                  <pic:spPr bwMode="auto">
                    <a:xfrm>
                      <a:off x="0" y="0"/>
                      <a:ext cx="6932295" cy="134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6932295" cy="160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8">
                      <a:extLst>
                        <a:ext uri="{28A0092B-C50C-407E-A947-70E740481C1C}"/>
                      </a:extLst>
                    </a:blip>
                    <a:srcRect/>
                    <a:stretch>
                      <a:fillRect/>
                    </a:stretch>
                  </pic:blipFill>
                  <pic:spPr bwMode="auto">
                    <a:xfrm>
                      <a:off x="0" y="0"/>
                      <a:ext cx="6932295" cy="160020"/>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Codman</w:t>
            </w:r>
          </w:p>
        </w:tc>
        <w:tc>
          <w:tcPr>
            <w:tcW w:w="140" w:type="dxa"/>
            <w:vAlign w:val="bottom"/>
          </w:tcPr>
          <w:p>
            <w:pPr>
              <w:spacing w:after="0"/>
              <w:rPr>
                <w:sz w:val="16"/>
                <w:szCs w:val="16"/>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Tissue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112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6"/>
                <w:szCs w:val="16"/>
                <w:b w:val="1"/>
                <w:bCs w:val="1"/>
                <w:color w:val="auto"/>
              </w:rPr>
              <w:t>Specialty</w:t>
            </w: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Surgical</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Technologies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0" w:type="dxa"/>
            <w:vAlign w:val="bottom"/>
            <w:tcBorders>
              <w:top w:val="single" w:sz="8" w:color="auto"/>
              <w:bottom w:val="single" w:sz="8" w:color="auto"/>
            </w:tcBorders>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656,219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382,662</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1,038,881</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4"/>
        </w:trPr>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6,245</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16,963</w:t>
            </w:r>
          </w:p>
        </w:tc>
        <w:tc>
          <w:tcPr>
            <w:tcW w:w="0" w:type="dxa"/>
            <w:vAlign w:val="bottom"/>
          </w:tcPr>
          <w:p>
            <w:pPr>
              <w:spacing w:after="0"/>
              <w:rPr>
                <w:sz w:val="1"/>
                <w:szCs w:val="1"/>
                <w:color w:val="auto"/>
              </w:rPr>
            </w:pPr>
          </w:p>
        </w:tc>
      </w:tr>
      <w:tr>
        <w:trPr>
          <w:trHeight w:val="204"/>
        </w:trPr>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666,937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388,525</w:t>
            </w:r>
          </w:p>
        </w:tc>
        <w:tc>
          <w:tcPr>
            <w:tcW w:w="12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1,055,462</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62,482</w:t>
            </w:r>
          </w:p>
        </w:tc>
        <w:tc>
          <w:tcPr>
            <w:tcW w:w="0" w:type="dxa"/>
            <w:vAlign w:val="bottom"/>
          </w:tcPr>
          <w:p>
            <w:pPr>
              <w:spacing w:after="0"/>
              <w:rPr>
                <w:sz w:val="1"/>
                <w:szCs w:val="1"/>
                <w:color w:val="auto"/>
              </w:rPr>
            </w:pPr>
          </w:p>
        </w:tc>
      </w:tr>
      <w:tr>
        <w:trPr>
          <w:trHeight w:val="215"/>
        </w:trPr>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(20,992)</w:t>
            </w:r>
          </w:p>
        </w:tc>
        <w:tc>
          <w:tcPr>
            <w:tcW w:w="0" w:type="dxa"/>
            <w:vAlign w:val="bottom"/>
          </w:tcPr>
          <w:p>
            <w:pPr>
              <w:spacing w:after="0"/>
              <w:rPr>
                <w:sz w:val="1"/>
                <w:szCs w:val="1"/>
                <w:color w:val="auto"/>
              </w:rPr>
            </w:pPr>
          </w:p>
        </w:tc>
      </w:tr>
      <w:tr>
        <w:trPr>
          <w:trHeight w:val="206"/>
        </w:trPr>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715,730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1,096,952</w:t>
            </w:r>
          </w:p>
        </w:tc>
        <w:tc>
          <w:tcPr>
            <w:tcW w:w="0" w:type="dxa"/>
            <w:vAlign w:val="bottom"/>
          </w:tcPr>
          <w:p>
            <w:pPr>
              <w:spacing w:after="0"/>
              <w:rPr>
                <w:sz w:val="1"/>
                <w:szCs w:val="1"/>
                <w:color w:val="auto"/>
              </w:rPr>
            </w:pP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20" w:space="720"/>
            <w:col w:w="420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8" w:name="page99"/>
    <w:bookmarkEnd w:id="9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identifiable intangible assets were as follows:</w:t>
      </w:r>
    </w:p>
    <w:p>
      <w:pPr>
        <w:spacing w:after="0" w:line="260"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4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060" w:type="dxa"/>
            <w:vAlign w:val="bottom"/>
            <w:gridSpan w:val="5"/>
          </w:tcPr>
          <w:p>
            <w:pPr>
              <w:jc w:val="center"/>
              <w:ind w:right="540"/>
              <w:spacing w:after="0" w:line="15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60" w:type="dxa"/>
            <w:vAlign w:val="bottom"/>
          </w:tcPr>
          <w:p>
            <w:pPr>
              <w:spacing w:after="0"/>
              <w:rPr>
                <w:sz w:val="13"/>
                <w:szCs w:val="13"/>
                <w:color w:val="auto"/>
              </w:rPr>
            </w:pPr>
          </w:p>
        </w:tc>
        <w:tc>
          <w:tcPr>
            <w:tcW w:w="1600" w:type="dxa"/>
            <w:vAlign w:val="bottom"/>
            <w:gridSpan w:val="4"/>
          </w:tcPr>
          <w:p>
            <w:pPr>
              <w:jc w:val="center"/>
              <w:ind w:right="100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1"/>
        </w:trPr>
        <w:tc>
          <w:tcPr>
            <w:tcW w:w="51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gridSpan w:val="4"/>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Life</w:t>
            </w:r>
          </w:p>
        </w:tc>
        <w:tc>
          <w:tcPr>
            <w:tcW w:w="3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4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ind w:left="400"/>
              <w:spacing w:after="0"/>
              <w:rPr>
                <w:sz w:val="20"/>
                <w:szCs w:val="20"/>
                <w:color w:val="auto"/>
              </w:rPr>
            </w:pPr>
            <w:r>
              <w:rPr>
                <w:rFonts w:ascii="Times New Roman" w:cs="Times New Roman" w:eastAsia="Times New Roman" w:hAnsi="Times New Roman"/>
                <w:sz w:val="16"/>
                <w:szCs w:val="16"/>
                <w:color w:val="auto"/>
                <w:w w:val="96"/>
              </w:rPr>
              <w:t>17 years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1,452,545</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(525,959)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460" w:type="dxa"/>
            <w:vAlign w:val="bottom"/>
          </w:tcPr>
          <w:p>
            <w:pPr>
              <w:spacing w:after="0"/>
              <w:rPr>
                <w:sz w:val="18"/>
                <w:szCs w:val="18"/>
                <w:color w:val="auto"/>
              </w:rPr>
            </w:pP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color w:val="auto"/>
                <w:w w:val="96"/>
              </w:rPr>
              <w:t>12 years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46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27 years</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99,951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Codman trade name</w:t>
            </w:r>
          </w:p>
        </w:tc>
        <w:tc>
          <w:tcPr>
            <w:tcW w:w="460" w:type="dxa"/>
            <w:vAlign w:val="bottom"/>
          </w:tcPr>
          <w:p>
            <w:pPr>
              <w:spacing w:after="0"/>
              <w:rPr>
                <w:sz w:val="18"/>
                <w:szCs w:val="18"/>
                <w:color w:val="auto"/>
              </w:rPr>
            </w:pPr>
          </w:p>
        </w:tc>
        <w:tc>
          <w:tcPr>
            <w:tcW w:w="160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Indefinite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168,202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168,202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46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30 years</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30,211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460" w:type="dxa"/>
            <w:vAlign w:val="bottom"/>
          </w:tcPr>
          <w:p>
            <w:pPr>
              <w:spacing w:after="0"/>
              <w:rPr>
                <w:sz w:val="18"/>
                <w:szCs w:val="18"/>
                <w:color w:val="auto"/>
              </w:rPr>
            </w:pPr>
          </w:p>
        </w:tc>
        <w:tc>
          <w:tcPr>
            <w:tcW w:w="160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6 years</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0"/>
              </w:rPr>
              <w:t>22,820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47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1,939,767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(732,179)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1,207,588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gridSpan w:val="4"/>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60" w:type="dxa"/>
            <w:vAlign w:val="bottom"/>
          </w:tcPr>
          <w:p>
            <w:pPr>
              <w:spacing w:after="0"/>
              <w:rPr>
                <w:sz w:val="13"/>
                <w:szCs w:val="13"/>
                <w:color w:val="auto"/>
              </w:rPr>
            </w:pPr>
          </w:p>
        </w:tc>
        <w:tc>
          <w:tcPr>
            <w:tcW w:w="1600" w:type="dxa"/>
            <w:vAlign w:val="bottom"/>
            <w:gridSpan w:val="4"/>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36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Cost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47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Life</w:t>
            </w:r>
          </w:p>
        </w:tc>
        <w:tc>
          <w:tcPr>
            <w:tcW w:w="3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Completed technology</w:t>
            </w:r>
          </w:p>
        </w:tc>
        <w:tc>
          <w:tcPr>
            <w:tcW w:w="4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years</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1,226,128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777,6</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460" w:type="dxa"/>
            <w:vAlign w:val="bottom"/>
          </w:tcPr>
          <w:p>
            <w:pPr>
              <w:spacing w:after="0"/>
              <w:rPr>
                <w:sz w:val="18"/>
                <w:szCs w:val="18"/>
                <w:color w:val="auto"/>
              </w:rPr>
            </w:pPr>
          </w:p>
        </w:tc>
        <w:tc>
          <w:tcPr>
            <w:tcW w:w="16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12 years</w:t>
            </w:r>
          </w:p>
        </w:tc>
        <w:tc>
          <w:tcPr>
            <w:tcW w:w="3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193,895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(152,160)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Trademarks/brand names</w:t>
            </w:r>
          </w:p>
        </w:tc>
        <w:tc>
          <w:tcPr>
            <w:tcW w:w="46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 years</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98,892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Codman trade name</w:t>
            </w:r>
          </w:p>
        </w:tc>
        <w:tc>
          <w:tcPr>
            <w:tcW w:w="460" w:type="dxa"/>
            <w:vAlign w:val="bottom"/>
          </w:tcPr>
          <w:p>
            <w:pPr>
              <w:spacing w:after="0"/>
              <w:rPr>
                <w:sz w:val="18"/>
                <w:szCs w:val="18"/>
                <w:color w:val="auto"/>
              </w:rPr>
            </w:pPr>
          </w:p>
        </w:tc>
        <w:tc>
          <w:tcPr>
            <w:tcW w:w="16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Indefinite</w:t>
            </w:r>
          </w:p>
        </w:tc>
        <w:tc>
          <w:tcPr>
            <w:tcW w:w="3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174,531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relationships</w:t>
            </w:r>
          </w:p>
        </w:tc>
        <w:tc>
          <w:tcPr>
            <w:tcW w:w="46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 years</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30,211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4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11 years</w:t>
            </w: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6,180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4"/>
              </w:rPr>
              <w:t>(4,423)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1"/>
        </w:trPr>
        <w:tc>
          <w:tcPr>
            <w:tcW w:w="460" w:type="dxa"/>
            <w:vAlign w:val="bottom"/>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1,067,8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with Indefinite Lives</w:t>
      </w:r>
    </w:p>
    <w:p>
      <w:pPr>
        <w:spacing w:after="0" w:line="116"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The Company does not amortize intangible assets with indefinite lives but tests its intangible assets with indefinite lives for impairment annually in the third quarter in accordance with ASC 350. Additionally, the Company performs interim tests of its intangible assets with indefinite lives for impairment if an event occurs or circumstances change that could potentially reduce the fair value of a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spacing w:after="0" w:line="7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7"/>
          <w:szCs w:val="17"/>
          <w:color w:val="auto"/>
        </w:rPr>
        <w:t>The quantitative test uses an income approach to determine the fair value of the indefinite-lived intangible asset. The income approach utilizes the estimated discounted cash flows for the indefinite-lived intangible asset. Estimates and assumptions used in the income approach to calculate projected future discounted cash flows included revenue growth rates, operating margins, and a discount rate for each indefinite-lived intangible asset. Discount rates are determined using a weighted average cost of capital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 The assumptions used are inherently subject to uncertainty and slight changes in these assumptions could have a significant impact on the concluded value. The estimates and assumptions applied represent a Level 3 measurement in the fair value hierarchy described in ASC 820. Level 3 inputs are supported by limited or no market activity and reflect the Company’s assumptions in measuring fair value.</w:t>
      </w:r>
    </w:p>
    <w:p>
      <w:pPr>
        <w:spacing w:after="0" w:line="66"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For intangible assets with indefinite lives, the Company elected to bypass the qualitative evaluation for its Codman trade name intangible asset and perform a quantitative test during the third quarter 2024. In performing this test, the Company utilized a discount rate of 13.0%. The assumptions used in evaluating the Codman trade name for impairment are subject to change and are tracked against historical results by management. Based on the results of the quantitative test, the Company recorded no impairment to the Codman trade name intangible asset.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with Definite Lives</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Developed technologies and other definite-lived intangible assets are amortized over their estimated useful lives either using the straight-line method or, if reliably determinable, based on the pattern of which the economic benefit of the asset is expected to be utilized. Definite-lived intangible assets are periodically evaluated for impairment in accordance with FASB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(“ASC 360”) whenever events or changes in circumstances indicate that a definite-lived intangible asset’s carrying value may not be recoverable. The evaluation for recoverability involves comparing the carrying amount of the definite-lived intangible asset to the Company’s expectations of the future undiscounted cash flows derived from the definite-lived intangible asset. In the event the carrying value of the definite-lived intangible asset exceeds the undiscounted future cash flows expected to be derived from the definite-lived intangible asset over its remaining estimated useful life, the definite-lived intangible asset is considered not recoverable and the definite-lived intangible asset is tested for impairment. An impairment loss is measured as the excess of the definite-lived intangible asset’s carrying value over its fair value, calculated using market participant assumptions pursuant to ASC 820 using discounted future cash flows based on the present value of estimated future cash flows to be generated by the definite-lived intangible asset using a risk-adjusted discount rate. The impairment loss is recognized in the period that the impairment occurs.</w:t>
      </w:r>
    </w:p>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the first quarter of 2024, due to third-party audit findings and an update to the estimated timeframe to resume the commercial distribution of products manufactured in the Boston facility, the Company elected to perform quantitative impairment testing on certain definite-lived intangible assets including completed technology and customer relationships in accordance with ASC 360. The Company recorded an impairment charge related to the definite-lived intangible asset associated with the customer relationships of $7.1 million in intangible asset amortization in the consolidated statement of operations. With respect to the definite-lived intangible assets associated with the completed technology of SurgiMend® and PriMatrix®, the Company determined that the carrying amount of these definite-lived intangible assets were recoverable and, therefore, the intangible assets were not deemed to be impaired. In the second quarter of 2024, the Company approved a plan to transition the commercial distribution of SurgiMend® and PriMatrix® from the Boston facility to the Company’s manufacturing facility in Braintree, Massachusetts (the “Braintree facility”). The Company considered the impact to the update to the estimated timeframe to resume the commercial distribution of products manufactured in the Boston facility on the assumptions used in the quantitative assessment of the definite-lived intangible assets completed in the first quarter of 2024, which did not require further evaluation for impairment. The carrying values of SurgiMend® and PriMatrix® are $32.8 million and $24.4 million, respectively, as of December 31, 2024.</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Amortization expense (including amounts reported in cost of product revenues) for the years ended December 31, 2024, 2023, and 2022 was $105.2 million, $82.8 million, and $78.3 million, respectively.</w:t>
      </w:r>
    </w:p>
    <w:p>
      <w:pPr>
        <w:spacing w:after="0" w:line="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Annual amortization expense is expected to approximate $106.0 million in 2025, $105.8 million in 2026, $104.9 million in 2027, $101.3 million in 2028, $96.0 million in 2029, and $528.2 million thereafter. Amortization of product technology based intangible assets totaled $84.0 million, $70.4 million and $64.4 million for the years ended December 31, 2024, 2023, and 2022, respectively, and is presented by the Company within cost of goods sold.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TREASURY STOCK</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2024 and 2023, there were 14.4 million and 12.8 million shares of treasury stock outstanding with a cost of $691.4 million and $647.3 million, respectively, at a weighted average cost per share of $47.86 and $50.76, respectively.</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2024, the Company entered into a $50.0 million accelerated share repurchase (“May 2024 ASR”) and received 1.3 million shares of common stock at inception of the May 2024 ASR, which represented approximately 70% of the expected total shares under the May 2024 ASR. On July 31, 2024, the early exercise provision was exercised by the May 2024 ASR counterparty. The Company received an additional 0.4 million shares determined using the volume-weighted average price of the Company’s common stock during the term of the May 2024 ASR.</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15, 2023, the Company entered into a $125.0 million accelerated share repurchase (“August 2023 ASR”) and received 2.3 million shares of the common stock at inception of the August 2023 ASR, which represented approximately 80% of the expected total shares under the August 2023 ASR. On October 18, 2023 the early exercise provision was exercised by the August 2023 ASR counterparty. The Company received an additional 0.9 million shares determined using the volume-weighted average price of the Company’s common stock during the term of the August 2023 ASR.</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26, 2023, the Company entered into a $150.0 million accelerated share repurchase (“January 2023 ASR”) and received 2.1 million shares of common stock at inception of the January 2023 ASR, which represented approximately 80% of the expected total shares under the January 2023 ASR. The settlement of the January 2023 ASR agreement was completed in the second quarter of 2023, where the Company received 0.6 million shares, determined using the volume-weighted average price of the Company’s common stock during the term of the January 2023 ASR.</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“Inflation Act”) was signed into law. The Inflation Act implements a new excise tax of 1.0% on the net share repurchases made by the Company effective for share repurchases performed January 1, 2023, or after. In the fourth quarter of 2024, the Company made an excise tax payment of $2.5 million related to the January 2023 ASR and the August 2023 ASR.</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18, 2023, the Board of Directors authorized a new $225.0 million share repurchase program, replacing the existing $225.0 million program authorized in April 2022. As of December 31, 2024, $50.0 million remained authorized. The program authorized in July 2023, and which expires on December 31, 2025, allows the Company to repurchase its shares opportunistically from time to time. The Company may utilize various methods to effect any repurchases, including open market transactions, privately negotiated transactions, transactions structured through investment banking institutions, including accelerated share repurchases, or a combination of the foregoing, some of which may be effected through Rule 10b5-1 plans.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Stock-based compensation expense - all related to employees and members of the Board of Directors - recognized under the authoritative guidance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21,031</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17,483</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25,437</w:t>
            </w:r>
          </w:p>
        </w:tc>
      </w:tr>
      <w:tr>
        <w:trPr>
          <w:trHeight w:val="20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24,377</w:t>
            </w:r>
          </w:p>
        </w:tc>
        <w:tc>
          <w:tcPr>
            <w:tcW w:w="100" w:type="dxa"/>
            <w:vAlign w:val="bottom"/>
          </w:tcPr>
          <w:p>
            <w:pPr>
              <w:spacing w:after="0"/>
              <w:rPr>
                <w:sz w:val="17"/>
                <w:szCs w:val="17"/>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20,142</w:t>
            </w:r>
          </w:p>
        </w:tc>
        <w:tc>
          <w:tcPr>
            <w:tcW w:w="100" w:type="dxa"/>
            <w:vAlign w:val="bottom"/>
          </w:tcPr>
          <w:p>
            <w:pPr>
              <w:spacing w:after="0"/>
              <w:rPr>
                <w:sz w:val="17"/>
                <w:szCs w:val="17"/>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27,725</w:t>
            </w: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estimated tax benefit related to stock-based compensation expense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10,574</w:t>
            </w: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effect on net income</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14,919</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17,151</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stock options, restricted stock awards, performance stock awards, contract stock awards and restricted stock unit awards outstanding under the Integra LifeSciences Holdings Corporation Fifth Amended and Restated 2003 Equity Incentive Plan (the “2003 Plan”). The 2000 Equity Incentive Plan and the 2001 Equity Incentive Plan were terminated as of February 19, 2021, and no further awards may be issued under the plans.</w:t>
      </w:r>
    </w:p>
    <w:p>
      <w:pPr>
        <w:spacing w:after="0" w:line="7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May 2010 and May 2017, the stockholders of the Company approved amendments to the 2003 Plan to increase by 3.5 million and 1.7 million, respectively, the number of shares of common stock that may be issued under the 2003 Plan.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Company has reserved 14.7 million shares under the 2003 Plan. The 2003 Plan permits the Company to grant incentive and non-qualified stock options, stock appreciation rights, restricted stock, contract stock, performance stock, or dividend equivalent rights to designated directors, officers, employees and associates of the Company.</w:t>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 options issued under the 2003 Plan became exercisable over specified periods, generally within four years from the date of grant for officers and employees, and within one year from the date of the grant for members of the Board of Directors. The awards generally expire eight years from the grant date for employees and from six to ten years for directors and certain executive officers, except in certain instances that result in accelerated vesting due to death, disability, retirement age or change in control provisions within their grant agreements. Restricted stock issued under the 2003 Plan vests ratably over specified periods, generally three years after the date of grant. The vesting of performance stock issued under the 2003 Plan is subject to service and performance conditions.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values stock option grants using the binomial distribution model. Management believes that the binomial distribution model is preferable to the Black-Scholes model because it is a more flexible model that gives consideration to the impact of non-transferability and vesting provisions in valuing employee stock options.</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determining the value of stock options granted, the Company considered that it has never paid cash dividends and does not currently intend to pay cash dividends, and thus has assumed a 0.0% dividend yield. Expected volatilities are based on the historical volatility of the Company’s stock price.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The Company accounts for forfeitures as they occur.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weighted-average assumptions were used in the calculation of fair value: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140" w:type="dxa"/>
            <w:vAlign w:val="bottom"/>
            <w:tcBorders>
              <w:bottom w:val="single" w:sz="8" w:color="auto"/>
            </w:tcBorders>
          </w:tcPr>
          <w:p>
            <w:pPr>
              <w:spacing w:after="0"/>
              <w:rPr>
                <w:sz w:val="18"/>
                <w:szCs w:val="18"/>
                <w:color w:val="auto"/>
              </w:rPr>
            </w:pPr>
          </w:p>
        </w:tc>
      </w:tr>
      <w:tr>
        <w:trPr>
          <w:trHeight w:val="207"/>
        </w:trPr>
        <w:tc>
          <w:tcPr>
            <w:tcW w:w="6700" w:type="dxa"/>
            <w:vAlign w:val="bottom"/>
          </w:tcPr>
          <w:p>
            <w:pPr>
              <w:spacing w:after="0"/>
              <w:rPr>
                <w:sz w:val="18"/>
                <w:szCs w:val="18"/>
                <w:color w:val="auto"/>
              </w:rPr>
            </w:pPr>
          </w:p>
        </w:tc>
        <w:tc>
          <w:tcPr>
            <w:tcW w:w="1140" w:type="dxa"/>
            <w:vAlign w:val="bottom"/>
          </w:tcPr>
          <w:p>
            <w:pPr>
              <w:jc w:val="center"/>
              <w:ind w:left="2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40" w:type="dxa"/>
            <w:vAlign w:val="bottom"/>
            <w:gridSpan w:val="3"/>
          </w:tcPr>
          <w:p>
            <w:pPr>
              <w:jc w:val="center"/>
              <w:ind w:left="3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07"/>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140" w:type="dxa"/>
            <w:vAlign w:val="bottom"/>
            <w:tcBorders>
              <w:top w:val="single" w:sz="8" w:color="auto"/>
            </w:tcBorders>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w w:val="93"/>
              </w:rPr>
              <w:t>0%</w:t>
            </w: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3"/>
              </w:rPr>
              <w:t>0%</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14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w w:val="95"/>
              </w:rPr>
              <w:t>33%</w:t>
            </w:r>
          </w:p>
        </w:tc>
        <w:tc>
          <w:tcPr>
            <w:tcW w:w="1840" w:type="dxa"/>
            <w:vAlign w:val="bottom"/>
            <w:gridSpan w:val="3"/>
          </w:tcPr>
          <w:p>
            <w:pPr>
              <w:jc w:val="center"/>
              <w:ind w:left="320"/>
              <w:spacing w:after="0"/>
              <w:rPr>
                <w:sz w:val="20"/>
                <w:szCs w:val="20"/>
                <w:color w:val="auto"/>
              </w:rPr>
            </w:pPr>
            <w:r>
              <w:rPr>
                <w:rFonts w:ascii="Times New Roman" w:cs="Times New Roman" w:eastAsia="Times New Roman" w:hAnsi="Times New Roman"/>
                <w:sz w:val="16"/>
                <w:szCs w:val="16"/>
                <w:color w:val="auto"/>
                <w:w w:val="95"/>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center"/>
              <w:ind w:right="220"/>
              <w:spacing w:after="0"/>
              <w:rPr>
                <w:sz w:val="20"/>
                <w:szCs w:val="20"/>
                <w:color w:val="auto"/>
              </w:rPr>
            </w:pPr>
            <w:r>
              <w:rPr>
                <w:rFonts w:ascii="Times New Roman" w:cs="Times New Roman" w:eastAsia="Times New Roman" w:hAnsi="Times New Roman"/>
                <w:sz w:val="16"/>
                <w:szCs w:val="16"/>
                <w:color w:val="auto"/>
                <w:w w:val="95"/>
              </w:rPr>
              <w:t>30%</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free interest rate</w:t>
            </w:r>
          </w:p>
        </w:tc>
        <w:tc>
          <w:tcPr>
            <w:tcW w:w="1140" w:type="dxa"/>
            <w:vAlign w:val="bottom"/>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w w:val="96"/>
              </w:rPr>
              <w:t>4.09%</w:t>
            </w:r>
          </w:p>
        </w:tc>
        <w:tc>
          <w:tcPr>
            <w:tcW w:w="1840" w:type="dxa"/>
            <w:vAlign w:val="bottom"/>
            <w:gridSpan w:val="3"/>
            <w:shd w:val="clear" w:color="auto" w:fill="CCEEFF"/>
          </w:tcPr>
          <w:p>
            <w:pPr>
              <w:jc w:val="center"/>
              <w:ind w:left="320"/>
              <w:spacing w:after="0"/>
              <w:rPr>
                <w:sz w:val="20"/>
                <w:szCs w:val="20"/>
                <w:color w:val="auto"/>
              </w:rPr>
            </w:pPr>
            <w:r>
              <w:rPr>
                <w:rFonts w:ascii="Times New Roman" w:cs="Times New Roman" w:eastAsia="Times New Roman" w:hAnsi="Times New Roman"/>
                <w:sz w:val="16"/>
                <w:szCs w:val="16"/>
                <w:color w:val="auto"/>
                <w:w w:val="96"/>
              </w:rPr>
              <w:t>3.86%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6"/>
              </w:rPr>
              <w:t>2.01%</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 of option from grant date</w:t>
            </w:r>
          </w:p>
        </w:tc>
        <w:tc>
          <w:tcPr>
            <w:tcW w:w="11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7 years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rPr>
              <w:t>7 years</w:t>
            </w:r>
          </w:p>
        </w:tc>
        <w:tc>
          <w:tcPr>
            <w:tcW w:w="1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7 years</w:t>
            </w:r>
          </w:p>
        </w:tc>
      </w:tr>
      <w:tr>
        <w:trPr>
          <w:trHeight w:val="30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options granted</w:t>
            </w:r>
          </w:p>
        </w:tc>
        <w:tc>
          <w:tcPr>
            <w:tcW w:w="1140" w:type="dxa"/>
            <w:vAlign w:val="bottom"/>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w w:val="99"/>
              </w:rPr>
              <w:t>$15.68</w:t>
            </w:r>
          </w:p>
        </w:tc>
        <w:tc>
          <w:tcPr>
            <w:tcW w:w="1840" w:type="dxa"/>
            <w:vAlign w:val="bottom"/>
            <w:gridSpan w:val="3"/>
            <w:shd w:val="clear" w:color="auto" w:fill="CCEEFF"/>
          </w:tcPr>
          <w:p>
            <w:pPr>
              <w:jc w:val="center"/>
              <w:ind w:left="320"/>
              <w:spacing w:after="0"/>
              <w:rPr>
                <w:sz w:val="20"/>
                <w:szCs w:val="20"/>
                <w:color w:val="auto"/>
              </w:rPr>
            </w:pPr>
            <w:r>
              <w:rPr>
                <w:rFonts w:ascii="Times New Roman" w:cs="Times New Roman" w:eastAsia="Times New Roman" w:hAnsi="Times New Roman"/>
                <w:sz w:val="16"/>
                <w:szCs w:val="16"/>
                <w:color w:val="auto"/>
                <w:w w:val="99"/>
              </w:rPr>
              <w:t>$21.58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$23.15</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 Intrinsic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5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5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80" w:type="dxa"/>
            <w:vAlign w:val="bottom"/>
          </w:tcPr>
          <w:p>
            <w:pPr>
              <w:spacing w:after="0"/>
              <w:rPr>
                <w:sz w:val="18"/>
                <w:szCs w:val="18"/>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6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Stock Options</w:t>
            </w:r>
          </w:p>
        </w:tc>
        <w:tc>
          <w:tcPr>
            <w:tcW w:w="1420" w:type="dxa"/>
            <w:vAlign w:val="bottom"/>
            <w:tcBorders>
              <w:top w:val="single" w:sz="8" w:color="auto"/>
            </w:tcBorders>
          </w:tcPr>
          <w:p>
            <w:pPr>
              <w:jc w:val="right"/>
              <w:ind w:right="180"/>
              <w:spacing w:after="0" w:line="168" w:lineRule="exact"/>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100"/>
              <w:spacing w:after="0" w:line="168" w:lineRule="exact"/>
              <w:rPr>
                <w:sz w:val="20"/>
                <w:szCs w:val="20"/>
                <w:color w:val="auto"/>
              </w:rPr>
            </w:pPr>
            <w:r>
              <w:rPr>
                <w:rFonts w:ascii="Times New Roman" w:cs="Times New Roman" w:eastAsia="Times New Roman" w:hAnsi="Times New Roman"/>
                <w:sz w:val="16"/>
                <w:szCs w:val="16"/>
                <w:color w:val="auto"/>
                <w:w w:val="99"/>
              </w:rPr>
              <w:t>(In thousands)</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at January 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1040"/>
              <w:spacing w:after="0"/>
              <w:rPr>
                <w:sz w:val="20"/>
                <w:szCs w:val="20"/>
                <w:color w:val="auto"/>
              </w:rPr>
            </w:pPr>
            <w:r>
              <w:rPr>
                <w:rFonts w:ascii="Times New Roman" w:cs="Times New Roman" w:eastAsia="Times New Roman" w:hAnsi="Times New Roman"/>
                <w:sz w:val="16"/>
                <w:szCs w:val="16"/>
                <w:color w:val="auto"/>
                <w:w w:val="99"/>
              </w:rPr>
              <w:t>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r>
        <w:trPr>
          <w:trHeight w:val="210"/>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00" w:type="dxa"/>
            <w:vAlign w:val="bottom"/>
          </w:tcPr>
          <w:p>
            <w:pPr>
              <w:spacing w:after="0"/>
              <w:rPr>
                <w:sz w:val="18"/>
                <w:szCs w:val="18"/>
                <w:color w:val="auto"/>
              </w:rPr>
            </w:pPr>
          </w:p>
        </w:tc>
        <w:tc>
          <w:tcPr>
            <w:tcW w:w="1540" w:type="dxa"/>
            <w:vAlign w:val="bottom"/>
            <w:gridSpan w:val="2"/>
          </w:tcPr>
          <w:p>
            <w:pPr>
              <w:jc w:val="center"/>
              <w:ind w:left="9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9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Forfeited or Expired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50.21</w:t>
            </w:r>
          </w:p>
        </w:tc>
        <w:tc>
          <w:tcPr>
            <w:tcW w:w="100" w:type="dxa"/>
            <w:vAlign w:val="bottom"/>
          </w:tcPr>
          <w:p>
            <w:pPr>
              <w:spacing w:after="0"/>
              <w:rPr>
                <w:sz w:val="18"/>
                <w:szCs w:val="18"/>
                <w:color w:val="auto"/>
              </w:rPr>
            </w:pPr>
          </w:p>
        </w:tc>
        <w:tc>
          <w:tcPr>
            <w:tcW w:w="1540" w:type="dxa"/>
            <w:vAlign w:val="bottom"/>
            <w:gridSpan w:val="2"/>
          </w:tcPr>
          <w:p>
            <w:pPr>
              <w:jc w:val="center"/>
              <w:ind w:left="9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center"/>
              <w:ind w:left="1040"/>
              <w:spacing w:after="0"/>
              <w:rPr>
                <w:sz w:val="20"/>
                <w:szCs w:val="20"/>
                <w:color w:val="auto"/>
              </w:rPr>
            </w:pPr>
            <w:r>
              <w:rPr>
                <w:rFonts w:ascii="Times New Roman" w:cs="Times New Roman" w:eastAsia="Times New Roman" w:hAnsi="Times New Roman"/>
                <w:sz w:val="16"/>
                <w:szCs w:val="16"/>
                <w:color w:val="auto"/>
                <w:w w:val="99"/>
              </w:rPr>
              <w:t>4.01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52.51</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ind w:left="1040"/>
              <w:spacing w:after="0"/>
              <w:rPr>
                <w:sz w:val="20"/>
                <w:szCs w:val="20"/>
                <w:color w:val="auto"/>
              </w:rPr>
            </w:pPr>
            <w:r>
              <w:rPr>
                <w:rFonts w:ascii="Times New Roman" w:cs="Times New Roman" w:eastAsia="Times New Roman" w:hAnsi="Times New Roman"/>
                <w:sz w:val="16"/>
                <w:szCs w:val="16"/>
                <w:color w:val="auto"/>
                <w:w w:val="99"/>
              </w:rPr>
              <w:t>2.71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recognized $2.2 million, $1.4 million, and $3.5 million in expense related to stock options during the years ended December 31, 2024, 2023, and 2022, respectively. The intrinsic value of options exercised for the years ended December 31, 2024, 2023, and 2022 were $0.7 million, $1.8 million, and $4.0 million, respectively. Cash received from option exercises and employee stock purchase plan was $6.4 million, $4.3 million, and $5.5 million, for the years ended December 31, 2024, 2023, and 2022, respectively. The realized tax expense from options exercised was $0.5 million for the year ended December 31, 2024. Realized tax benefits of $0.1 million, and $0.6 million were recognized for the years ended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2024, there was approximately $2.9 million of total unrecognized compensation costs related to unvested stock options. These costs are expected to be recognized over a weighted-average period of approximately three years.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of Restricted Stock, Performance Stock and Contract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awards of restricted stock, performance stock and contract stock for the year ended December 31, 2024: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3060" w:type="dxa"/>
            <w:vAlign w:val="bottom"/>
            <w:gridSpan w:val="5"/>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Restricted Stock Awards</w:t>
            </w:r>
          </w:p>
        </w:tc>
        <w:tc>
          <w:tcPr>
            <w:tcW w:w="29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Performance Stock and Contract Stock</w:t>
            </w:r>
          </w:p>
        </w:tc>
        <w:tc>
          <w:tcPr>
            <w:tcW w:w="0" w:type="dxa"/>
            <w:vAlign w:val="bottom"/>
          </w:tcPr>
          <w:p>
            <w:pPr>
              <w:spacing w:after="0"/>
              <w:rPr>
                <w:sz w:val="1"/>
                <w:szCs w:val="1"/>
                <w:color w:val="auto"/>
              </w:rPr>
            </w:pPr>
          </w:p>
        </w:tc>
      </w:tr>
      <w:tr>
        <w:trPr>
          <w:trHeight w:val="211"/>
        </w:trPr>
        <w:tc>
          <w:tcPr>
            <w:tcW w:w="5180" w:type="dxa"/>
            <w:vAlign w:val="bottom"/>
          </w:tcPr>
          <w:p>
            <w:pPr>
              <w:spacing w:after="0"/>
              <w:rPr>
                <w:sz w:val="18"/>
                <w:szCs w:val="18"/>
                <w:color w:val="auto"/>
              </w:rPr>
            </w:pPr>
          </w:p>
        </w:tc>
        <w:tc>
          <w:tcPr>
            <w:tcW w:w="3060" w:type="dxa"/>
            <w:vAlign w:val="bottom"/>
            <w:gridSpan w:val="5"/>
            <w:vMerge w:val="continue"/>
          </w:tcPr>
          <w:p>
            <w:pPr>
              <w:spacing w:after="0"/>
              <w:rPr>
                <w:sz w:val="18"/>
                <w:szCs w:val="18"/>
                <w:color w:val="auto"/>
              </w:rPr>
            </w:pPr>
          </w:p>
        </w:tc>
        <w:tc>
          <w:tcPr>
            <w:tcW w:w="2980" w:type="dxa"/>
            <w:vAlign w:val="bottom"/>
            <w:gridSpan w:val="4"/>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0" w:type="dxa"/>
            <w:vAlign w:val="bottom"/>
          </w:tcPr>
          <w:p>
            <w:pPr>
              <w:spacing w:after="0"/>
              <w:rPr>
                <w:sz w:val="1"/>
                <w:szCs w:val="1"/>
                <w:color w:val="auto"/>
              </w:rPr>
            </w:pPr>
          </w:p>
        </w:tc>
      </w:tr>
      <w:tr>
        <w:trPr>
          <w:trHeight w:val="154"/>
        </w:trPr>
        <w:tc>
          <w:tcPr>
            <w:tcW w:w="518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0"/>
              <w:spacing w:after="0" w:line="154" w:lineRule="exact"/>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0"/>
              <w:spacing w:after="0" w:line="154" w:lineRule="exact"/>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0" w:type="dxa"/>
            <w:vAlign w:val="bottom"/>
          </w:tcPr>
          <w:p>
            <w:pPr>
              <w:spacing w:after="0"/>
              <w:rPr>
                <w:sz w:val="1"/>
                <w:szCs w:val="1"/>
                <w:color w:val="auto"/>
              </w:rPr>
            </w:pPr>
          </w:p>
        </w:tc>
      </w:tr>
      <w:tr>
        <w:trPr>
          <w:trHeight w:val="159"/>
        </w:trPr>
        <w:tc>
          <w:tcPr>
            <w:tcW w:w="5180" w:type="dxa"/>
            <w:vAlign w:val="bottom"/>
          </w:tcPr>
          <w:p>
            <w:pPr>
              <w:spacing w:after="0"/>
              <w:rPr>
                <w:sz w:val="13"/>
                <w:szCs w:val="13"/>
                <w:color w:val="auto"/>
              </w:rPr>
            </w:pPr>
          </w:p>
        </w:tc>
        <w:tc>
          <w:tcPr>
            <w:tcW w:w="15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3"/>
                <w:szCs w:val="13"/>
                <w:color w:val="auto"/>
              </w:rPr>
            </w:pPr>
          </w:p>
        </w:tc>
        <w:tc>
          <w:tcPr>
            <w:tcW w:w="14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5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3"/>
                <w:szCs w:val="13"/>
                <w:color w:val="auto"/>
              </w:rPr>
            </w:pPr>
          </w:p>
        </w:tc>
        <w:tc>
          <w:tcPr>
            <w:tcW w:w="1340" w:type="dxa"/>
            <w:vAlign w:val="bottom"/>
          </w:tcPr>
          <w:p>
            <w:pPr>
              <w:jc w:val="right"/>
              <w:ind w:right="80"/>
              <w:spacing w:after="0" w:line="159"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1"/>
        </w:trPr>
        <w:tc>
          <w:tcPr>
            <w:tcW w:w="51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05"/>
        </w:trPr>
        <w:tc>
          <w:tcPr>
            <w:tcW w:w="5180" w:type="dxa"/>
            <w:vAlign w:val="bottom"/>
          </w:tcPr>
          <w:p>
            <w:pPr>
              <w:spacing w:after="0"/>
              <w:rPr>
                <w:sz w:val="17"/>
                <w:szCs w:val="17"/>
                <w:color w:val="auto"/>
              </w:rPr>
            </w:pPr>
          </w:p>
        </w:tc>
        <w:tc>
          <w:tcPr>
            <w:tcW w:w="142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January 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w:t>
            </w: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w:t>
            </w: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for performance achievement related to award target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w:t>
            </w: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Cancellations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0" w:type="dxa"/>
            <w:vAlign w:val="bottom"/>
          </w:tcPr>
          <w:p>
            <w:pPr>
              <w:spacing w:after="0"/>
              <w:rPr>
                <w:sz w:val="1"/>
                <w:szCs w:val="1"/>
                <w:color w:val="auto"/>
              </w:rPr>
            </w:pP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December 31,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recognized $22.1 million, $18.7 million and $24.3 million in expense related to such awards during the years ended December 31, 2024, 2023, and 2022, respectively. The total fair market value of shares vested and released in 2024, 2023, and 2022 was $11.3 million, $18.2 million and $65.0 million, respectively. Vested awards include shares that have been fully earned but had not been delivered as of December 31, 2024.</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December 31, 2024, there were no performance stock units (“PSUs”) subject to vest and be released based on 2024 performance achievement.</w:t>
      </w:r>
    </w:p>
    <w:p>
      <w:pPr>
        <w:spacing w:after="0" w:line="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2024, there was approximately $27.0 million of total unrecognized compensation costs related to unvested restricted stock, performance stock and contract stock awards. These costs are expected to be recognized over a weighted-average period of approximately two years.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there were approximately 3.7 million shares available for grant under the 2003 Plan.</w:t>
      </w:r>
    </w:p>
    <w:p>
      <w:pPr>
        <w:spacing w:after="0" w:line="1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capitalized share based compensation costs of $0.7 million, $0.6 million, and $0.6 million for the years ended December 31, 2024, 2023, and 2022, into inventory, respectively. Such share-based compensation was recognized as cost of goods sold when related inventory was sold.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Separation</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27, 2024, the Company announced that Mr. De Witte would retire from his position as President and Chief Executive Officer and director of the Company following the completion of a succession process and entered into a letter agreement with Mr. De Witte to modify his current employment agreement and put forth the form of a post-employment consulting agreement. The Company applied modification accounting to the outstanding equity-based awards granted to Mr. De Witte as of that date, which revalued and accelerated stock-based compensation associated with equity-based awards granted to him over his expected service period to the Company. Pursuant to this letter agreement, Mr. De Witte’s unvested equity-based awards will continue to vest during his continued service period to the Company and vested stock options were modified such that they will remain exercisable until the earlier of (a) the stated term of the stock options and (b) six months following his cessation of continued service to the Company. As a result of the modifications, the Company recorded a total of $1.9 million in accelerated stock-based compensation expenses for the year ended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purpose of the Employee Stock Purchase Plan (the “ESPP”) is to provide eligible employees of the Company with the opportunity to acquire shares of common stock at periodic intervals by means of accumulated payroll deductions. The ESPP is a non-compensatory plan. Under the ESPP, a total of 3.0 million shares of common stock are reserved for issuance. These shares will be made available either from the Company’s authorized but unissued shares of common stock or from shares of common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stock reacquired by the Company as treasury stock. At December 31, 2024, 1.9 million shares remain available for purchase under the ESPP. During the years ended December 31, 2024, 2023, and 2022, the Company issued 44,426 shares, 23,337 shares and 20,780 shares under the ESPP for $1.0 million, $1.0 million, and $1.1 million,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RETIREMENT BENEFIT PLANS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various defined benefit plans which covers certain employees in France, Japan, Germany and Switzerland.</w:t>
      </w:r>
    </w:p>
    <w:p>
      <w:pPr>
        <w:spacing w:after="0" w:line="1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years ended December 31, 2024 and 2023 included the following (amounts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r>
      <w:tr>
        <w:trPr>
          <w:trHeight w:val="207"/>
        </w:trPr>
        <w:tc>
          <w:tcPr>
            <w:tcW w:w="79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22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26"/>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2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6"/>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 (credit)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Actuarial losses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1"/>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periodic benefit cost</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1,617</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weighted average assumptions were used to develop net periodic pension benefit costs and the actuarial present values of projected pension benefit obligations for the years ended December 31, 2024 and 2023, respectively:</w:t>
      </w:r>
    </w:p>
    <w:p>
      <w:pPr>
        <w:spacing w:after="0" w:line="205"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r>
      <w:tr>
        <w:trPr>
          <w:trHeight w:val="210"/>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3.67 %</w:t>
            </w:r>
          </w:p>
        </w:tc>
      </w:tr>
      <w:tr>
        <w:trPr>
          <w:trHeight w:val="215"/>
        </w:trPr>
        <w:tc>
          <w:tcPr>
            <w:tcW w:w="8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r>
      <w:tr>
        <w:trPr>
          <w:trHeight w:val="208"/>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crediting rate for cash balance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bl>
    <w:p>
      <w:pPr>
        <w:spacing w:after="0" w:line="2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Company’s discount rates are determined by considering current yield curves representing high quality, long-term fixed income instruments. The resulting discount rates are consistent with the duration of plan liabilities. In 2024 and 2023, the discount rates were prescribed as the current yield on corporate bonds with an average credit rating of AA or AAA of equivalent currency and term to the liabilities. The expected returns on plan assets represent the average rate of return expected to be earned on plan assets over the period the benefits included in the benefit obligation are to be paid. In developing the expected rates of return, the Company considers returns of historical market data as well as actual returns on the plan assets. Using this reference information, the long-term return expectations for each asset category are developed according to the allocation among those investment categories.</w:t>
      </w:r>
    </w:p>
    <w:p>
      <w:pPr>
        <w:spacing w:after="0" w:line="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assessment is determined using projections from external financial sources, long-term historical averages, actual returns by asset class and the various asset class allocations by market.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sets forth the change in projected benefit obligations and the change in plan assets for the years ended December 31, 2024 and 2023 and a reconciliation of the funded status at December 31, 2024 and 2023, respectively (amounts in thousands):</w:t>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r>
      <w:tr>
        <w:trPr>
          <w:trHeight w:val="207"/>
        </w:trPr>
        <w:tc>
          <w:tcPr>
            <w:tcW w:w="63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19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Projected Benefit Obligations</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Projected benefit obligations, beginning of year</w:t>
            </w:r>
          </w:p>
        </w:tc>
        <w:tc>
          <w:tcPr>
            <w:tcW w:w="108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65,101</w:t>
            </w:r>
          </w:p>
        </w:tc>
        <w:tc>
          <w:tcPr>
            <w:tcW w:w="140" w:type="dxa"/>
            <w:vAlign w:val="bottom"/>
          </w:tcPr>
          <w:p>
            <w:pPr>
              <w:spacing w:after="0"/>
              <w:rPr>
                <w:sz w:val="18"/>
                <w:szCs w:val="18"/>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50,364</w:t>
            </w:r>
          </w:p>
        </w:tc>
      </w:tr>
      <w:tr>
        <w:trPr>
          <w:trHeight w:val="215"/>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cost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Service cost</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r>
      <w:tr>
        <w:trPr>
          <w:trHeight w:val="215"/>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Actuarial loss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Plan amendments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w:t>
            </w:r>
          </w:p>
        </w:tc>
      </w:tr>
      <w:tr>
        <w:trPr>
          <w:trHeight w:val="215"/>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Plan settlements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contribution</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15"/>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Premiums paid</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 payment</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15"/>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transfer in/(out)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Effect of foreign currency exchange rates</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4,958</w:t>
            </w:r>
          </w:p>
        </w:tc>
      </w:tr>
      <w:tr>
        <w:trPr>
          <w:trHeight w:val="233"/>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Projected benefit obligations, end of year</w:t>
            </w:r>
          </w:p>
        </w:tc>
        <w:tc>
          <w:tcPr>
            <w:tcW w:w="1080" w:type="dxa"/>
            <w:vAlign w:val="bottom"/>
            <w:tcBorders>
              <w:bottom w:val="single" w:sz="8" w:color="auto"/>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67,262</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65,101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409"/>
        </w:trPr>
        <w:tc>
          <w:tcPr>
            <w:tcW w:w="6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r>
      <w:tr>
        <w:trPr>
          <w:trHeight w:val="207"/>
        </w:trPr>
        <w:tc>
          <w:tcPr>
            <w:tcW w:w="63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19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Plan Assets</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Plan assets at fair value, beginning of year</w:t>
            </w:r>
          </w:p>
        </w:tc>
        <w:tc>
          <w:tcPr>
            <w:tcW w:w="108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45,724</w:t>
            </w:r>
          </w:p>
        </w:tc>
        <w:tc>
          <w:tcPr>
            <w:tcW w:w="140" w:type="dxa"/>
            <w:vAlign w:val="bottom"/>
          </w:tcPr>
          <w:p>
            <w:pPr>
              <w:spacing w:after="0"/>
              <w:rPr>
                <w:sz w:val="18"/>
                <w:szCs w:val="18"/>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38,053</w:t>
            </w:r>
          </w:p>
        </w:tc>
      </w:tr>
      <w:tr>
        <w:trPr>
          <w:trHeight w:val="215"/>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Employer contributions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15"/>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contributions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Plan settlements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Benefits paid</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Premiums paid</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15"/>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transfer in/(out)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Effect of foreign currency exchange rates</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w:t>
            </w:r>
          </w:p>
        </w:tc>
      </w:tr>
      <w:tr>
        <w:trPr>
          <w:trHeight w:val="233"/>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Plan assets at fair value, end of year</w:t>
            </w:r>
          </w:p>
        </w:tc>
        <w:tc>
          <w:tcPr>
            <w:tcW w:w="1080" w:type="dxa"/>
            <w:vAlign w:val="bottom"/>
            <w:tcBorders>
              <w:bottom w:val="single" w:sz="8" w:color="auto"/>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51,818</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45,724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515"/>
        </w:trPr>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r>
      <w:tr>
        <w:trPr>
          <w:trHeight w:val="207"/>
        </w:trPr>
        <w:tc>
          <w:tcPr>
            <w:tcW w:w="6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Pr>
          <w:p>
            <w:pPr>
              <w:spacing w:after="0"/>
              <w:rPr>
                <w:sz w:val="18"/>
                <w:szCs w:val="18"/>
                <w:color w:val="auto"/>
              </w:rPr>
            </w:pPr>
          </w:p>
        </w:tc>
      </w:tr>
      <w:tr>
        <w:trPr>
          <w:trHeight w:val="194"/>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Funded Status</w:t>
            </w:r>
          </w:p>
        </w:tc>
        <w:tc>
          <w:tcPr>
            <w:tcW w:w="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108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51,818</w:t>
            </w:r>
          </w:p>
        </w:tc>
        <w:tc>
          <w:tcPr>
            <w:tcW w:w="140" w:type="dxa"/>
            <w:vAlign w:val="bottom"/>
          </w:tcPr>
          <w:p>
            <w:pPr>
              <w:spacing w:after="0"/>
              <w:rPr>
                <w:sz w:val="18"/>
                <w:szCs w:val="18"/>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45,724</w:t>
            </w:r>
          </w:p>
        </w:tc>
      </w:tr>
      <w:tr>
        <w:trPr>
          <w:trHeight w:val="215"/>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obligations</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65,101</w:t>
            </w:r>
          </w:p>
        </w:tc>
      </w:tr>
      <w:tr>
        <w:trPr>
          <w:trHeight w:val="206"/>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Unfunded benefit obligations</w:t>
            </w: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15,444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19,377</w:t>
            </w: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unfunded benefit obligations are included in other liabilities in the consolidated balance sheets at December 31, 2024 and 2023, respectively.</w:t>
      </w:r>
    </w:p>
    <w:p>
      <w:pPr>
        <w:spacing w:after="0" w:line="1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periods ended December 31, 2024 and 2023, the Company had a net gain of $1.3 million and a net loss of $6.6 million, respectively, recognized within accumulated other comprehensive loss that has not been recognized as a component of net periodic benefit cost. The combined accumulated benefit obligations for the defined benefit plans was $60.1 million and $62.8 million as of December 31, 2024 and 2023, respectively.</w:t>
      </w:r>
    </w:p>
    <w:p>
      <w:pPr>
        <w:spacing w:after="0" w:line="7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Unrecognized gains and losses are amortized over the average remaining future service for each plan. For plans with no active employees, they are amortized over the average life expectancy. The amortization of gains and losses is determined by using a 10% corridor of the greater of the market value of assets or the accumulated benefit obligation. Total unamortized gains and losses in excess of the corridor are amortized over the average remaining future service.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Prior service costs/benefits for the pension plans are amortized over the average remaining future service of plan participants at the time of the plan amendment.</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net plan assets of the pension plans are invested in common trusts. Common trusts are classified as Level 2 in fair value hierarchy. The fair value of common trusts is valued at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appropriate risk profile.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plans in France and Germany had no assets at December 31,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no plan assets are expected to be returned to the Company in the next twelve months.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the summary of expected future benefit payments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9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w:t>
            </w:r>
          </w:p>
        </w:tc>
      </w:tr>
      <w:tr>
        <w:trPr>
          <w:trHeight w:val="21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9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w:t>
            </w:r>
          </w:p>
        </w:tc>
      </w:tr>
      <w:tr>
        <w:trPr>
          <w:trHeight w:val="21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r>
      <w:tr>
        <w:trPr>
          <w:trHeight w:val="208"/>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Next five years</w:t>
            </w:r>
          </w:p>
        </w:tc>
        <w:tc>
          <w:tcPr>
            <w:tcW w:w="49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12,278</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contributions expected to be paid to the plan in 2025 is $3.1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also has various defined contribution savings plans offered to our U.S. and non-U.S. employees. The Company matches a certain percentage of each employee’s contributions as per the provisions of the plans. Total contributions by the Company to the plans were $10.4 million, $10.4 million and $9.8 million for the years ended December 31, 2024, 2023, and 2022,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maintains a Deferred Compensation Plan in which certain employees of the Company may defer the payment and taxation of up to 75% of their base salary and up to 100% of bonus amounts and other eligible cash compensation.</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at December 31, 2024 and 2023 was $6.7 million and $6.1 million. Offsetting liabilities relating to the deferred compensation plan are included in Other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 AND RELATED PARTY LEASES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administrative, manufacturing, research and distribution facilities and vehicles through operating lease agreements. The Company has no material finance leases as of December 31, 2024.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spacing w:after="0" w:line="5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Total operating lease expense for the year ended December 31, 2024 and 2023, was $24.3 million and $24.0 million, respectively, which includes $0.3 million, in related party operating lease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at December 31, 2024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6"/>
        </w:trPr>
        <w:tc>
          <w:tcPr>
            <w:tcW w:w="6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(In thousands, except lease term and discount rate)</w:t>
            </w:r>
          </w:p>
        </w:tc>
      </w:tr>
      <w:tr>
        <w:trPr>
          <w:trHeight w:val="20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144,042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156,184</w:t>
            </w:r>
          </w:p>
        </w:tc>
      </w:tr>
      <w:tr>
        <w:trPr>
          <w:trHeight w:val="266"/>
        </w:trPr>
        <w:tc>
          <w:tcPr>
            <w:tcW w:w="6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15,284</w:t>
            </w:r>
          </w:p>
        </w:tc>
      </w:tr>
      <w:tr>
        <w:trPr>
          <w:trHeight w:val="21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166,930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166,849</w:t>
            </w:r>
          </w:p>
        </w:tc>
      </w:tr>
      <w:tr>
        <w:trPr>
          <w:trHeight w:val="233"/>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181,470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182,133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3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16.1 years</w:t>
            </w:r>
          </w:p>
        </w:tc>
        <w:tc>
          <w:tcPr>
            <w:tcW w:w="3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 years</w:t>
            </w:r>
          </w:p>
        </w:tc>
      </w:tr>
      <w:tr>
        <w:trPr>
          <w:trHeight w:val="215"/>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3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 years</w:t>
            </w: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years</w:t>
            </w:r>
          </w:p>
        </w:tc>
      </w:tr>
      <w:tr>
        <w:trPr>
          <w:trHeight w:val="266"/>
        </w:trPr>
        <w:tc>
          <w:tcPr>
            <w:tcW w:w="6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Leased facilities</w:t>
            </w:r>
          </w:p>
        </w:tc>
        <w:tc>
          <w:tcPr>
            <w:tcW w:w="3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15"/>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Leased vehicles</w:t>
            </w: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6"/>
        </w:trPr>
        <w:tc>
          <w:tcPr>
            <w:tcW w:w="6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60" w:type="dxa"/>
            <w:vAlign w:val="bottom"/>
            <w:gridSpan w:val="4"/>
          </w:tcPr>
          <w:p>
            <w:pPr>
              <w:jc w:val="right"/>
              <w:ind w:right="1640"/>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4"/>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0"/>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24,122</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20,655</w:t>
            </w:r>
          </w:p>
        </w:tc>
      </w:tr>
      <w:tr>
        <w:trPr>
          <w:trHeight w:val="268"/>
        </w:trPr>
        <w:tc>
          <w:tcPr>
            <w:tcW w:w="68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lease liabilities, net of modifications:</w:t>
            </w: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5"/>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operating leases at December 31, 2024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Related Parties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Third Parties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23,346</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20,137</w:t>
            </w:r>
          </w:p>
        </w:tc>
        <w:tc>
          <w:tcPr>
            <w:tcW w:w="0" w:type="dxa"/>
            <w:vAlign w:val="bottom"/>
          </w:tcPr>
          <w:p>
            <w:pPr>
              <w:spacing w:after="0"/>
              <w:rPr>
                <w:sz w:val="1"/>
                <w:szCs w:val="1"/>
                <w:color w:val="auto"/>
              </w:rPr>
            </w:pPr>
          </w:p>
        </w:tc>
      </w:tr>
      <w:tr>
        <w:trPr>
          <w:trHeight w:val="21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19,701</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17,945</w:t>
            </w:r>
          </w:p>
        </w:tc>
        <w:tc>
          <w:tcPr>
            <w:tcW w:w="0" w:type="dxa"/>
            <w:vAlign w:val="bottom"/>
          </w:tcPr>
          <w:p>
            <w:pPr>
              <w:spacing w:after="0"/>
              <w:rPr>
                <w:sz w:val="1"/>
                <w:szCs w:val="1"/>
                <w:color w:val="auto"/>
              </w:rPr>
            </w:pPr>
          </w:p>
        </w:tc>
      </w:tr>
      <w:tr>
        <w:trPr>
          <w:trHeight w:val="21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17,726</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169,433</w:t>
            </w:r>
          </w:p>
        </w:tc>
        <w:tc>
          <w:tcPr>
            <w:tcW w:w="0" w:type="dxa"/>
            <w:vAlign w:val="bottom"/>
          </w:tcPr>
          <w:p>
            <w:pPr>
              <w:spacing w:after="0"/>
              <w:rPr>
                <w:sz w:val="1"/>
                <w:szCs w:val="1"/>
                <w:color w:val="auto"/>
              </w:rPr>
            </w:pPr>
          </w:p>
        </w:tc>
      </w:tr>
      <w:tr>
        <w:trPr>
          <w:trHeight w:val="233"/>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268,288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86,818</w:t>
            </w:r>
          </w:p>
        </w:tc>
        <w:tc>
          <w:tcPr>
            <w:tcW w:w="0" w:type="dxa"/>
            <w:vAlign w:val="bottom"/>
          </w:tcPr>
          <w:p>
            <w:pPr>
              <w:spacing w:after="0"/>
              <w:rPr>
                <w:sz w:val="1"/>
                <w:szCs w:val="1"/>
                <w:color w:val="auto"/>
              </w:rPr>
            </w:pPr>
          </w:p>
        </w:tc>
      </w:tr>
      <w:tr>
        <w:trPr>
          <w:trHeight w:val="21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181,470</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lease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14,540</w:t>
            </w:r>
          </w:p>
        </w:tc>
        <w:tc>
          <w:tcPr>
            <w:tcW w:w="0" w:type="dxa"/>
            <w:vAlign w:val="bottom"/>
          </w:tcPr>
          <w:p>
            <w:pPr>
              <w:spacing w:after="0"/>
              <w:rPr>
                <w:sz w:val="1"/>
                <w:szCs w:val="1"/>
                <w:color w:val="auto"/>
              </w:rPr>
            </w:pPr>
          </w:p>
        </w:tc>
      </w:tr>
      <w:tr>
        <w:trPr>
          <w:trHeight w:val="21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166,930</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future minimum lease payments under finance leases at December 31, 2024.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leases its manufacturing facility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Impairment Charge</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approved a plan to transition the commercial distribution of PriMatrix® and SurgiMend® from the Boston facility to the Company’s manufacturing facility in Braintree, Massachusetts and permanently cease use of the Boston facility. As a result, in the second quarter of 2024, the Company recorded a $4.6 million impairment charge in the Tissue Technologies reportable segment, as the carrying amounts of the operating lease right-of-use asset and fixed assets related to the Boston facility exceeded their fair values based on the Company’s estimates of future discounted cash flows through the end of the lease term and the end of their remaining useful lives, respectively. The $4.6 million impairment charge was comprised of a $1.7 million impairment of an operating lease right-of-use asset and a $2.9 million write-off of fixed assets, which was recorded as a component of cost of goods sold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consisted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operations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92,642</w:t>
            </w:r>
          </w:p>
        </w:tc>
      </w:tr>
      <w:tr>
        <w:trPr>
          <w:trHeight w:val="2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121,252</w:t>
            </w: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81,069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213,894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rate to the Company’s effective tax rate is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Federal statutory rate</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Increase (decrease) in income taxes resulting from:</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State income taxes, net of federal tax benefit</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Benefit derived from foreign operations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Nondeductible meals and entertainment</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Intercompany profit in inventory</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Research and development credit</w:t>
      </w:r>
    </w:p>
    <w:p>
      <w:pPr>
        <w:spacing w:after="0" w:line="29" w:lineRule="exact"/>
        <w:rPr>
          <w:sz w:val="20"/>
          <w:szCs w:val="20"/>
          <w:color w:val="auto"/>
        </w:rPr>
      </w:pPr>
    </w:p>
    <w:p>
      <w:pPr>
        <w:ind w:left="140" w:right="1040" w:firstLine="3"/>
        <w:spacing w:after="0" w:line="285" w:lineRule="auto"/>
        <w:rPr>
          <w:sz w:val="20"/>
          <w:szCs w:val="20"/>
          <w:color w:val="auto"/>
        </w:rPr>
      </w:pPr>
      <w:r>
        <w:rPr>
          <w:rFonts w:ascii="Times New Roman" w:cs="Times New Roman" w:eastAsia="Times New Roman" w:hAnsi="Times New Roman"/>
          <w:sz w:val="16"/>
          <w:szCs w:val="16"/>
          <w:color w:val="auto"/>
        </w:rPr>
        <w:t>Nondeductible executive compensation &amp; stock compensation shortfall Transaction and deal related costs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Changes in valuation allowances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Return to provision</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Effective tax rate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2"/>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424"/>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2"/>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2"/>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2"/>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26"/>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2"/>
        </w:trPr>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5"/>
        </w:trPr>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61.9 %</w:t>
            </w: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15.6 %</w:t>
            </w:r>
          </w:p>
        </w:tc>
      </w:tr>
      <w:tr>
        <w:trPr>
          <w:trHeight w:val="22"/>
        </w:trPr>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-1804035</wp:posOffset>
            </wp:positionV>
            <wp:extent cx="7109460" cy="143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9">
                      <a:extLst>
                        <a:ext uri="{28A0092B-C50C-407E-A947-70E740481C1C}"/>
                      </a:extLst>
                    </a:blip>
                    <a:srcRect/>
                    <a:stretch>
                      <a:fillRect/>
                    </a:stretch>
                  </pic:blipFill>
                  <pic:spPr bwMode="auto">
                    <a:xfrm>
                      <a:off x="0" y="0"/>
                      <a:ext cx="7109460" cy="14351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-1525905</wp:posOffset>
            </wp:positionV>
            <wp:extent cx="7109460" cy="134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0">
                      <a:extLst>
                        <a:ext uri="{28A0092B-C50C-407E-A947-70E740481C1C}"/>
                      </a:extLst>
                    </a:blip>
                    <a:srcRect/>
                    <a:stretch>
                      <a:fillRect/>
                    </a:stretch>
                  </pic:blipFill>
                  <pic:spPr bwMode="auto">
                    <a:xfrm>
                      <a:off x="0" y="0"/>
                      <a:ext cx="7109460" cy="13462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-1256030</wp:posOffset>
            </wp:positionV>
            <wp:extent cx="7109460" cy="134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1">
                      <a:extLst>
                        <a:ext uri="{28A0092B-C50C-407E-A947-70E740481C1C}"/>
                      </a:extLst>
                    </a:blip>
                    <a:srcRect/>
                    <a:stretch>
                      <a:fillRect/>
                    </a:stretch>
                  </pic:blipFill>
                  <pic:spPr bwMode="auto">
                    <a:xfrm>
                      <a:off x="0" y="0"/>
                      <a:ext cx="7109460" cy="13462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-986155</wp:posOffset>
            </wp:positionV>
            <wp:extent cx="7109460" cy="134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2">
                      <a:extLst>
                        <a:ext uri="{28A0092B-C50C-407E-A947-70E740481C1C}"/>
                      </a:extLst>
                    </a:blip>
                    <a:srcRect/>
                    <a:stretch>
                      <a:fillRect/>
                    </a:stretch>
                  </pic:blipFill>
                  <pic:spPr bwMode="auto">
                    <a:xfrm>
                      <a:off x="0" y="0"/>
                      <a:ext cx="7109460" cy="13462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-716280</wp:posOffset>
            </wp:positionV>
            <wp:extent cx="7109460" cy="143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3">
                      <a:extLst>
                        <a:ext uri="{28A0092B-C50C-407E-A947-70E740481C1C}"/>
                      </a:extLst>
                    </a:blip>
                    <a:srcRect/>
                    <a:stretch>
                      <a:fillRect/>
                    </a:stretch>
                  </pic:blipFill>
                  <pic:spPr bwMode="auto">
                    <a:xfrm>
                      <a:off x="0" y="0"/>
                      <a:ext cx="7109460" cy="14351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-438150</wp:posOffset>
            </wp:positionV>
            <wp:extent cx="7109460" cy="134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4">
                      <a:extLst>
                        <a:ext uri="{28A0092B-C50C-407E-A947-70E740481C1C}"/>
                      </a:extLst>
                    </a:blip>
                    <a:srcRect/>
                    <a:stretch>
                      <a:fillRect/>
                    </a:stretch>
                  </pic:blipFill>
                  <pic:spPr bwMode="auto">
                    <a:xfrm>
                      <a:off x="0" y="0"/>
                      <a:ext cx="7109460" cy="13462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-168275</wp:posOffset>
            </wp:positionV>
            <wp:extent cx="7109460" cy="151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5">
                      <a:extLst>
                        <a:ext uri="{28A0092B-C50C-407E-A947-70E740481C1C}"/>
                      </a:extLst>
                    </a:blip>
                    <a:srcRect/>
                    <a:stretch>
                      <a:fillRect/>
                    </a:stretch>
                  </pic:blipFill>
                  <pic:spPr bwMode="auto">
                    <a:xfrm>
                      <a:off x="0" y="0"/>
                      <a:ext cx="7109460" cy="15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4780"/>
          </w:cols>
          <w:pgMar w:left="320" w:top="119" w:right="3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effective tax rate was 61.9% and 16.4% of income before income taxes for the years ended December 31, 2024 and December 31, 2023,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2024, the Company’s effective tax rate was driven by federal, state, and international tax benefits generated from operating losses in certain jurisdictions, including a $4.4 million benefit from federal and state research tax credits, offset by the inclusion of Global Intangible Low-Taxed Income (“GILTI”). In 2023, the Company’s effective tax rate was primarily driven by the inclusion of GILTI, offset by a $5.8 million income tax benefit related to a four-year tax credit received by a Swiss subsidiary. The Company received an extension of the 2018 Swiss tax grant for three years, until the 2027 tax year. The net benefit of the tax credit, recorded as of December 31, 2023, was based on projections of use of the incremental tax grant. The Company’s Swiss subsidiary may offset the tax credit against cantonal and communal income and capital taxes during tax years 2024 through 2027. Any unused balance at the end of the 2027 tax period will be forfeited.</w:t>
      </w:r>
    </w:p>
    <w:p>
      <w:pPr>
        <w:spacing w:after="0" w:line="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2022, the Company’s lower effective tax rate was driven by a $5.1 million income tax benefit related to stock compensation and a $2.4 million income tax benefit related to the filing of amended federal and state returns for prior years.</w:t>
      </w:r>
    </w:p>
    <w:p>
      <w:pPr>
        <w:spacing w:after="0" w:line="57" w:lineRule="exact"/>
        <w:rPr>
          <w:sz w:val="20"/>
          <w:szCs w:val="20"/>
          <w:color w:val="auto"/>
        </w:rPr>
      </w:pPr>
    </w:p>
    <w:p>
      <w:pPr>
        <w:jc w:val="both"/>
        <w:ind w:right="60"/>
        <w:spacing w:after="0" w:line="305" w:lineRule="auto"/>
        <w:rPr>
          <w:sz w:val="20"/>
          <w:szCs w:val="20"/>
          <w:color w:val="auto"/>
        </w:rPr>
      </w:pPr>
      <w:r>
        <w:rPr>
          <w:rFonts w:ascii="Times New Roman" w:cs="Times New Roman" w:eastAsia="Times New Roman" w:hAnsi="Times New Roman"/>
          <w:sz w:val="17"/>
          <w:szCs w:val="17"/>
          <w:color w:val="auto"/>
        </w:rPr>
        <w:t>During 2024, the Company’s foreign operations generated a $0.4 million increase in income tax expense when compared to the same period in 2023, because of geographic and business mix of taxable earnings and losses, among other factors. The 2024 foreign effective tax rate is 12.3% compared to 16.4% in 2023.</w:t>
      </w:r>
    </w:p>
    <w:p>
      <w:pPr>
        <w:spacing w:after="0" w:line="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Changes to income tax laws and regulations, in any of the tax jurisdictions in which the Company operates, could impact the effective tax rate. Various governments, both U.S. and non-U.S., are increasingly focused on tax reform and revenue-raising legislation. On August 16, 2022, the Inflation Act was signed into law, for which the Company did not experience a material impact on the Company’s effective tax rate. Further, legislation in foreign jurisdictions may be enacted, in continued response to the base erosion and profit-sharing (“BEPS”) project begun by the Organization for Economic Cooperation and Development (“OECD”).</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OECD released model rules related to a new 15% global minimum tax regime (“Pillar 2”). A number of the jurisdictions that the Company operates in have adopted some form of the model rules, which became effective beginning in 2024. The Pillar 2 rules are complex and provide for delays for implementing the tax during the early transition years, if certain conditions are met. The Company calculated an immaterial amount related to Pillar 2 tax liability for the year ending December 31, 2024, aided by certain transition safe-harbor results in Switzerland. Related changes in U.S. and non-U.S. jurisdictions could have an adverse effect on the Company’s effective tax rate.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0"/>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10,973</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24,201</w:t>
            </w:r>
          </w:p>
        </w:tc>
      </w:tr>
      <w:tr>
        <w:trPr>
          <w:trHeight w:val="215"/>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w:t>
            </w:r>
          </w:p>
        </w:tc>
      </w:tr>
      <w:tr>
        <w:trPr>
          <w:trHeight w:val="210"/>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9,893</w:t>
            </w:r>
          </w:p>
        </w:tc>
      </w:tr>
      <w:tr>
        <w:trPr>
          <w:trHeight w:val="20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37,929</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(11,591)</w:t>
            </w:r>
          </w:p>
        </w:tc>
      </w:tr>
      <w:tr>
        <w:trPr>
          <w:trHeight w:val="210"/>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w:t>
            </w:r>
          </w:p>
        </w:tc>
      </w:tr>
      <w:tr>
        <w:trPr>
          <w:trHeight w:val="215"/>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9,322</w:t>
            </w:r>
          </w:p>
        </w:tc>
      </w:tr>
      <w:tr>
        <w:trPr>
          <w:trHeight w:val="204"/>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(11,885)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(4,585)</w:t>
            </w: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income tax effects of significant temporary differences that give rise to deferred tax assets and liabilities, shown before jurisdictional netting, are presented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1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0"/>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Doubtful accounts</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tcPr>
          <w:p>
            <w:pPr>
              <w:spacing w:after="0"/>
              <w:rPr>
                <w:sz w:val="18"/>
                <w:szCs w:val="18"/>
                <w:color w:val="auto"/>
              </w:rPr>
            </w:pPr>
          </w:p>
        </w:tc>
        <w:tc>
          <w:tcPr>
            <w:tcW w:w="48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r>
      <w:tr>
        <w:trPr>
          <w:trHeight w:val="21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 related items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41,466</w:t>
            </w:r>
          </w:p>
        </w:tc>
      </w:tr>
      <w:tr>
        <w:trPr>
          <w:trHeight w:val="210"/>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credits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18,859</w:t>
            </w:r>
          </w:p>
        </w:tc>
      </w:tr>
      <w:tr>
        <w:trPr>
          <w:trHeight w:val="21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vacation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w:t>
            </w:r>
          </w:p>
        </w:tc>
      </w:tr>
      <w:tr>
        <w:trPr>
          <w:trHeight w:val="210"/>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bonus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w:t>
            </w:r>
          </w:p>
        </w:tc>
      </w:tr>
      <w:tr>
        <w:trPr>
          <w:trHeight w:val="21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w:t>
            </w:r>
          </w:p>
        </w:tc>
      </w:tr>
      <w:tr>
        <w:trPr>
          <w:trHeight w:val="210"/>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w:t>
            </w:r>
          </w:p>
        </w:tc>
      </w:tr>
      <w:tr>
        <w:trPr>
          <w:trHeight w:val="21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28,799</w:t>
            </w:r>
          </w:p>
        </w:tc>
      </w:tr>
      <w:tr>
        <w:trPr>
          <w:trHeight w:val="210"/>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Capitalization of research and development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61,138</w:t>
            </w:r>
          </w:p>
        </w:tc>
      </w:tr>
      <w:tr>
        <w:trPr>
          <w:trHeight w:val="21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13,907</w:t>
            </w:r>
          </w:p>
        </w:tc>
      </w:tr>
      <w:tr>
        <w:trPr>
          <w:trHeight w:val="210"/>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Charitable contributions carryforward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Leases and Other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59,339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55,271</w:t>
            </w: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240,185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239,636</w:t>
            </w:r>
          </w:p>
        </w:tc>
      </w:tr>
      <w:tr>
        <w:trPr>
          <w:trHeight w:val="212"/>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(12,486)</w:t>
            </w:r>
          </w:p>
        </w:tc>
      </w:tr>
      <w:tr>
        <w:trPr>
          <w:trHeight w:val="208"/>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assets after valuation allowance</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224,681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227,150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9"/>
        </w:trPr>
        <w:tc>
          <w:tcPr>
            <w:tcW w:w="82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0"/>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and fixed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(168,229)</w:t>
            </w:r>
          </w:p>
        </w:tc>
      </w:tr>
      <w:tr>
        <w:trPr>
          <w:trHeight w:val="215"/>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loss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(10,024)</w:t>
            </w:r>
          </w:p>
        </w:tc>
      </w:tr>
      <w:tr>
        <w:trPr>
          <w:trHeight w:val="21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Leases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(38,134)</w:t>
            </w:r>
          </w:p>
        </w:tc>
      </w:tr>
      <w:tr>
        <w:trPr>
          <w:trHeight w:val="206"/>
        </w:trPr>
        <w:tc>
          <w:tcPr>
            <w:tcW w:w="8240" w:type="dxa"/>
            <w:vAlign w:val="bottom"/>
            <w:tcBorders>
              <w:bottom w:val="single" w:sz="8" w:color="CCEEFF"/>
            </w:tcBorders>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deferred tax liabilities</w:t>
            </w:r>
          </w:p>
        </w:tc>
        <w:tc>
          <w:tcPr>
            <w:tcW w:w="320" w:type="dxa"/>
            <w:vAlign w:val="bottom"/>
            <w:tcBorders>
              <w:bottom w:val="single" w:sz="8" w:color="auto"/>
            </w:tcBorders>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(250,591)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(216,387)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deferred tax (liabilities) assets</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(25,910)</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10,763</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2017 U.S. Tax Cuts and Jobs Act (the “2017 Tax Act”) contained a provision which requires, for tax purposes, the capitalization and amortization of research and development expenses; effective for years beginning after December 31, 2021. The Company’s deferred tax assets increased by $10.4 million and $14.4 million at December 31, 2024 and December 31, 2023 respectively within the table above, related to the 2017 Tax Act.</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the Company had net operating loss carryforwards of $51.2 million for federal income tax purposes, $106.7 million for foreign income tax purposes and $46.5 million for state income tax purposes to offset future taxable income. For the federal net operating loss carryforwards, $51.2 million will expire through 2037. For foreign net operating loss carryforwards, $87.5 million will expire through 2028, while the remaining $19.1 million have an indefinite carry forward period. The state net operating loss carryforwards expire through 2042.</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valuation allowance relates to deferred tax assets for certain items that will be deductible for income tax purposes under very limited circumstances and for which the Company believes it will not satisfy the more likely than not threshold for realization of the associated tax benefit.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valuation allowance at December 31, 2024 increased by $3.0 million, as compared to 2023, primarily driven by a $1.1 million increase related to the expiring Swiss federal tax credit. The valuation allowance for 2023 had increased by $2.8 million, as compared to 2022, primarily driven by the newly recognized Swiss tax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32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Charged to</w:t>
            </w: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Description</w:t>
            </w:r>
          </w:p>
        </w:tc>
        <w:tc>
          <w:tcPr>
            <w:tcW w:w="4380" w:type="dxa"/>
            <w:vAlign w:val="bottom"/>
            <w:vMerge w:val="restart"/>
          </w:tcPr>
          <w:p>
            <w:pPr>
              <w:spacing w:after="0"/>
              <w:rPr>
                <w:sz w:val="13"/>
                <w:szCs w:val="13"/>
                <w:color w:val="auto"/>
              </w:rPr>
            </w:pPr>
          </w:p>
        </w:tc>
        <w:tc>
          <w:tcPr>
            <w:tcW w:w="1060" w:type="dxa"/>
            <w:vAlign w:val="bottom"/>
          </w:tcPr>
          <w:p>
            <w:pPr>
              <w:jc w:val="right"/>
              <w:ind w:right="60"/>
              <w:spacing w:after="0" w:line="159"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320" w:type="dxa"/>
            <w:vAlign w:val="bottom"/>
          </w:tcPr>
          <w:p>
            <w:pPr>
              <w:jc w:val="center"/>
              <w:ind w:right="200"/>
              <w:spacing w:after="0" w:line="159" w:lineRule="exact"/>
              <w:rPr>
                <w:sz w:val="20"/>
                <w:szCs w:val="20"/>
                <w:color w:val="auto"/>
              </w:rPr>
            </w:pPr>
            <w:r>
              <w:rPr>
                <w:rFonts w:ascii="Times New Roman" w:cs="Times New Roman" w:eastAsia="Times New Roman" w:hAnsi="Times New Roman"/>
                <w:sz w:val="16"/>
                <w:szCs w:val="16"/>
                <w:b w:val="1"/>
                <w:bCs w:val="1"/>
                <w:color w:val="auto"/>
              </w:rPr>
              <w:t>Costs and</w:t>
            </w:r>
          </w:p>
        </w:tc>
        <w:tc>
          <w:tcPr>
            <w:tcW w:w="1240" w:type="dxa"/>
            <w:vAlign w:val="bottom"/>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1060" w:type="dxa"/>
            <w:vAlign w:val="bottom"/>
          </w:tcPr>
          <w:p>
            <w:pPr>
              <w:jc w:val="right"/>
              <w:ind w:right="260"/>
              <w:spacing w:after="0" w:line="173" w:lineRule="exact"/>
              <w:rPr>
                <w:sz w:val="20"/>
                <w:szCs w:val="20"/>
                <w:color w:val="auto"/>
              </w:rPr>
            </w:pPr>
            <w:r>
              <w:rPr>
                <w:rFonts w:ascii="Times New Roman" w:cs="Times New Roman" w:eastAsia="Times New Roman" w:hAnsi="Times New Roman"/>
                <w:sz w:val="16"/>
                <w:szCs w:val="16"/>
                <w:b w:val="1"/>
                <w:bCs w:val="1"/>
                <w:color w:val="auto"/>
              </w:rPr>
              <w:t>Period</w:t>
            </w:r>
          </w:p>
        </w:tc>
        <w:tc>
          <w:tcPr>
            <w:tcW w:w="1320" w:type="dxa"/>
            <w:vAlign w:val="bottom"/>
          </w:tcPr>
          <w:p>
            <w:pPr>
              <w:jc w:val="center"/>
              <w:ind w:right="200"/>
              <w:spacing w:after="0" w:line="173"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124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w w:val="98"/>
              </w:rPr>
              <w:t>End of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18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Deferred tax assets valuation allowance</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17,823</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5,330</w:t>
            </w: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(429)</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22,357</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Deferred tax assets valuation allowance</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14,672</w:t>
            </w:r>
          </w:p>
        </w:tc>
        <w:tc>
          <w:tcPr>
            <w:tcW w:w="132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3,069</w:t>
            </w:r>
          </w:p>
        </w:tc>
        <w:tc>
          <w:tcPr>
            <w:tcW w:w="12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17,823</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Deferred tax assets valuation allowance</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15,258</w:t>
            </w:r>
          </w:p>
        </w:tc>
        <w:tc>
          <w:tcPr>
            <w:tcW w:w="13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(515)</w:t>
            </w:r>
          </w:p>
        </w:tc>
        <w:tc>
          <w:tcPr>
            <w:tcW w:w="12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14,672</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has not provided deferred income taxes on unrepatriated earnings from foreign subsidiaries as they are deemed to be indefinitely reinvested unless there is a manner under which to remit the earnings with no material tax cost. The Company will repatriate foreign earnings when there is no need for reinvestment overseas and no material tax cost to bring the earnings back to the United States. Reinvestment considerations would include future acquisitions, transactions, and capital expenditure plans.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uncertain tax benefits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6"/>
        </w:trPr>
        <w:tc>
          <w:tcPr>
            <w:tcW w:w="6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increases: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year tax positions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0"/>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Prior years' tax positions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Lapse of statute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Approximately $0.8 million of the balance at December 31, 2024 relates to uncertain tax positions that, if recognized, would affect the annual effective tax rate. The Company has no uncertain tax positions at December 31, 2024 related to tax positions for which it is reasonably possible that the amounts could be reduced during the twelve months following December 31, 2024.</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recognizes interest and penalties relating to uncertain tax positions in income tax expense. The Company recognized a minimal expense for the years ended December 31, 2024, 2023, and 2022. The Company had minimal interest and penalties accrued for the years ended December 31, 2024, 2023, and 2022.</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files Federal income tax returns, as well as multiple state, local and foreign jurisdiction tax returns. The Company is no longer subject to examinations of its U.S. consolidated Federal income tax returns by the Internal Revenue Service (“IRS”) through fiscal year 2018. All significant state and local matters have been concluded through fiscal year 2018. All significant foreign matters have been settled through fiscal 2017.</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668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6"/>
                <w:szCs w:val="16"/>
                <w:color w:val="auto"/>
              </w:rPr>
              <w:t>Dollars in thousands, except per share amounts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auto"/>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b w:val="1"/>
                <w:bCs w:val="1"/>
                <w:color w:val="auto"/>
                <w:w w:val="99"/>
              </w:rPr>
              <w:t>Basic net (loss) income per share:</w:t>
            </w:r>
          </w:p>
        </w:tc>
        <w:tc>
          <w:tcPr>
            <w:tcW w:w="4400" w:type="dxa"/>
            <w:vAlign w:val="bottom"/>
            <w:tcBorders>
              <w:bottom w:val="single" w:sz="8" w:color="CCEEFF"/>
            </w:tcBorders>
            <w:gridSpan w:val="2"/>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0"/>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67,741</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180,550</w:t>
            </w:r>
          </w:p>
        </w:tc>
      </w:tr>
      <w:tr>
        <w:trPr>
          <w:trHeight w:val="215"/>
        </w:trPr>
        <w:tc>
          <w:tcPr>
            <w:tcW w:w="6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82,997</w:t>
            </w:r>
          </w:p>
        </w:tc>
      </w:tr>
      <w:tr>
        <w:trPr>
          <w:trHeight w:val="211"/>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Basic net (loss) income per common share</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67"/>
        </w:trPr>
        <w:tc>
          <w:tcPr>
            <w:tcW w:w="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2420" w:type="dxa"/>
            <w:vAlign w:val="bottom"/>
            <w:tcBorders>
              <w:bottom w:val="single" w:sz="8" w:color="auto"/>
            </w:tcBorders>
            <w:gridSpan w:val="2"/>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9"/>
              </w:rPr>
              <w:t>Diluted net (loss) income per share:</w:t>
            </w:r>
          </w:p>
        </w:tc>
        <w:tc>
          <w:tcPr>
            <w:tcW w:w="4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2"/>
        </w:trPr>
        <w:tc>
          <w:tcPr>
            <w:tcW w:w="6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180,550</w:t>
            </w:r>
          </w:p>
        </w:tc>
      </w:tr>
      <w:tr>
        <w:trPr>
          <w:trHeight w:val="266"/>
        </w:trPr>
        <w:tc>
          <w:tcPr>
            <w:tcW w:w="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2"/>
        </w:trPr>
        <w:tc>
          <w:tcPr>
            <w:tcW w:w="6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82,997</w:t>
            </w:r>
          </w:p>
        </w:tc>
      </w:tr>
      <w:tr>
        <w:trPr>
          <w:trHeight w:val="210"/>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6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 options and restricted stock</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204"/>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for diluted earnings per share</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77,010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80,337</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83,516</w:t>
            </w:r>
          </w:p>
        </w:tc>
      </w:tr>
      <w:tr>
        <w:trPr>
          <w:trHeight w:val="215"/>
        </w:trPr>
        <w:tc>
          <w:tcPr>
            <w:tcW w:w="6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(loss) income per common share</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bl>
    <w:p>
      <w:pPr>
        <w:spacing w:after="0" w:line="28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Common stock of approximately 1.3 million and 0.6 million shares at December 31, 2024, and 2023 that are issuable through exercise of dilutive securities, respectively, were not included in the computation of diluted net income per share because their effect would have been anti-dilutive.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for the years ended December 31, 2024 and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180,550</w:t>
            </w: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(17,807)</w:t>
            </w:r>
          </w:p>
        </w:tc>
      </w:tr>
      <w:tr>
        <w:trPr>
          <w:trHeight w:val="215"/>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unrealized loss/(gain) on derivatives, net of tax</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65,798</w:t>
            </w:r>
          </w:p>
        </w:tc>
      </w:tr>
      <w:tr>
        <w:trPr>
          <w:trHeight w:val="21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Pension liability adjustment, net of tax</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7,429</w:t>
            </w:r>
          </w:p>
        </w:tc>
      </w:tr>
      <w:tr>
        <w:trPr>
          <w:trHeight w:val="231"/>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net</w:t>
            </w: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(19,409)</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235,970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between December 31, 2024 and 2023 are presented in the table below, net of tax:</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Gains and Losses on</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Foreign Currency</w:t>
            </w:r>
          </w:p>
        </w:tc>
        <w:tc>
          <w:tcPr>
            <w:tcW w:w="340" w:type="dxa"/>
            <w:vAlign w:val="bottom"/>
          </w:tcPr>
          <w:p>
            <w:pPr>
              <w:spacing w:after="0"/>
              <w:rPr>
                <w:sz w:val="16"/>
                <w:szCs w:val="16"/>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4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Derivatives</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center"/>
              <w:ind w:left="520"/>
              <w:spacing w:after="0"/>
              <w:rPr>
                <w:sz w:val="20"/>
                <w:szCs w:val="20"/>
                <w:color w:val="auto"/>
              </w:rPr>
            </w:pPr>
            <w:r>
              <w:rPr>
                <w:rFonts w:ascii="Times New Roman" w:cs="Times New Roman" w:eastAsia="Times New Roman" w:hAnsi="Times New Roman"/>
                <w:sz w:val="16"/>
                <w:szCs w:val="16"/>
                <w:color w:val="auto"/>
                <w:w w:val="98"/>
              </w:rPr>
              <w:t>(15,106)</w:t>
            </w:r>
          </w:p>
        </w:tc>
        <w:tc>
          <w:tcPr>
            <w:tcW w:w="0" w:type="dxa"/>
            <w:vAlign w:val="bottom"/>
          </w:tcPr>
          <w:p>
            <w:pPr>
              <w:spacing w:after="0"/>
              <w:rPr>
                <w:sz w:val="1"/>
                <w:szCs w:val="1"/>
                <w:color w:val="auto"/>
              </w:rPr>
            </w:pPr>
          </w:p>
        </w:tc>
      </w:tr>
      <w:tr>
        <w:trPr>
          <w:trHeight w:val="210"/>
        </w:trPr>
        <w:tc>
          <w:tcPr>
            <w:tcW w:w="4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center"/>
              <w:ind w:left="540"/>
              <w:spacing w:after="0"/>
              <w:rPr>
                <w:sz w:val="20"/>
                <w:szCs w:val="20"/>
                <w:color w:val="auto"/>
              </w:rPr>
            </w:pPr>
            <w:r>
              <w:rPr>
                <w:rFonts w:ascii="Times New Roman" w:cs="Times New Roman" w:eastAsia="Times New Roman" w:hAnsi="Times New Roman"/>
                <w:sz w:val="16"/>
                <w:szCs w:val="16"/>
                <w:color w:val="auto"/>
                <w:w w:val="99"/>
              </w:rPr>
              <w:t>41,036</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ind w:left="380"/>
              <w:spacing w:after="0" w:line="161" w:lineRule="exact"/>
              <w:rPr>
                <w:sz w:val="20"/>
                <w:szCs w:val="20"/>
                <w:color w:val="auto"/>
              </w:rPr>
            </w:pPr>
            <w:r>
              <w:rPr>
                <w:rFonts w:ascii="Times New Roman" w:cs="Times New Roman" w:eastAsia="Times New Roman" w:hAnsi="Times New Roman"/>
                <w:sz w:val="16"/>
                <w:szCs w:val="16"/>
                <w:color w:val="auto"/>
              </w:rPr>
              <w:t>Less: Amounts reclassified from accumulated other comprehensive</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center"/>
              <w:ind w:left="540"/>
              <w:spacing w:after="0"/>
              <w:rPr>
                <w:sz w:val="20"/>
                <w:szCs w:val="20"/>
                <w:color w:val="auto"/>
              </w:rPr>
            </w:pPr>
            <w:r>
              <w:rPr>
                <w:rFonts w:ascii="Times New Roman" w:cs="Times New Roman" w:eastAsia="Times New Roman" w:hAnsi="Times New Roman"/>
                <w:sz w:val="16"/>
                <w:szCs w:val="16"/>
                <w:color w:val="auto"/>
                <w:w w:val="99"/>
              </w:rPr>
              <w:t>53,501</w:t>
            </w: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income, net</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current-period other comprehensive gain (loss)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(18,904)</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6"/>
                <w:szCs w:val="16"/>
                <w:color w:val="auto"/>
                <w:w w:val="98"/>
              </w:rPr>
              <w:t>(12,465)</w:t>
            </w:r>
          </w:p>
        </w:tc>
        <w:tc>
          <w:tcPr>
            <w:tcW w:w="0" w:type="dxa"/>
            <w:vAlign w:val="bottom"/>
          </w:tcPr>
          <w:p>
            <w:pPr>
              <w:spacing w:after="0"/>
              <w:rPr>
                <w:sz w:val="1"/>
                <w:szCs w:val="1"/>
                <w:color w:val="auto"/>
              </w:rPr>
            </w:pP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(58,211)</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center"/>
              <w:ind w:left="520"/>
              <w:spacing w:after="0"/>
              <w:rPr>
                <w:sz w:val="20"/>
                <w:szCs w:val="20"/>
                <w:color w:val="auto"/>
              </w:rPr>
            </w:pPr>
            <w:r>
              <w:rPr>
                <w:rFonts w:ascii="Times New Roman" w:cs="Times New Roman" w:eastAsia="Times New Roman" w:hAnsi="Times New Roman"/>
                <w:sz w:val="16"/>
                <w:szCs w:val="16"/>
                <w:color w:val="auto"/>
                <w:w w:val="98"/>
              </w:rPr>
              <w:t>(27,571)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2024, the Company reclassified gains of $32.3 million and $21.2 million from accumulated other comprehensive loss to other income, net and interest income,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If the reasonable estimate of a probable loss is a range, and no amount within the range is a better estimate than any other, the minimum amount of the range is recorded. In most cases, significant judgment is required to estimate the amount and timing of a loss to be recorded and actual results may differ from these estimates.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21, 2023, Fortis Advisors, LLC (representative of the security holders of ACell, Inc. (“ACell”)) filed for arbitration against Integra Life Sciences claiming breach of contract related to the earnout consideration from the 2021 acquisition of ACell. Refer to the contingent consideration section of this footnote for additional information on the ACell contingent considerations. The Company believes that it has strong defenses to the allegations in the arbitration and intends to defend the matter vigorously.</w:t>
      </w:r>
    </w:p>
    <w:p>
      <w:pPr>
        <w:spacing w:after="0" w:line="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On September 12, 2023, a securities class action complaint, captioned </w:t>
      </w:r>
      <w:r>
        <w:rPr>
          <w:rFonts w:ascii="Times New Roman" w:cs="Times New Roman" w:eastAsia="Times New Roman" w:hAnsi="Times New Roman"/>
          <w:sz w:val="18"/>
          <w:szCs w:val="18"/>
          <w:i w:val="1"/>
          <w:iCs w:val="1"/>
          <w:color w:val="auto"/>
        </w:rPr>
        <w:t>Pembroke Pines Firefighters &amp; Police Officers Pension Fund v. Integra LifeSciences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Corporation</w:t>
      </w:r>
      <w:r>
        <w:rPr>
          <w:rFonts w:ascii="Times New Roman" w:cs="Times New Roman" w:eastAsia="Times New Roman" w:hAnsi="Times New Roman"/>
          <w:sz w:val="18"/>
          <w:szCs w:val="18"/>
          <w:color w:val="auto"/>
        </w:rPr>
        <w:t>, No. 23-cv-20321 (D.N.J.), was filed by a purported stockholder of the Company in the United States District Court for the District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FDA at the Company’s Boston, Massachusetts manufacturing facility, the Company’s efforts to remediate those issues, and the Company’s forecasts for certain products in its Tissue Technologies segment. The complaint seeks, among other things, compensatory damages, attorneys’ fees, expert fees, and other costs. The Company believes that it has strong defenses to the allegations in the Pembroke Litigation, and intends to defend the matter vigorously.</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February 21, 2025, a derivative lawsuit captioned </w:t>
      </w:r>
      <w:r>
        <w:rPr>
          <w:rFonts w:ascii="Times New Roman" w:cs="Times New Roman" w:eastAsia="Times New Roman" w:hAnsi="Times New Roman"/>
          <w:sz w:val="18"/>
          <w:szCs w:val="18"/>
          <w:i w:val="1"/>
          <w:iCs w:val="1"/>
          <w:color w:val="auto"/>
        </w:rPr>
        <w:t>Grabowsky v. Integra LifeSciences Holding Corp. et al,</w:t>
      </w:r>
      <w:r>
        <w:rPr>
          <w:rFonts w:ascii="Times New Roman" w:cs="Times New Roman" w:eastAsia="Times New Roman" w:hAnsi="Times New Roman"/>
          <w:sz w:val="18"/>
          <w:szCs w:val="18"/>
          <w:color w:val="auto"/>
        </w:rPr>
        <w:t xml:space="preserve"> No. 3:25-cv-01399 (D.N.J.) was filed in the United States District Court for the District of New Jersey. The action purports to assert derivative claims on behalf of the Company against its current Board of Directors and certain of its current or former officers and directors. The action asserts claims that the individual defendants breached their fiduciary duties and harmed the Company by making false and misleading statements and omissions relating to certain quality systems issues identified by the FDA at the Company’s Boston, Massachusetts manufacturing facility, the Company’s efforts to remediate those issues, and the Company’s forecasts for certain products in its Tissue Technologies segment.</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17, 2021, a complaint was filed against the Company in the Court of Common Pleas of Philadelphia County in Pennsylvania asserting product liability claims relating to a surgical procedure in which the Company’s CUSA® Clarity allegedly was used. The plaintiff seeks damages against the Company based upon plaintiff’s claim that the CUSA® Clarity did not function as intended. The plaintiff also asserts separate claims against the surgeon and the hospital. In the second half of 2024, a settlement was reached, which has since been paid by the Company’s insurance carriers.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Contingent Consideration</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Contingent consideration is recorded at fair value as measured on the date of acquisition. The value recorded is based on estimates of future financial projections under various potential scenarios using either a Monte Carlo simulation or the probability-weighted income approach derived from revenue estimates and probability assessment with respect to the likelihood of achieving contingent obligations. Contingent payments related to acquisitions consist of development, regulatory, and commercial milestone payments, in addition to sales-based payments, and are valued using discounted cash flow techniques that are classified within Level 3 of the fair value hierarchy because they are measured at fair value using significant unobservable inputs, including management’s forecast of future revenues for the acquired businesses as well as management’s estimates of the likelihood of achieving the other specified criteria. Each quarter until such contingent amounts are earned, the fair value of the liability is remeasured at each reporting period and adjusted as a component of operating expenses based on changes to the underlying assumptions. The change in the fair value of sales-based payments is based upon future revenue estimates and increases or decreases as revenue estimates or expectation of timing of payment charges. The estimates used to determine the fair value of the contingent consideration liability are subject to significant judgment and actual results are likely to differ from the amounts originally recorded.</w:t>
      </w:r>
    </w:p>
    <w:p>
      <w:pPr>
        <w:spacing w:after="0" w:line="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determined the fair value of contingent consideration during the twelve-month period ended December 31, 2024 and 2023 to reflect the change in fair value during the period.</w:t>
      </w:r>
    </w:p>
    <w:p>
      <w:pPr>
        <w:spacing w:after="0" w:line="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 reconciliation of the opening balances to the closing balances of these Level 3 measurements for the years ended December 31, 2024 and 2023 is as follows (in thousands):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Contingent Consideration Liability Related to Acquisition of:</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Location in</w:t>
            </w: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Derma</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Surgical Innovations</w:t>
            </w: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restart"/>
          </w:tcPr>
          <w:p>
            <w:pPr>
              <w:jc w:val="right"/>
              <w:ind w:right="200"/>
              <w:spacing w:after="0" w:line="159" w:lineRule="exact"/>
              <w:rPr>
                <w:sz w:val="20"/>
                <w:szCs w:val="20"/>
                <w:color w:val="auto"/>
              </w:rPr>
            </w:pPr>
            <w:r>
              <w:rPr>
                <w:rFonts w:ascii="Times New Roman" w:cs="Times New Roman" w:eastAsia="Times New Roman" w:hAnsi="Times New Roman"/>
                <w:sz w:val="16"/>
                <w:szCs w:val="16"/>
                <w:b w:val="1"/>
                <w:bCs w:val="1"/>
                <w:color w:val="auto"/>
              </w:rPr>
              <w:t>Arkis</w:t>
            </w:r>
          </w:p>
        </w:tc>
        <w:tc>
          <w:tcPr>
            <w:tcW w:w="80" w:type="dxa"/>
            <w:vAlign w:val="bottom"/>
          </w:tcPr>
          <w:p>
            <w:pPr>
              <w:spacing w:after="0"/>
              <w:rPr>
                <w:sz w:val="6"/>
                <w:szCs w:val="6"/>
                <w:color w:val="auto"/>
              </w:rPr>
            </w:pPr>
          </w:p>
        </w:tc>
        <w:tc>
          <w:tcPr>
            <w:tcW w:w="1440" w:type="dxa"/>
            <w:vAlign w:val="bottom"/>
            <w:gridSpan w:val="3"/>
            <w:vMerge w:val="restart"/>
          </w:tcPr>
          <w:p>
            <w:pPr>
              <w:jc w:val="center"/>
              <w:ind w:right="160"/>
              <w:spacing w:after="0" w:line="159" w:lineRule="exact"/>
              <w:rPr>
                <w:sz w:val="20"/>
                <w:szCs w:val="20"/>
                <w:color w:val="auto"/>
              </w:rPr>
            </w:pPr>
            <w:r>
              <w:rPr>
                <w:rFonts w:ascii="Times New Roman" w:cs="Times New Roman" w:eastAsia="Times New Roman" w:hAnsi="Times New Roman"/>
                <w:sz w:val="16"/>
                <w:szCs w:val="16"/>
                <w:b w:val="1"/>
                <w:bCs w:val="1"/>
                <w:color w:val="auto"/>
                <w:w w:val="99"/>
              </w:rPr>
              <w:t>Financial</w:t>
            </w:r>
          </w:p>
        </w:tc>
        <w:tc>
          <w:tcPr>
            <w:tcW w:w="8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restart"/>
          </w:tcPr>
          <w:p>
            <w:pPr>
              <w:ind w:left="100"/>
              <w:spacing w:after="0" w:line="159" w:lineRule="exact"/>
              <w:rPr>
                <w:sz w:val="20"/>
                <w:szCs w:val="20"/>
                <w:color w:val="auto"/>
              </w:rPr>
            </w:pPr>
            <w:r>
              <w:rPr>
                <w:rFonts w:ascii="Times New Roman" w:cs="Times New Roman" w:eastAsia="Times New Roman" w:hAnsi="Times New Roman"/>
                <w:sz w:val="16"/>
                <w:szCs w:val="16"/>
                <w:b w:val="1"/>
                <w:bCs w:val="1"/>
                <w:color w:val="auto"/>
              </w:rPr>
              <w:t>ACell</w:t>
            </w:r>
          </w:p>
        </w:tc>
        <w:tc>
          <w:tcPr>
            <w:tcW w:w="15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6"/>
                <w:szCs w:val="16"/>
                <w:b w:val="1"/>
                <w:bCs w:val="1"/>
                <w:color w:val="auto"/>
              </w:rPr>
              <w:t>Location in Financial Statements</w:t>
            </w:r>
          </w:p>
        </w:tc>
        <w:tc>
          <w:tcPr>
            <w:tcW w:w="0" w:type="dxa"/>
            <w:vAlign w:val="bottom"/>
          </w:tcPr>
          <w:p>
            <w:pPr>
              <w:spacing w:after="0"/>
              <w:rPr>
                <w:sz w:val="1"/>
                <w:szCs w:val="1"/>
                <w:color w:val="auto"/>
              </w:rPr>
            </w:pPr>
          </w:p>
        </w:tc>
      </w:tr>
      <w:tr>
        <w:trPr>
          <w:trHeight w:val="80"/>
        </w:trPr>
        <w:tc>
          <w:tcPr>
            <w:tcW w:w="2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Sciences</w:t>
            </w: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Associates, Inc.</w:t>
            </w:r>
          </w:p>
        </w:tc>
        <w:tc>
          <w:tcPr>
            <w:tcW w:w="8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Statements</w:t>
            </w:r>
          </w:p>
        </w:tc>
        <w:tc>
          <w:tcPr>
            <w:tcW w:w="8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68,700</w:t>
            </w:r>
          </w:p>
        </w:tc>
        <w:tc>
          <w:tcPr>
            <w:tcW w:w="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(12,400)</w:t>
            </w: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7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Change in fair value of contingent</w:t>
            </w:r>
          </w:p>
        </w:tc>
        <w:tc>
          <w:tcPr>
            <w:tcW w:w="1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8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Research and</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20" w:type="dxa"/>
            <w:vAlign w:val="bottom"/>
            <w:gridSpan w:val="3"/>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(2,300)  Selling, general and administrative</w:t>
            </w:r>
          </w:p>
        </w:tc>
        <w:tc>
          <w:tcPr>
            <w:tcW w:w="0" w:type="dxa"/>
            <w:vAlign w:val="bottom"/>
          </w:tcPr>
          <w:p>
            <w:pPr>
              <w:spacing w:after="0"/>
              <w:rPr>
                <w:sz w:val="1"/>
                <w:szCs w:val="1"/>
                <w:color w:val="auto"/>
              </w:rPr>
            </w:pPr>
          </w:p>
        </w:tc>
      </w:tr>
      <w:tr>
        <w:trPr>
          <w:trHeight w:val="212"/>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consideration liabilities</w:t>
            </w: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2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12,968</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54,000</w:t>
            </w: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8,560</w:t>
            </w:r>
          </w:p>
        </w:tc>
        <w:tc>
          <w:tcPr>
            <w:tcW w:w="1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vMerge w:val="restart"/>
          </w:tcPr>
          <w:p>
            <w:pPr>
              <w:ind w:left="820"/>
              <w:spacing w:after="0"/>
              <w:rPr>
                <w:sz w:val="20"/>
                <w:szCs w:val="20"/>
                <w:color w:val="auto"/>
              </w:rPr>
            </w:pPr>
            <w:r>
              <w:rPr>
                <w:rFonts w:ascii="Times New Roman" w:cs="Times New Roman" w:eastAsia="Times New Roman" w:hAnsi="Times New Roman"/>
                <w:sz w:val="16"/>
                <w:szCs w:val="16"/>
                <w:color w:val="auto"/>
              </w:rPr>
              <w:t>17,900</w:t>
            </w:r>
          </w:p>
        </w:tc>
        <w:tc>
          <w:tcPr>
            <w:tcW w:w="80" w:type="dxa"/>
            <w:vAlign w:val="bottom"/>
          </w:tcPr>
          <w:p>
            <w:pPr>
              <w:spacing w:after="0"/>
              <w:rPr>
                <w:sz w:val="13"/>
                <w:szCs w:val="13"/>
                <w:color w:val="auto"/>
              </w:rPr>
            </w:pPr>
          </w:p>
        </w:tc>
        <w:tc>
          <w:tcPr>
            <w:tcW w:w="240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Accrued expenses and other current</w:t>
            </w:r>
          </w:p>
        </w:tc>
        <w:tc>
          <w:tcPr>
            <w:tcW w:w="0" w:type="dxa"/>
            <w:vAlign w:val="bottom"/>
          </w:tcPr>
          <w:p>
            <w:pPr>
              <w:spacing w:after="0"/>
              <w:rPr>
                <w:sz w:val="1"/>
                <w:szCs w:val="1"/>
                <w:color w:val="auto"/>
              </w:rPr>
            </w:pPr>
          </w:p>
        </w:tc>
      </w:tr>
      <w:tr>
        <w:trPr>
          <w:trHeight w:val="210"/>
        </w:trPr>
        <w:tc>
          <w:tcPr>
            <w:tcW w:w="27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520" w:type="dxa"/>
            <w:vAlign w:val="bottom"/>
            <w:gridSpan w:val="4"/>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36,100</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liabilities</w:t>
            </w:r>
          </w:p>
        </w:tc>
        <w:tc>
          <w:tcPr>
            <w:tcW w:w="0" w:type="dxa"/>
            <w:vAlign w:val="bottom"/>
          </w:tcPr>
          <w:p>
            <w:pPr>
              <w:spacing w:after="0"/>
              <w:rPr>
                <w:sz w:val="1"/>
                <w:szCs w:val="1"/>
                <w:color w:val="auto"/>
              </w:rPr>
            </w:pPr>
          </w:p>
        </w:tc>
      </w:tr>
      <w:tr>
        <w:trPr>
          <w:trHeight w:val="206"/>
        </w:trPr>
        <w:tc>
          <w:tcPr>
            <w:tcW w:w="2700" w:type="dxa"/>
            <w:vAlign w:val="bottom"/>
            <w:gridSpan w:val="2"/>
          </w:tcPr>
          <w:p>
            <w:pPr>
              <w:ind w:left="22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12,968</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54,000</w:t>
            </w: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Contingent Consideration Liability Related to Acquisition of:</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Location in</w:t>
            </w: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Derma</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Surgical Innovations</w:t>
            </w: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restart"/>
          </w:tcPr>
          <w:p>
            <w:pPr>
              <w:jc w:val="right"/>
              <w:ind w:right="220"/>
              <w:spacing w:after="0" w:line="159" w:lineRule="exact"/>
              <w:rPr>
                <w:sz w:val="20"/>
                <w:szCs w:val="20"/>
                <w:color w:val="auto"/>
              </w:rPr>
            </w:pPr>
            <w:r>
              <w:rPr>
                <w:rFonts w:ascii="Times New Roman" w:cs="Times New Roman" w:eastAsia="Times New Roman" w:hAnsi="Times New Roman"/>
                <w:sz w:val="16"/>
                <w:szCs w:val="16"/>
                <w:b w:val="1"/>
                <w:bCs w:val="1"/>
                <w:color w:val="auto"/>
              </w:rPr>
              <w:t>Arkis</w:t>
            </w:r>
          </w:p>
        </w:tc>
        <w:tc>
          <w:tcPr>
            <w:tcW w:w="100" w:type="dxa"/>
            <w:vAlign w:val="bottom"/>
          </w:tcPr>
          <w:p>
            <w:pPr>
              <w:spacing w:after="0"/>
              <w:rPr>
                <w:sz w:val="6"/>
                <w:szCs w:val="6"/>
                <w:color w:val="auto"/>
              </w:rPr>
            </w:pPr>
          </w:p>
        </w:tc>
        <w:tc>
          <w:tcPr>
            <w:tcW w:w="1420" w:type="dxa"/>
            <w:vAlign w:val="bottom"/>
            <w:gridSpan w:val="3"/>
            <w:vMerge w:val="restart"/>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Financial</w:t>
            </w: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ACell Inc.</w:t>
            </w:r>
          </w:p>
        </w:tc>
        <w:tc>
          <w:tcPr>
            <w:tcW w:w="15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380" w:type="dxa"/>
            <w:vAlign w:val="bottom"/>
            <w:vMerge w:val="restart"/>
          </w:tcPr>
          <w:p>
            <w:pPr>
              <w:ind w:left="60"/>
              <w:spacing w:after="0" w:line="159" w:lineRule="exact"/>
              <w:rPr>
                <w:sz w:val="20"/>
                <w:szCs w:val="20"/>
                <w:color w:val="auto"/>
              </w:rPr>
            </w:pPr>
            <w:r>
              <w:rPr>
                <w:rFonts w:ascii="Times New Roman" w:cs="Times New Roman" w:eastAsia="Times New Roman" w:hAnsi="Times New Roman"/>
                <w:sz w:val="16"/>
                <w:szCs w:val="16"/>
                <w:b w:val="1"/>
                <w:bCs w:val="1"/>
                <w:color w:val="auto"/>
              </w:rPr>
              <w:t>Location in Financial Statements</w:t>
            </w:r>
          </w:p>
        </w:tc>
        <w:tc>
          <w:tcPr>
            <w:tcW w:w="0" w:type="dxa"/>
            <w:vAlign w:val="bottom"/>
          </w:tcPr>
          <w:p>
            <w:pPr>
              <w:spacing w:after="0"/>
              <w:rPr>
                <w:sz w:val="1"/>
                <w:szCs w:val="1"/>
                <w:color w:val="auto"/>
              </w:rPr>
            </w:pPr>
          </w:p>
        </w:tc>
      </w:tr>
      <w:tr>
        <w:trPr>
          <w:trHeight w:val="80"/>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Sciences</w:t>
            </w: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Associates, Inc.</w:t>
            </w:r>
          </w:p>
        </w:tc>
        <w:tc>
          <w:tcPr>
            <w:tcW w:w="100" w:type="dxa"/>
            <w:vAlign w:val="bottom"/>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Statements</w:t>
            </w: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57,607</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Change in fair value of contingent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10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Research and</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11,093</w:t>
            </w:r>
          </w:p>
        </w:tc>
        <w:tc>
          <w:tcPr>
            <w:tcW w:w="100" w:type="dxa"/>
            <w:vAlign w:val="bottom"/>
            <w:shd w:val="clear" w:color="auto" w:fill="CCEEFF"/>
          </w:tcPr>
          <w:p>
            <w:pPr>
              <w:spacing w:after="0"/>
              <w:rPr>
                <w:sz w:val="14"/>
                <w:szCs w:val="14"/>
                <w:color w:val="auto"/>
              </w:rPr>
            </w:pPr>
          </w:p>
        </w:tc>
        <w:tc>
          <w:tcPr>
            <w:tcW w:w="2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0" w:type="dxa"/>
            <w:vAlign w:val="bottom"/>
          </w:tcPr>
          <w:p>
            <w:pPr>
              <w:spacing w:after="0"/>
              <w:rPr>
                <w:sz w:val="1"/>
                <w:szCs w:val="1"/>
                <w:color w:val="auto"/>
              </w:rPr>
            </w:pPr>
          </w:p>
        </w:tc>
      </w:tr>
      <w:tr>
        <w:trPr>
          <w:trHeight w:val="21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consideration liabilities</w:t>
            </w: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development</w:t>
            </w: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68,700</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Short-Term</w:t>
            </w: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1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13,400</w:t>
            </w:r>
          </w:p>
        </w:tc>
        <w:tc>
          <w:tcPr>
            <w:tcW w:w="100" w:type="dxa"/>
            <w:vAlign w:val="bottom"/>
          </w:tcPr>
          <w:p>
            <w:pPr>
              <w:spacing w:after="0"/>
              <w:rPr>
                <w:sz w:val="13"/>
                <w:szCs w:val="13"/>
                <w:color w:val="auto"/>
              </w:rPr>
            </w:pPr>
          </w:p>
        </w:tc>
        <w:tc>
          <w:tcPr>
            <w:tcW w:w="238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Accrued expenses and other current</w:t>
            </w:r>
          </w:p>
        </w:tc>
        <w:tc>
          <w:tcPr>
            <w:tcW w:w="0" w:type="dxa"/>
            <w:vAlign w:val="bottom"/>
          </w:tcPr>
          <w:p>
            <w:pPr>
              <w:spacing w:after="0"/>
              <w:rPr>
                <w:sz w:val="1"/>
                <w:szCs w:val="1"/>
                <w:color w:val="auto"/>
              </w:rPr>
            </w:pPr>
          </w:p>
        </w:tc>
      </w:tr>
      <w:tr>
        <w:trPr>
          <w:trHeight w:val="210"/>
        </w:trPr>
        <w:tc>
          <w:tcPr>
            <w:tcW w:w="282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520" w:type="dxa"/>
            <w:vAlign w:val="bottom"/>
            <w:gridSpan w:val="4"/>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215"/>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55,300</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0" w:type="dxa"/>
            <w:vAlign w:val="bottom"/>
          </w:tcPr>
          <w:p>
            <w:pPr>
              <w:spacing w:after="0"/>
              <w:rPr>
                <w:sz w:val="1"/>
                <w:szCs w:val="1"/>
                <w:color w:val="auto"/>
              </w:rPr>
            </w:pPr>
          </w:p>
        </w:tc>
      </w:tr>
      <w:tr>
        <w:trPr>
          <w:trHeight w:val="206"/>
        </w:trPr>
        <w:tc>
          <w:tcPr>
            <w:tcW w:w="2820" w:type="dxa"/>
            <w:vAlign w:val="bottom"/>
            <w:gridSpan w:val="2"/>
          </w:tcPr>
          <w:p>
            <w:pPr>
              <w:ind w:left="238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68,700</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Arkis BioSciences Inc.</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Derma Sciences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ACell, Inc.</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acquisition of ACell, the Company is required to make payments to the former shareholders of ACell up to $100 million in total for years 2022, 2023, and 2025 based on the achievement by the Company of certain revenue-based performance milestones. The 2022 and 2023 milestones were not achieved, leaving only one contingent milestone remaining.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Surgical Innovations Associates, Inc.</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part of the acquisition of SIA, the Company is required to pay to the former shareholders of SIA up to $90.0 million for two separate payments, which are dependent on (1) achieving certain revenue-based performance milestones in 2023, 2024, and 2025 (up to $50.0 million in additional payments), as well as (2) the approval by the FDA of the PMA application for DuraSorb for certain uses by certain timing targets (up to $40.0 million in additional payments). In the second quarter of 2024, the Company paid out $12.4 million related to the 2023 performance year. The Company used iterations of the Monte Carlo simulation to calculate the fair value of the contingent consideration for the revenue-based milestone that considered the possible outcomes of scenarios related to each specific milestone for the revenue based performance milestone. The Company used probabilities of achieving the conditions to calculate the fair value of the contingent consideration for the PMA approval milestone. The Company estimated the fair value of the contingent consideration for the revenue based milestone to be $32.6 million at the acquisition date and $25.0 million for the PMA approval milestone at the acquisition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In October 2024, the Company entered into a definitive agreement to acquire its manufacturing facility located in Plainsboro, New Jersey currently leased by the Company for $10.4 million in cash at closing. The transaction closed in the first quarter of 2025. See </w:t>
      </w:r>
      <w:r>
        <w:rPr>
          <w:rFonts w:ascii="Times New Roman" w:cs="Times New Roman" w:eastAsia="Times New Roman" w:hAnsi="Times New Roman"/>
          <w:sz w:val="18"/>
          <w:szCs w:val="18"/>
          <w:i w:val="1"/>
          <w:iCs w:val="1"/>
          <w:color w:val="auto"/>
        </w:rPr>
        <w:t>Note 18. Subsequent Events</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GEOGRAPHIC INFORMATION</w:t>
      </w:r>
    </w:p>
    <w:p>
      <w:pPr>
        <w:spacing w:after="0" w:line="11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The Company is organized primarily on the basis of products and operates two global reportable segments. Resources are allocated and performance is assessed by the Company’s President and Chief Executive Officer, which the Company has determined to be the Chief Operating Decision Maker (“CODM”).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reportable segments and their activities are described below.</w:t>
      </w:r>
    </w:p>
    <w:p>
      <w:pPr>
        <w:spacing w:after="0" w:line="112" w:lineRule="exact"/>
        <w:rPr>
          <w:sz w:val="20"/>
          <w:szCs w:val="20"/>
          <w:color w:val="auto"/>
        </w:rPr>
      </w:pPr>
    </w:p>
    <w:p>
      <w:pPr>
        <w:jc w:val="both"/>
        <w:ind w:left="640" w:hanging="315"/>
        <w:spacing w:after="0" w:line="253"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Codman Specialty Surgical segment operations consist of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 and (iii) the ENT business, which includes instrumentation, balloon technologies for sinus dilation and eustachian tube dilation, as well as surgical navigation systems.</w:t>
      </w:r>
    </w:p>
    <w:p>
      <w:pPr>
        <w:spacing w:after="0" w:line="77"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Tissue Technologies segment operations consist of such offerings as skin and wound repair, plastics and surgical reconstruction products, bone grafts, and nerve and tendon repair products. The Tissue Technologies segment includes the Company’s private label business.</w:t>
      </w:r>
    </w:p>
    <w:p>
      <w:pPr>
        <w:spacing w:after="0" w:line="5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Corporate and Other category includes (i) various executive, finance, human resource, information systems and legal functions, (ii) brand management, and (iii) share-based compensation costs, which are not allocated to the reportable segments.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accounting policies of both segments are the same as those described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both segments, the CODM uses segment revenue and segment operating income to assess the performance for each segment and in the annual budgeting and forecasting process. The CODM considers budget-to-actual variances on a quarterly basis for segment revenue and segment operating income when making decisions about allocating capital and personnel to the segments.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segments.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information</w:t>
            </w:r>
          </w:p>
        </w:tc>
        <w:tc>
          <w:tcPr>
            <w:tcW w:w="548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rPr>
              <w:t>about  reported  segments  for  the  years  ended  December  31,  2024,</w:t>
            </w:r>
          </w:p>
        </w:tc>
        <w:tc>
          <w:tcPr>
            <w:tcW w:w="2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2023,  and  2022  are  as  follows:</w:t>
            </w:r>
          </w:p>
        </w:tc>
        <w:tc>
          <w:tcPr>
            <w:tcW w:w="0" w:type="dxa"/>
            <w:vAlign w:val="bottom"/>
          </w:tcPr>
          <w:p>
            <w:pPr>
              <w:spacing w:after="0"/>
              <w:rPr>
                <w:sz w:val="1"/>
                <w:szCs w:val="1"/>
                <w:color w:val="auto"/>
              </w:rPr>
            </w:pPr>
          </w:p>
        </w:tc>
      </w:tr>
      <w:tr>
        <w:trPr>
          <w:trHeight w:val="185"/>
        </w:trPr>
        <w:tc>
          <w:tcPr>
            <w:tcW w:w="3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Codman Specialty</w:t>
            </w: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Tissue Technologies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300" w:type="dxa"/>
            <w:vAlign w:val="bottom"/>
          </w:tcPr>
          <w:p>
            <w:pPr>
              <w:spacing w:after="0"/>
              <w:rPr>
                <w:sz w:val="16"/>
                <w:szCs w:val="16"/>
                <w:color w:val="auto"/>
              </w:rPr>
            </w:pPr>
          </w:p>
        </w:tc>
        <w:tc>
          <w:tcPr>
            <w:tcW w:w="1080" w:type="dxa"/>
            <w:vAlign w:val="bottom"/>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8"/>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Surgical</w:t>
            </w:r>
          </w:p>
        </w:tc>
        <w:tc>
          <w:tcPr>
            <w:tcW w:w="16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3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060" w:type="dxa"/>
            <w:vAlign w:val="bottom"/>
            <w:tcBorders>
              <w:bottom w:val="single" w:sz="8" w:color="CCEEFF"/>
            </w:tcBorders>
            <w:vMerge w:val="continue"/>
          </w:tcPr>
          <w:p>
            <w:pPr>
              <w:spacing w:after="0"/>
              <w:rPr>
                <w:sz w:val="7"/>
                <w:szCs w:val="7"/>
                <w:color w:val="auto"/>
              </w:rPr>
            </w:pPr>
          </w:p>
        </w:tc>
        <w:tc>
          <w:tcPr>
            <w:tcW w:w="194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gridSpan w:val="2"/>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gridSpan w:val="2"/>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2024 Total revenue, net</w:t>
            </w:r>
          </w:p>
        </w:tc>
        <w:tc>
          <w:tcPr>
            <w:tcW w:w="19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1,610,527</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0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384,422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728,466</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115,377</w:t>
            </w: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716,983</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21,290</w:t>
            </w:r>
          </w:p>
        </w:tc>
        <w:tc>
          <w:tcPr>
            <w:tcW w:w="0" w:type="dxa"/>
            <w:vAlign w:val="bottom"/>
          </w:tcPr>
          <w:p>
            <w:pPr>
              <w:spacing w:after="0"/>
              <w:rPr>
                <w:sz w:val="1"/>
                <w:szCs w:val="1"/>
                <w:color w:val="auto"/>
              </w:rPr>
            </w:pPr>
          </w:p>
        </w:tc>
      </w:tr>
      <w:tr>
        <w:trPr>
          <w:trHeight w:val="231"/>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 Total cost and expenses</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614,832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1,582,116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06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 Operating income (loss)</w:t>
            </w:r>
          </w:p>
        </w:tc>
        <w:tc>
          <w:tcPr>
            <w:tcW w:w="1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504,074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(614,832)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20,040</w:t>
            </w:r>
          </w:p>
        </w:tc>
        <w:tc>
          <w:tcPr>
            <w:tcW w:w="0" w:type="dxa"/>
            <w:vAlign w:val="bottom"/>
          </w:tcPr>
          <w:p>
            <w:pPr>
              <w:spacing w:after="0" w:line="20" w:lineRule="exact"/>
              <w:rPr>
                <w:sz w:val="1"/>
                <w:szCs w:val="1"/>
                <w:color w:val="auto"/>
              </w:rPr>
            </w:pPr>
          </w:p>
        </w:tc>
      </w:tr>
      <w:tr>
        <w:trPr>
          <w:trHeight w:val="157"/>
        </w:trPr>
        <w:tc>
          <w:tcPr>
            <w:tcW w:w="3060" w:type="dxa"/>
            <w:vAlign w:val="bottom"/>
            <w:vMerge w:val="continue"/>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(70,632)</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0" w:type="dxa"/>
            <w:vAlign w:val="bottom"/>
          </w:tcPr>
          <w:p>
            <w:pPr>
              <w:spacing w:after="0"/>
              <w:rPr>
                <w:sz w:val="1"/>
                <w:szCs w:val="1"/>
                <w:color w:val="auto"/>
              </w:rPr>
            </w:pPr>
          </w:p>
        </w:tc>
      </w:tr>
      <w:tr>
        <w:trPr>
          <w:trHeight w:val="233"/>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(18,237)</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Codman Specialty</w:t>
            </w:r>
          </w:p>
        </w:tc>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Tissue Technologies</w:t>
            </w:r>
          </w:p>
        </w:tc>
        <w:tc>
          <w:tcPr>
            <w:tcW w:w="16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Surgical</w:t>
            </w:r>
          </w:p>
        </w:tc>
        <w:tc>
          <w:tcPr>
            <w:tcW w:w="16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 Total revenue, net</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1,058,993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482,580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1,541,573</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30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364,144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656,838</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104,192</w:t>
            </w: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214,335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656,641</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12,376</w:t>
            </w:r>
          </w:p>
        </w:tc>
        <w:tc>
          <w:tcPr>
            <w:tcW w:w="0" w:type="dxa"/>
            <w:vAlign w:val="bottom"/>
          </w:tcPr>
          <w:p>
            <w:pPr>
              <w:spacing w:after="0"/>
              <w:rPr>
                <w:sz w:val="1"/>
                <w:szCs w:val="1"/>
                <w:color w:val="auto"/>
              </w:rPr>
            </w:pPr>
          </w:p>
        </w:tc>
      </w:tr>
      <w:tr>
        <w:trPr>
          <w:trHeight w:val="233"/>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 Total cost and expenses</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1,430,047</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6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 Operating income (loss)</w:t>
            </w:r>
          </w:p>
        </w:tc>
        <w:tc>
          <w:tcPr>
            <w:tcW w:w="1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450,530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134,048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(473,052)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111,526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17,202</w:t>
            </w:r>
          </w:p>
        </w:tc>
        <w:tc>
          <w:tcPr>
            <w:tcW w:w="0" w:type="dxa"/>
            <w:vAlign w:val="bottom"/>
          </w:tcPr>
          <w:p>
            <w:pPr>
              <w:spacing w:after="0" w:line="20" w:lineRule="exact"/>
              <w:rPr>
                <w:sz w:val="1"/>
                <w:szCs w:val="1"/>
                <w:color w:val="auto"/>
              </w:rPr>
            </w:pPr>
          </w:p>
        </w:tc>
      </w:tr>
      <w:tr>
        <w:trPr>
          <w:trHeight w:val="157"/>
        </w:trPr>
        <w:tc>
          <w:tcPr>
            <w:tcW w:w="3060" w:type="dxa"/>
            <w:vAlign w:val="bottom"/>
            <w:vMerge w:val="continue"/>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(51,377)</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0" w:type="dxa"/>
            <w:vAlign w:val="bottom"/>
          </w:tcPr>
          <w:p>
            <w:pPr>
              <w:spacing w:after="0"/>
              <w:rPr>
                <w:sz w:val="1"/>
                <w:szCs w:val="1"/>
                <w:color w:val="auto"/>
              </w:rPr>
            </w:pPr>
          </w:p>
        </w:tc>
      </w:tr>
      <w:tr>
        <w:trPr>
          <w:trHeight w:val="233"/>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81,069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Codman Specialty</w:t>
            </w:r>
          </w:p>
        </w:tc>
        <w:tc>
          <w:tcPr>
            <w:tcW w:w="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Tissue Technologies</w:t>
            </w:r>
          </w:p>
        </w:tc>
        <w:tc>
          <w:tcPr>
            <w:tcW w:w="16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3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Surgical</w:t>
            </w:r>
          </w:p>
        </w:tc>
        <w:tc>
          <w:tcPr>
            <w:tcW w:w="16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 Total revenue, net</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1,019,564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1,557,666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0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587,355</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101,193</w:t>
            </w: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220,047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616,316</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13,882</w:t>
            </w:r>
          </w:p>
        </w:tc>
        <w:tc>
          <w:tcPr>
            <w:tcW w:w="0" w:type="dxa"/>
            <w:vAlign w:val="bottom"/>
          </w:tcPr>
          <w:p>
            <w:pPr>
              <w:spacing w:after="0"/>
              <w:rPr>
                <w:sz w:val="1"/>
                <w:szCs w:val="1"/>
                <w:color w:val="auto"/>
              </w:rPr>
            </w:pPr>
          </w:p>
        </w:tc>
      </w:tr>
      <w:tr>
        <w:trPr>
          <w:trHeight w:val="233"/>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 Total cost and expenses</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601,691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1,318,746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6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 Operating income (loss)</w:t>
            </w:r>
          </w:p>
        </w:tc>
        <w:tc>
          <w:tcPr>
            <w:tcW w:w="1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417,873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233,802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(412,755)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238,920</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11,917</w:t>
            </w:r>
          </w:p>
        </w:tc>
        <w:tc>
          <w:tcPr>
            <w:tcW w:w="0" w:type="dxa"/>
            <w:vAlign w:val="bottom"/>
          </w:tcPr>
          <w:p>
            <w:pPr>
              <w:spacing w:after="0" w:line="20" w:lineRule="exact"/>
              <w:rPr>
                <w:sz w:val="1"/>
                <w:szCs w:val="1"/>
                <w:color w:val="auto"/>
              </w:rPr>
            </w:pPr>
          </w:p>
        </w:tc>
      </w:tr>
      <w:tr>
        <w:trPr>
          <w:trHeight w:val="157"/>
        </w:trPr>
        <w:tc>
          <w:tcPr>
            <w:tcW w:w="3060" w:type="dxa"/>
            <w:vAlign w:val="bottom"/>
            <w:vMerge w:val="continue"/>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(49,594)</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business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12,007</w:t>
            </w:r>
          </w:p>
        </w:tc>
        <w:tc>
          <w:tcPr>
            <w:tcW w:w="0" w:type="dxa"/>
            <w:vAlign w:val="bottom"/>
          </w:tcPr>
          <w:p>
            <w:pPr>
              <w:spacing w:after="0"/>
              <w:rPr>
                <w:sz w:val="1"/>
                <w:szCs w:val="1"/>
                <w:color w:val="auto"/>
              </w:rPr>
            </w:pPr>
          </w:p>
        </w:tc>
      </w:tr>
      <w:tr>
        <w:trPr>
          <w:trHeight w:val="208"/>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213,894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does not allocate any long-lived assets to the reportable segments. Asset information by segment is not reported internally or otherwise regularly reviewed by the Chief Operating Decision Maker.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attributes revenue to geographic areas based on the location of the customer. Total revenue, net and tangible long-lived assets by major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geographic</w:t>
            </w:r>
          </w:p>
        </w:tc>
        <w:tc>
          <w:tcPr>
            <w:tcW w:w="18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area</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are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summarized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3"/>
              </w:rPr>
              <w:t>below:</w:t>
            </w:r>
          </w:p>
        </w:tc>
      </w:tr>
      <w:tr>
        <w:trPr>
          <w:trHeight w:val="216"/>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3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200" w:type="dxa"/>
            <w:vAlign w:val="bottom"/>
          </w:tcPr>
          <w:p>
            <w:pPr>
              <w:spacing w:after="0"/>
              <w:rPr>
                <w:sz w:val="18"/>
                <w:szCs w:val="18"/>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Asia Pacific</w:t>
            </w: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Rest of the World</w:t>
            </w: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5"/>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 net:</w:t>
            </w:r>
          </w:p>
        </w:tc>
        <w:tc>
          <w:tcPr>
            <w:tcW w:w="1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2220" w:type="dxa"/>
            <w:vAlign w:val="bottom"/>
          </w:tcPr>
          <w:p>
            <w:pPr>
              <w:jc w:val="right"/>
              <w:ind w:right="1599"/>
              <w:spacing w:after="0"/>
              <w:rPr>
                <w:sz w:val="20"/>
                <w:szCs w:val="20"/>
                <w:color w:val="auto"/>
              </w:rPr>
            </w:pPr>
            <w:r>
              <w:rPr>
                <w:rFonts w:ascii="Times New Roman" w:cs="Times New Roman" w:eastAsia="Times New Roman" w:hAnsi="Times New Roman"/>
                <w:sz w:val="16"/>
                <w:szCs w:val="16"/>
                <w:color w:val="auto"/>
              </w:rPr>
              <w:t>2024</w:t>
            </w: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1,192,675</w:t>
            </w:r>
          </w:p>
        </w:tc>
        <w:tc>
          <w:tcPr>
            <w:tcW w:w="1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158,496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176,614</w:t>
            </w:r>
          </w:p>
        </w:tc>
        <w:tc>
          <w:tcPr>
            <w:tcW w:w="64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1,610,527</w:t>
            </w:r>
          </w:p>
        </w:tc>
        <w:tc>
          <w:tcPr>
            <w:tcW w:w="60" w:type="dxa"/>
            <w:vAlign w:val="bottom"/>
          </w:tcPr>
          <w:p>
            <w:pPr>
              <w:spacing w:after="0"/>
              <w:rPr>
                <w:sz w:val="18"/>
                <w:szCs w:val="18"/>
                <w:color w:val="auto"/>
              </w:rPr>
            </w:pPr>
          </w:p>
        </w:tc>
      </w:tr>
      <w:tr>
        <w:trPr>
          <w:trHeight w:val="217"/>
        </w:trPr>
        <w:tc>
          <w:tcPr>
            <w:tcW w:w="2220" w:type="dxa"/>
            <w:vAlign w:val="bottom"/>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rPr>
              <w:t>2023</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1,100,730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193,096</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1,541,573</w:t>
            </w:r>
          </w:p>
        </w:tc>
        <w:tc>
          <w:tcPr>
            <w:tcW w:w="60" w:type="dxa"/>
            <w:vAlign w:val="bottom"/>
          </w:tcPr>
          <w:p>
            <w:pPr>
              <w:spacing w:after="0"/>
              <w:rPr>
                <w:sz w:val="18"/>
                <w:szCs w:val="18"/>
                <w:color w:val="auto"/>
              </w:rPr>
            </w:pPr>
          </w:p>
        </w:tc>
      </w:tr>
      <w:tr>
        <w:trPr>
          <w:trHeight w:val="210"/>
        </w:trPr>
        <w:tc>
          <w:tcPr>
            <w:tcW w:w="2220" w:type="dxa"/>
            <w:vAlign w:val="bottom"/>
          </w:tcPr>
          <w:p>
            <w:pPr>
              <w:jc w:val="right"/>
              <w:ind w:right="1599"/>
              <w:spacing w:after="0"/>
              <w:rPr>
                <w:sz w:val="20"/>
                <w:szCs w:val="20"/>
                <w:color w:val="auto"/>
              </w:rPr>
            </w:pPr>
            <w:r>
              <w:rPr>
                <w:rFonts w:ascii="Times New Roman" w:cs="Times New Roman" w:eastAsia="Times New Roman" w:hAnsi="Times New Roman"/>
                <w:sz w:val="16"/>
                <w:szCs w:val="16"/>
                <w:color w:val="auto"/>
              </w:rPr>
              <w:t>2022</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1,126,810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176,477</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1,557,666</w:t>
            </w:r>
          </w:p>
        </w:tc>
        <w:tc>
          <w:tcPr>
            <w:tcW w:w="60" w:type="dxa"/>
            <w:vAlign w:val="bottom"/>
          </w:tcPr>
          <w:p>
            <w:pPr>
              <w:spacing w:after="0"/>
              <w:rPr>
                <w:sz w:val="18"/>
                <w:szCs w:val="18"/>
                <w:color w:val="auto"/>
              </w:rPr>
            </w:pPr>
          </w:p>
        </w:tc>
      </w:tr>
      <w:tr>
        <w:trPr>
          <w:trHeight w:val="21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long-lived assets: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220" w:type="dxa"/>
            <w:vAlign w:val="bottom"/>
          </w:tcPr>
          <w:p>
            <w:pPr>
              <w:jc w:val="right"/>
              <w:ind w:right="1599"/>
              <w:spacing w:after="0"/>
              <w:rPr>
                <w:sz w:val="20"/>
                <w:szCs w:val="20"/>
                <w:color w:val="auto"/>
              </w:rPr>
            </w:pPr>
            <w:r>
              <w:rPr>
                <w:rFonts w:ascii="Times New Roman" w:cs="Times New Roman" w:eastAsia="Times New Roman" w:hAnsi="Times New Roman"/>
                <w:sz w:val="16"/>
                <w:szCs w:val="16"/>
                <w:color w:val="auto"/>
              </w:rPr>
              <w:t>2024</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28,264</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616,280</w:t>
            </w:r>
          </w:p>
        </w:tc>
        <w:tc>
          <w:tcPr>
            <w:tcW w:w="60" w:type="dxa"/>
            <w:vAlign w:val="bottom"/>
          </w:tcPr>
          <w:p>
            <w:pPr>
              <w:spacing w:after="0"/>
              <w:rPr>
                <w:sz w:val="18"/>
                <w:szCs w:val="18"/>
                <w:color w:val="auto"/>
              </w:rPr>
            </w:pPr>
          </w:p>
        </w:tc>
      </w:tr>
      <w:tr>
        <w:trPr>
          <w:trHeight w:val="217"/>
        </w:trPr>
        <w:tc>
          <w:tcPr>
            <w:tcW w:w="2220" w:type="dxa"/>
            <w:vAlign w:val="bottom"/>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rPr>
              <w:t>2023</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19,842</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554,577</w:t>
            </w:r>
          </w:p>
        </w:tc>
        <w:tc>
          <w:tcPr>
            <w:tcW w:w="60" w:type="dxa"/>
            <w:vAlign w:val="bottom"/>
          </w:tcPr>
          <w:p>
            <w:pPr>
              <w:spacing w:after="0"/>
              <w:rPr>
                <w:sz w:val="18"/>
                <w:szCs w:val="18"/>
                <w:color w:val="auto"/>
              </w:rPr>
            </w:pPr>
          </w:p>
        </w:tc>
      </w:tr>
      <w:tr>
        <w:trPr>
          <w:trHeight w:val="208"/>
        </w:trPr>
        <w:tc>
          <w:tcPr>
            <w:tcW w:w="2220" w:type="dxa"/>
            <w:vAlign w:val="bottom"/>
          </w:tcPr>
          <w:p>
            <w:pPr>
              <w:jc w:val="right"/>
              <w:ind w:right="1599"/>
              <w:spacing w:after="0"/>
              <w:rPr>
                <w:sz w:val="20"/>
                <w:szCs w:val="20"/>
                <w:color w:val="auto"/>
              </w:rPr>
            </w:pPr>
            <w:r>
              <w:rPr>
                <w:rFonts w:ascii="Times New Roman" w:cs="Times New Roman" w:eastAsia="Times New Roman" w:hAnsi="Times New Roman"/>
                <w:sz w:val="16"/>
                <w:szCs w:val="16"/>
                <w:color w:val="auto"/>
              </w:rPr>
              <w:t>2022</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12,975</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516,776</w:t>
            </w:r>
          </w:p>
        </w:tc>
        <w:tc>
          <w:tcPr>
            <w:tcW w:w="60" w:type="dxa"/>
            <w:vAlign w:val="bottom"/>
          </w:tcPr>
          <w:p>
            <w:pPr>
              <w:spacing w:after="0"/>
              <w:rPr>
                <w:sz w:val="18"/>
                <w:szCs w:val="18"/>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ASC 820 defines fair value as the price that would be received to sell an asset or paid to transfer a liability in an orderly transaction between market participants at the measurement date. When determining fair value, the Company considers the principal or most advantageous market in which it would transact and considers assumptions that market participants would use when pricing the asset or liability.</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Valuation techniques used to measure fair value should maximize the use of observable inputs and minimize the use of unobservable inputs. ASC 820 establishes a three-level hierarchy of the inputs (i.e., assumptions that market participants would use in pricing an asset or liability) used to measure fair value, giving the highest priority to quoted prices in active markets and the lowest priority to unobservable inputs in measuring fair value. The categorization within the valuation hierarchy is based on the lowest level of input that is significant to the entire fair value measurement. The three levels of the valuation hierarchy are defined as follows: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Level 1</w:t>
      </w:r>
      <w:r>
        <w:rPr>
          <w:rFonts w:ascii="Times New Roman" w:cs="Times New Roman" w:eastAsia="Times New Roman" w:hAnsi="Times New Roman"/>
          <w:sz w:val="18"/>
          <w:szCs w:val="18"/>
          <w:color w:val="auto"/>
        </w:rPr>
        <w:t>: Inputs to the valuation methodology are quoted prices in active markets for identical assets or liabilities.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u w:val="single" w:color="auto"/>
          <w:color w:val="auto"/>
        </w:rPr>
        <w:t>Level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Inputs to the valuation methodology are other observable inputs, including quoted market prices for similar assets or liabilities in active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u w:val="single" w:color="auto"/>
          <w:color w:val="auto"/>
        </w:rPr>
        <w:t>Level 3</w:t>
      </w:r>
      <w:r>
        <w:rPr>
          <w:rFonts w:ascii="Times New Roman" w:cs="Times New Roman" w:eastAsia="Times New Roman" w:hAnsi="Times New Roman"/>
          <w:sz w:val="18"/>
          <w:szCs w:val="18"/>
          <w:color w:val="auto"/>
        </w:rPr>
        <w:t>: Inputs to the valuation methodology are unobservable inputs that are supported by little or no market activity and are based on management’s best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 of inputs market participants would use in pricing the asset or liability at the measurement date, including assumptions about risk.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investments in time deposits that are classified within Level 1 of the fair value hierarchy because they are valued using quoted market prices, as well as certain debt obligations that are classified within Level 1 of the fair value hierarchy because they are valued using quoted market prices. The investments in time deposits are classified as cash and cash equivalents and short-term investments on the consolidated balance sheets which is determined based on maturities at the time of purchase and re-evaluated at each balance sheet date.</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also has investments in derivative instruments, which are comprised of interest rate swaps, cross currency swaps, net investment hedges, and forward foreign currency contracts that are classified within Level 2 of the fair value hierarchy because they are valued using analyses obtained from independent third-party valuation specialists based on market observable inputs. The fair values of these derivative contracts represent the estimated amounts the Company would receive or pay to terminate the contracts. Refer to </w:t>
      </w:r>
      <w:r>
        <w:rPr>
          <w:rFonts w:ascii="Times New Roman" w:cs="Times New Roman" w:eastAsia="Times New Roman" w:hAnsi="Times New Roman"/>
          <w:sz w:val="18"/>
          <w:szCs w:val="18"/>
          <w:i w:val="1"/>
          <w:iCs w:val="1"/>
          <w:color w:val="auto"/>
        </w:rPr>
        <w:t>Note 6. Derivative Instruments</w:t>
      </w:r>
      <w:r>
        <w:rPr>
          <w:rFonts w:ascii="Times New Roman" w:cs="Times New Roman" w:eastAsia="Times New Roman" w:hAnsi="Times New Roman"/>
          <w:sz w:val="18"/>
          <w:szCs w:val="18"/>
          <w:color w:val="auto"/>
        </w:rPr>
        <w:t xml:space="preserve"> for further discussion and information on these derivative contracts.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addition, the Company has contingent consideration liabilities that are classified within Level 3 of the fair value hierarchy because they are measured at fair value using significant unobservable inputs, including management’s forecast of future revenues for the acquired businesses as well as management’s estimates of the likelihood of achieving the other specified criteria. Refer to </w:t>
      </w:r>
      <w:r>
        <w:rPr>
          <w:rFonts w:ascii="Times New Roman" w:cs="Times New Roman" w:eastAsia="Times New Roman" w:hAnsi="Times New Roman"/>
          <w:sz w:val="18"/>
          <w:szCs w:val="18"/>
          <w:i w:val="1"/>
          <w:iCs w:val="1"/>
          <w:color w:val="auto"/>
        </w:rPr>
        <w:t>Note 15. Commitments and Contingencies</w:t>
      </w:r>
      <w:r>
        <w:rPr>
          <w:rFonts w:ascii="Times New Roman" w:cs="Times New Roman" w:eastAsia="Times New Roman" w:hAnsi="Times New Roman"/>
          <w:sz w:val="18"/>
          <w:szCs w:val="18"/>
          <w:color w:val="auto"/>
        </w:rPr>
        <w:t xml:space="preserve"> for additional information on these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and recorded at fair value on a recurring basis as of December 31, 2024, 2023, and 2022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500" w:type="dxa"/>
            <w:vAlign w:val="bottom"/>
          </w:tcPr>
          <w:p>
            <w:pPr>
              <w:spacing w:after="0"/>
              <w:rPr>
                <w:sz w:val="14"/>
                <w:szCs w:val="14"/>
                <w:color w:val="auto"/>
              </w:rPr>
            </w:pPr>
          </w:p>
        </w:tc>
        <w:tc>
          <w:tcPr>
            <w:tcW w:w="2640" w:type="dxa"/>
            <w:vAlign w:val="bottom"/>
          </w:tcPr>
          <w:p>
            <w:pPr>
              <w:ind w:left="1600"/>
              <w:spacing w:after="0" w:line="16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4"/>
                <w:szCs w:val="14"/>
                <w:color w:val="auto"/>
              </w:rPr>
            </w:pPr>
          </w:p>
        </w:tc>
        <w:tc>
          <w:tcPr>
            <w:tcW w:w="78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4"/>
                <w:szCs w:val="14"/>
                <w:color w:val="auto"/>
              </w:rPr>
            </w:pPr>
          </w:p>
        </w:tc>
        <w:tc>
          <w:tcPr>
            <w:tcW w:w="80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28"/>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40" w:type="dxa"/>
            <w:vAlign w:val="bottom"/>
            <w:vMerge w:val="restart"/>
          </w:tcPr>
          <w:p>
            <w:pPr>
              <w:jc w:val="center"/>
              <w:ind w:left="1260"/>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5500" w:type="dxa"/>
            <w:vAlign w:val="bottom"/>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40" w:type="dxa"/>
            <w:vAlign w:val="bottom"/>
          </w:tcPr>
          <w:p>
            <w:pPr>
              <w:jc w:val="center"/>
              <w:ind w:left="1240"/>
              <w:spacing w:after="0"/>
              <w:rPr>
                <w:sz w:val="20"/>
                <w:szCs w:val="20"/>
                <w:color w:val="auto"/>
              </w:rPr>
            </w:pPr>
            <w:r>
              <w:rPr>
                <w:rFonts w:ascii="Times New Roman" w:cs="Times New Roman" w:eastAsia="Times New Roman" w:hAnsi="Times New Roman"/>
                <w:sz w:val="16"/>
                <w:szCs w:val="16"/>
                <w:color w:val="auto"/>
                <w:w w:val="99"/>
              </w:rPr>
              <w:t>Level 1</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246,375</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276,402</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456,661</w:t>
            </w: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640" w:type="dxa"/>
            <w:vAlign w:val="bottom"/>
            <w:shd w:val="clear" w:color="auto" w:fill="CCEEFF"/>
          </w:tcPr>
          <w:p>
            <w:pPr>
              <w:jc w:val="center"/>
              <w:ind w:left="1240"/>
              <w:spacing w:after="0"/>
              <w:rPr>
                <w:sz w:val="20"/>
                <w:szCs w:val="20"/>
                <w:color w:val="auto"/>
              </w:rPr>
            </w:pPr>
            <w:r>
              <w:rPr>
                <w:rFonts w:ascii="Times New Roman" w:cs="Times New Roman" w:eastAsia="Times New Roman" w:hAnsi="Times New Roman"/>
                <w:sz w:val="16"/>
                <w:szCs w:val="16"/>
                <w:color w:val="auto"/>
                <w:w w:val="99"/>
              </w:rPr>
              <w:t>Level 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27,192</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jc w:val="center"/>
              <w:ind w:left="1240"/>
              <w:spacing w:after="0"/>
              <w:rPr>
                <w:sz w:val="20"/>
                <w:szCs w:val="20"/>
                <w:color w:val="auto"/>
              </w:rPr>
            </w:pPr>
            <w:r>
              <w:rPr>
                <w:rFonts w:ascii="Times New Roman" w:cs="Times New Roman" w:eastAsia="Times New Roman" w:hAnsi="Times New Roman"/>
                <w:sz w:val="16"/>
                <w:szCs w:val="16"/>
                <w:color w:val="auto"/>
                <w:w w:val="99"/>
              </w:rPr>
              <w:t>Level 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43,556</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56,712</w:t>
            </w: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plan assets</w:t>
            </w:r>
          </w:p>
        </w:tc>
        <w:tc>
          <w:tcPr>
            <w:tcW w:w="2640" w:type="dxa"/>
            <w:vAlign w:val="bottom"/>
            <w:shd w:val="clear" w:color="auto" w:fill="CCEEFF"/>
          </w:tcPr>
          <w:p>
            <w:pPr>
              <w:jc w:val="center"/>
              <w:ind w:left="1240"/>
              <w:spacing w:after="0"/>
              <w:rPr>
                <w:sz w:val="20"/>
                <w:szCs w:val="20"/>
                <w:color w:val="auto"/>
              </w:rPr>
            </w:pPr>
            <w:r>
              <w:rPr>
                <w:rFonts w:ascii="Times New Roman" w:cs="Times New Roman" w:eastAsia="Times New Roman" w:hAnsi="Times New Roman"/>
                <w:sz w:val="16"/>
                <w:szCs w:val="16"/>
                <w:color w:val="auto"/>
                <w:w w:val="99"/>
              </w:rPr>
              <w:t>Level 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51,818</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38,053</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contracts (not designated as hedges)</w:t>
            </w:r>
          </w:p>
        </w:tc>
        <w:tc>
          <w:tcPr>
            <w:tcW w:w="2640" w:type="dxa"/>
            <w:vAlign w:val="bottom"/>
            <w:tcBorders>
              <w:bottom w:val="single" w:sz="8" w:color="CCEEFF"/>
            </w:tcBorders>
          </w:tcPr>
          <w:p>
            <w:pPr>
              <w:jc w:val="center"/>
              <w:ind w:left="1240"/>
              <w:spacing w:after="0"/>
              <w:rPr>
                <w:sz w:val="20"/>
                <w:szCs w:val="20"/>
                <w:color w:val="auto"/>
              </w:rPr>
            </w:pPr>
            <w:r>
              <w:rPr>
                <w:rFonts w:ascii="Times New Roman" w:cs="Times New Roman" w:eastAsia="Times New Roman" w:hAnsi="Times New Roman"/>
                <w:sz w:val="16"/>
                <w:szCs w:val="16"/>
                <w:color w:val="auto"/>
                <w:w w:val="99"/>
              </w:rPr>
              <w:t>Level 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33"/>
        </w:trPr>
        <w:tc>
          <w:tcPr>
            <w:tcW w:w="55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Assets:</w:t>
            </w:r>
          </w:p>
        </w:tc>
        <w:tc>
          <w:tcPr>
            <w:tcW w:w="2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375,880</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399,576</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552,526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Cross currency rate swaps</w:t>
            </w:r>
          </w:p>
        </w:tc>
        <w:tc>
          <w:tcPr>
            <w:tcW w:w="2640" w:type="dxa"/>
            <w:vAlign w:val="bottom"/>
          </w:tcPr>
          <w:p>
            <w:pPr>
              <w:jc w:val="center"/>
              <w:ind w:left="1240"/>
              <w:spacing w:after="0"/>
              <w:rPr>
                <w:sz w:val="20"/>
                <w:szCs w:val="20"/>
                <w:color w:val="auto"/>
              </w:rPr>
            </w:pPr>
            <w:r>
              <w:rPr>
                <w:rFonts w:ascii="Times New Roman" w:cs="Times New Roman" w:eastAsia="Times New Roman" w:hAnsi="Times New Roman"/>
                <w:sz w:val="16"/>
                <w:szCs w:val="16"/>
                <w:color w:val="auto"/>
                <w:w w:val="99"/>
              </w:rPr>
              <w:t>Level 2</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40,672</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hedges</w:t>
            </w:r>
          </w:p>
        </w:tc>
        <w:tc>
          <w:tcPr>
            <w:tcW w:w="2640" w:type="dxa"/>
            <w:vAlign w:val="bottom"/>
            <w:shd w:val="clear" w:color="auto" w:fill="CCEEFF"/>
          </w:tcPr>
          <w:p>
            <w:pPr>
              <w:jc w:val="center"/>
              <w:ind w:left="1240"/>
              <w:spacing w:after="0"/>
              <w:rPr>
                <w:sz w:val="20"/>
                <w:szCs w:val="20"/>
                <w:color w:val="auto"/>
              </w:rPr>
            </w:pPr>
            <w:r>
              <w:rPr>
                <w:rFonts w:ascii="Times New Roman" w:cs="Times New Roman" w:eastAsia="Times New Roman" w:hAnsi="Times New Roman"/>
                <w:sz w:val="16"/>
                <w:szCs w:val="16"/>
                <w:color w:val="auto"/>
                <w:w w:val="99"/>
              </w:rPr>
              <w:t>Level 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31,113</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5,643</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640" w:type="dxa"/>
            <w:vAlign w:val="bottom"/>
          </w:tcPr>
          <w:p>
            <w:pPr>
              <w:jc w:val="center"/>
              <w:ind w:left="1240"/>
              <w:spacing w:after="0"/>
              <w:rPr>
                <w:sz w:val="20"/>
                <w:szCs w:val="20"/>
                <w:color w:val="auto"/>
              </w:rPr>
            </w:pPr>
            <w:r>
              <w:rPr>
                <w:rFonts w:ascii="Times New Roman" w:cs="Times New Roman" w:eastAsia="Times New Roman" w:hAnsi="Times New Roman"/>
                <w:sz w:val="16"/>
                <w:szCs w:val="16"/>
                <w:color w:val="auto"/>
                <w:w w:val="99"/>
              </w:rPr>
              <w:t>Level 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640" w:type="dxa"/>
            <w:vAlign w:val="bottom"/>
            <w:shd w:val="clear" w:color="auto" w:fill="CCEEFF"/>
          </w:tcPr>
          <w:p>
            <w:pPr>
              <w:jc w:val="center"/>
              <w:ind w:left="1240"/>
              <w:spacing w:after="0"/>
              <w:rPr>
                <w:sz w:val="20"/>
                <w:szCs w:val="20"/>
                <w:color w:val="auto"/>
              </w:rPr>
            </w:pPr>
            <w:r>
              <w:rPr>
                <w:rFonts w:ascii="Times New Roman" w:cs="Times New Roman" w:eastAsia="Times New Roman" w:hAnsi="Times New Roman"/>
                <w:sz w:val="16"/>
                <w:szCs w:val="16"/>
                <w:color w:val="auto"/>
                <w:w w:val="99"/>
              </w:rPr>
              <w:t>Level 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69,657</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74,432</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Pension project benefit obligation</w:t>
            </w:r>
          </w:p>
        </w:tc>
        <w:tc>
          <w:tcPr>
            <w:tcW w:w="2640" w:type="dxa"/>
            <w:vAlign w:val="bottom"/>
            <w:tcBorders>
              <w:bottom w:val="single" w:sz="8" w:color="CCEEFF"/>
            </w:tcBorders>
          </w:tcPr>
          <w:p>
            <w:pPr>
              <w:jc w:val="center"/>
              <w:ind w:left="1240"/>
              <w:spacing w:after="0"/>
              <w:rPr>
                <w:sz w:val="20"/>
                <w:szCs w:val="20"/>
                <w:color w:val="auto"/>
              </w:rPr>
            </w:pPr>
            <w:r>
              <w:rPr>
                <w:rFonts w:ascii="Times New Roman" w:cs="Times New Roman" w:eastAsia="Times New Roman" w:hAnsi="Times New Roman"/>
                <w:sz w:val="16"/>
                <w:szCs w:val="16"/>
                <w:color w:val="auto"/>
                <w:w w:val="99"/>
              </w:rPr>
              <w:t>Level 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67,262</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65,101</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50,364</w:t>
            </w:r>
          </w:p>
        </w:tc>
        <w:tc>
          <w:tcPr>
            <w:tcW w:w="0" w:type="dxa"/>
            <w:vAlign w:val="bottom"/>
          </w:tcPr>
          <w:p>
            <w:pPr>
              <w:spacing w:after="0"/>
              <w:rPr>
                <w:sz w:val="1"/>
                <w:szCs w:val="1"/>
                <w:color w:val="auto"/>
              </w:rPr>
            </w:pPr>
          </w:p>
        </w:tc>
      </w:tr>
      <w:tr>
        <w:trPr>
          <w:trHeight w:val="233"/>
        </w:trPr>
        <w:tc>
          <w:tcPr>
            <w:tcW w:w="55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Liabilities:</w:t>
            </w:r>
          </w:p>
        </w:tc>
        <w:tc>
          <w:tcPr>
            <w:tcW w:w="2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173,313</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242,694</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138,208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5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 rollforward of the fair value of the contingent consideration liabilities, as determined by Level 3 unobservable inputs, during the years ended December 31, 2024, December 31, 2023, and December 31, 2022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5"/>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18"/>
                <w:szCs w:val="18"/>
                <w:color w:val="auto"/>
              </w:rPr>
            </w:pPr>
          </w:p>
        </w:tc>
        <w:tc>
          <w:tcPr>
            <w:tcW w:w="8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87,312</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74,432</w:t>
            </w:r>
          </w:p>
        </w:tc>
        <w:tc>
          <w:tcPr>
            <w:tcW w:w="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37,129</w:t>
            </w: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37,303</w:t>
            </w:r>
          </w:p>
        </w:tc>
      </w:tr>
      <w:tr>
        <w:trPr>
          <w:trHeight w:val="21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69,657</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87,312</w:t>
            </w: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74,432</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1620"/>
        <w:spacing w:after="0" w:line="369" w:lineRule="auto"/>
        <w:rPr>
          <w:sz w:val="20"/>
          <w:szCs w:val="20"/>
          <w:color w:val="auto"/>
        </w:rPr>
      </w:pPr>
      <w:r>
        <w:rPr>
          <w:rFonts w:ascii="Times New Roman" w:cs="Times New Roman" w:eastAsia="Times New Roman" w:hAnsi="Times New Roman"/>
          <w:sz w:val="18"/>
          <w:szCs w:val="18"/>
          <w:color w:val="auto"/>
        </w:rPr>
        <w:t xml:space="preserve">There were no transfers into or out of Level 3 during the years ended December 31, 2024, December 31, 2023, and December 31, 2022. </w:t>
      </w: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remeasures the fair value of certain assets and liabilities, including property, plant and equipment; operating lease - right of use assets; and goodwill and other intangible assets, upon the occurrence of certain events. The amounts recognized were recorded to remeasure the carrying amount of assets to the assets’ fair values, which were generally estimated, based upon a market participant’s perspective, using Level 3 measurements, including values estimated using the income approach.</w:t>
      </w:r>
    </w:p>
    <w:p>
      <w:pPr>
        <w:spacing w:after="0" w:line="7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 xml:space="preserve">Other than the fair value estimates disclosed in </w:t>
      </w:r>
      <w:r>
        <w:rPr>
          <w:rFonts w:ascii="Times New Roman" w:cs="Times New Roman" w:eastAsia="Times New Roman" w:hAnsi="Times New Roman"/>
          <w:sz w:val="17"/>
          <w:szCs w:val="17"/>
          <w:i w:val="1"/>
          <w:iCs w:val="1"/>
          <w:color w:val="auto"/>
        </w:rPr>
        <w:t>Note 4. Acquisitions and Divestitures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Note 7. Goodwill and Other Intangibles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11. Lease and 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Party Leases</w:t>
      </w:r>
      <w:r>
        <w:rPr>
          <w:rFonts w:ascii="Times New Roman" w:cs="Times New Roman" w:eastAsia="Times New Roman" w:hAnsi="Times New Roman"/>
          <w:sz w:val="17"/>
          <w:szCs w:val="17"/>
          <w:color w:val="auto"/>
        </w:rPr>
        <w:t>, there were no non-recurring fair value measurements during the years ended December 31, 2024, December 31, 2023, and December 31, 2022.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January 15, 2025, the Company completed the purchase of its manufacturing facility located in Plainsboro, New Jersey. The Company made a cash payment of $10.4 million upon closing.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119"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IART-2024.12.31-Exhibit 4.4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Company’s Common Stock Registered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12 of the Exchange Act</w:t>
      </w:r>
    </w:p>
    <w:p>
      <w:pPr>
        <w:spacing w:after="0" w:line="200" w:lineRule="exact"/>
        <w:rPr>
          <w:sz w:val="20"/>
          <w:szCs w:val="20"/>
          <w:color w:val="auto"/>
        </w:rPr>
      </w:pPr>
    </w:p>
    <w:p>
      <w:pPr>
        <w:spacing w:after="0" w:line="371" w:lineRule="exact"/>
        <w:rPr>
          <w:sz w:val="20"/>
          <w:szCs w:val="20"/>
          <w:color w:val="auto"/>
        </w:rPr>
      </w:pPr>
    </w:p>
    <w:p>
      <w:pPr>
        <w:jc w:val="both"/>
        <w:ind w:right="180"/>
        <w:spacing w:after="0" w:line="236" w:lineRule="auto"/>
        <w:rPr>
          <w:sz w:val="20"/>
          <w:szCs w:val="20"/>
          <w:color w:val="auto"/>
        </w:rPr>
      </w:pPr>
      <w:r>
        <w:rPr>
          <w:rFonts w:ascii="Times New Roman" w:cs="Times New Roman" w:eastAsia="Times New Roman" w:hAnsi="Times New Roman"/>
          <w:sz w:val="18"/>
          <w:szCs w:val="18"/>
          <w:color w:val="auto"/>
        </w:rPr>
        <w:t>The following is a description of the common stock of Integra LifeSciences Holdings Corporation (the “Company”). The description does not purport to be complete and is subject to and qualified in its entirety by reference to the Company’s amended and restated certificate of incorporation, or the certificate of incorporation, and its third amended and restated by-laws, or the bylaws) each of which are filed as exhibits to this Annual Report on Form 10-K, and to the provisions of the Delaware General Corporation Law (“DGCL”).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220"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Company’s authorized capital stock consists of 255,000,000 shares of stock, of which 240,000,000 shares are designated as common stock, par value $0.01 per share, and 15,000,000 shares are designated as preferred stock, no par value. As of December 31, 2024, there were 91,609,640 shares of common stock issued, 14,445,168 shares were designated as treasury stock, and no shares of preferred stock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33"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8"/>
          <w:szCs w:val="18"/>
          <w:color w:val="auto"/>
        </w:rPr>
        <w:t>Subject to preferences that may apply to shares of preferred stock outstanding at the time, the holders of outstanding shares of common stock are entitled to receive dividends out of assets legally available therefor at such times and in such amounts as the board of directors may from time to time determine. However,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our board of directors deems relevant.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33"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Each stockholder is entitled to one vote in person or by proxy for each share of the capital stock having voting power held by such stockholder. Stockholders do not have cumulative voting rights. The Company’s board of directors is not classified and each director is elected annually. The voting standard for the election of directors is a majority of votes cast in uncontested elections. In contested elections where the number of nominees exceeds the number of directors to be elected, the vote standard is a plurality of the votes cast. Holders of a majority of the outstanding shares of common stock entitled to vote in any election of directors may elect all of the directors standing for election.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Similar Rights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or redemption.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33"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18"/>
          <w:szCs w:val="18"/>
          <w:color w:val="auto"/>
        </w:rPr>
        <w:t>Upon the occurrence of a liquidation, dissolution or winding-up, the holders of shares of common stock would be entitled to share ratably in the distribution of all of our assets remaining available for distribution after satisfaction of all its liabilities and the payment of the liquidation preference of any outstanding preferred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“IART”.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3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Company’s Board of Directors has the authority to issue up to 15,000,000 shares of Preferred Stock from time to time in one or more series and with such rights and preferences as determined by the Board with respect to each series. The issuance of preferred stock could have the effect of decreasing the market price of our common stock and could adversely affect the voting and other rights of holders of common stock.</w:t>
      </w:r>
    </w:p>
    <w:p>
      <w:pPr>
        <w:sectPr>
          <w:pgSz w:w="11900" w:h="16838" w:orient="portrait"/>
          <w:cols w:equalWidth="0" w:num="1">
            <w:col w:w="11240"/>
          </w:cols>
          <w:pgMar w:left="320" w:top="11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Statutory Business Combination Provision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Delaware corporation, we are subject to Section 203 of the General Corporation Law of the State of Delaware, or DGCL. In general, Section 203 of the DGCL prevents an “interested stockholder,” which is defined generally as a person owning 15% or more of a Delaware corporation’s outstanding voting stock or any affiliate or associate of that person, from engaging in a broad range of “business combinations” with the corporation for three years following the date that person became an interested stockholder unless:</w:t>
      </w:r>
    </w:p>
    <w:p>
      <w:pPr>
        <w:spacing w:after="0" w:line="248" w:lineRule="exact"/>
        <w:rPr>
          <w:sz w:val="20"/>
          <w:szCs w:val="20"/>
          <w:color w:val="auto"/>
        </w:rPr>
      </w:pPr>
    </w:p>
    <w:p>
      <w:pPr>
        <w:ind w:left="640" w:right="160" w:hanging="315"/>
        <w:spacing w:after="0" w:line="230"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before that person became an interested stockholder, the board of directors of the corporation approved the transaction in which that person became an interested stockholder or approved the business combination;</w:t>
      </w:r>
    </w:p>
    <w:p>
      <w:pPr>
        <w:spacing w:after="0" w:line="234" w:lineRule="exact"/>
        <w:rPr>
          <w:rFonts w:ascii="Arial" w:cs="Arial" w:eastAsia="Arial" w:hAnsi="Arial"/>
          <w:sz w:val="21"/>
          <w:szCs w:val="21"/>
          <w:color w:val="auto"/>
        </w:rPr>
      </w:pPr>
    </w:p>
    <w:p>
      <w:pPr>
        <w:ind w:left="640" w:hanging="315"/>
        <w:spacing w:after="0" w:line="230"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on completion of the transaction that resulted in that person’s becoming an interested stockholder, that person owned at least 85% of the voting stock of the corporation outstanding at the time the transaction commenced, other than stock held by (1) directors who are also officers of the corporation or (2) any employee stock plan that does not provide employees with the right to determine confidentially whether shares held subject to the plan will be tendered in a tender or exchange offer; or</w:t>
      </w:r>
    </w:p>
    <w:p>
      <w:pPr>
        <w:spacing w:after="0" w:line="249" w:lineRule="exact"/>
        <w:rPr>
          <w:rFonts w:ascii="Arial" w:cs="Arial" w:eastAsia="Arial" w:hAnsi="Arial"/>
          <w:sz w:val="21"/>
          <w:szCs w:val="21"/>
          <w:color w:val="auto"/>
        </w:rPr>
      </w:pPr>
    </w:p>
    <w:p>
      <w:pPr>
        <w:ind w:left="640" w:right="180" w:hanging="315"/>
        <w:spacing w:after="0" w:line="230" w:lineRule="auto"/>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following the transaction in which that person became an interested stockholder, both the board of directors of the corporation and the holders of at least two-thirds of the outstanding voting stock of the corporation not owned by that person approve the business combination.</w:t>
      </w:r>
    </w:p>
    <w:p>
      <w:pPr>
        <w:spacing w:after="0" w:line="2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Under Section 203 of the DGCL,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a majority of the directors who were directors prior to any person’s becoming an interested stockholder during the previous three years, or were recommended for election or elected to succeed those directors by a majority of those directors, approve or do not oppose that extraordinary transaction.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our Bylaws</w:t>
      </w:r>
    </w:p>
    <w:p>
      <w:pPr>
        <w:spacing w:after="0" w:line="23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Some of the provisions of our certificate of incorporation and bylaws discussed below may have the effect, either alone or in combination with the provisions of our certificate of incorporation discussed above and Section 203 of the DGCL, of making more difficult or discouraging a tender offer, proxy contest, merger or other takeover attempt that our board of directors opposes but that a stockholder might consider to be in its best interest.</w:t>
      </w:r>
    </w:p>
    <w:p>
      <w:pPr>
        <w:spacing w:after="0" w:line="206"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Our bylaws provide that a special meeting of our stockholders may only be called by (i) the chairman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(ii) the president or (iii) our board of directors.</w:t>
      </w:r>
    </w:p>
    <w:p>
      <w:pPr>
        <w:spacing w:after="0" w:line="18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i w:val="1"/>
          <w:iCs w:val="1"/>
          <w:color w:val="auto"/>
        </w:rPr>
        <w:t>Stockholder Action by Written Consent</w:t>
      </w:r>
      <w:r>
        <w:rPr>
          <w:rFonts w:ascii="Times New Roman" w:cs="Times New Roman" w:eastAsia="Times New Roman" w:hAnsi="Times New Roman"/>
          <w:sz w:val="18"/>
          <w:szCs w:val="18"/>
          <w:color w:val="auto"/>
        </w:rPr>
        <w:t>. Our stockholders may act by written consent without a meeting, subject to the requirements in our bylaws for setting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date for the written consent. Any stockholder seeking to have the stockholders authorize or take corporate action must request that our Board of Directors fix a record date. Such notice must include the same information required for a stockholder proposal and be submitted to our Board of Directors as described in our bylaws.</w:t>
      </w:r>
    </w:p>
    <w:p>
      <w:pPr>
        <w:spacing w:after="0" w:line="20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i w:val="1"/>
          <w:iCs w:val="1"/>
          <w:color w:val="auto"/>
        </w:rPr>
        <w:t>Vacancies on the Board of Directors</w:t>
      </w:r>
      <w:r>
        <w:rPr>
          <w:rFonts w:ascii="Times New Roman" w:cs="Times New Roman" w:eastAsia="Times New Roman" w:hAnsi="Times New Roman"/>
          <w:sz w:val="18"/>
          <w:szCs w:val="18"/>
          <w:color w:val="auto"/>
        </w:rPr>
        <w:t>. Our certificate of incorporation provides that the number of directors will be fixed exclusively by, and may be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decreased exclusively by, our board of directors from time to time, but will not be less than three nor more than thirteen. Our bylaws provide that vacancies on the board of directors arising through death, resignation, retirement or removal shall be filled only by a majority of the directors then in office whether or not the remaining directors constitute a quorum. These provisions will prevent our stockholders from removing incumbent directors without cause and filling the resulting vacancies with their own nominees.</w:t>
      </w:r>
    </w:p>
    <w:p>
      <w:pPr>
        <w:spacing w:after="0" w:line="19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Our certificate of incorporation provides that the number of directors will be fixed exclusively by, and may be increased or decreased exclusively by, our board of directors from time to time, but will not be less than three nor more than thirteen. Our certificate of incorporation provides that directors may be removed only by the Delaware Chancery Court under Section 225(c) of the DGCL or for cause (as such term is defined in our certificate of incorporation) as determined by a vote of at least 80% of the voting power of our outstanding voting stock. A vacancy on our board of directors may be filled by a vote of a majority of</w:t>
      </w:r>
    </w:p>
    <w:p>
      <w:pPr>
        <w:sectPr>
          <w:pgSz w:w="11900" w:h="16838" w:orient="portrait"/>
          <w:cols w:equalWidth="0" w:num="1">
            <w:col w:w="11240"/>
          </w:cols>
          <w:pgMar w:left="320" w:top="1102"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the directors in office, and a director appointed to fill a vacancy serves for the remainder of the term of the class of directors in which the vacancy occurred.</w:t>
      </w:r>
    </w:p>
    <w:p>
      <w:pPr>
        <w:spacing w:after="0" w:line="22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bylaws contain provisions requiring that advance notice be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us of any business to be brought by a stockholder before an annual meeting of stockholders and providing for certain procedures to be followed by stockholders in nominating persons for election to our board of directors. Generally, the advance notice provisions provide that the stockholder must give written notice to our Secretary not less than 90 days nor more than 120 days prior to the anniversary date of the immediately preceding annual meeting, except that in the event that the annual meeting is called for a date that is more than 30 days before or more than 60 days after such anniversary date, notice by the stockholder to be timely must be so delivered not later than the 90th day prior to the date of such annual meeting (or, if later, then the 10th day following the day on which public disclosure of the date of such annual meeting was first made). The notice must set forth specific information regarding that stockholder and that business or director nominee, as described in our bylaws.</w:t>
      </w:r>
    </w:p>
    <w:p>
      <w:pPr>
        <w:spacing w:after="0" w:line="20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i w:val="1"/>
          <w:iCs w:val="1"/>
          <w:color w:val="auto"/>
        </w:rPr>
        <w:t>Amendment of Certain Provisions of the Certificate of Incorporation and Bylaws</w:t>
      </w:r>
      <w:r>
        <w:rPr>
          <w:rFonts w:ascii="Times New Roman" w:cs="Times New Roman" w:eastAsia="Times New Roman" w:hAnsi="Times New Roman"/>
          <w:sz w:val="18"/>
          <w:szCs w:val="18"/>
          <w:color w:val="auto"/>
        </w:rPr>
        <w:t>. Under the DGCL, the stockholders of a corporation have the right to adopt,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or repeal the bylaws and, with the approval of the board of directors, the certificate of incorporation of a corporation. In addition, if the certificate of incorporation so provides, the bylaws may be adopted, amended or repealed by the board of directors. Our Certificate provides that the bylaws may be amended or repealed by our board of directors. Our certificate of incorporation and bylaws also confer on our board of directors the power to adopt, amend or repeal our amended and restated bylaws with the affirmative vote of a majority of the directors then in office.</w:t>
      </w:r>
    </w:p>
    <w:p>
      <w:pPr>
        <w:spacing w:after="0" w:line="209"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7"/>
          <w:szCs w:val="17"/>
          <w:i w:val="1"/>
          <w:iCs w:val="1"/>
          <w:color w:val="auto"/>
        </w:rPr>
        <w:t>Forum Selection</w:t>
      </w:r>
      <w:r>
        <w:rPr>
          <w:rFonts w:ascii="Times New Roman" w:cs="Times New Roman" w:eastAsia="Times New Roman" w:hAnsi="Times New Roman"/>
          <w:sz w:val="17"/>
          <w:szCs w:val="17"/>
          <w:color w:val="auto"/>
        </w:rPr>
        <w:t>. Our bylaws provide, unless we consent in writing to the selection of an alternative forum, that the sole and exclusive forum for (a)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derivative action or proceeding brought on our behalf, (b) any action asserting a claim of breach of a fiduciary duty owed by any of our directors, officers or other employees to us or our stockholders, (c) any action asserting a claim against us or any of our directors, officers or other employees arising pursuant to any provision of the DGCL, our certificate of incorporation or our bylaws (in each case, as they may be amended from time to time) or (d) any action asserting a claim against us or any of our directors, officers or other employees governed by the internal affairs doctrine, will be a state court located within the State of Delaware (or, if no state court located within the State of Delaware has jurisdiction, the federal district court for the District of Delaware). Any person that purchases or otherwise acquires an interest in our stock will be deemed to have notice of and agree to comply with the foregoing provisions.</w:t>
      </w:r>
    </w:p>
    <w:p>
      <w:pPr>
        <w:spacing w:after="0" w:line="20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Our bylaws provide that a state court of the State of Delaware (or, if no state court located within the State of Delaware has jurisdiction, the federal district court for the District of Delaware) shall be the sole and exclusive forum for: (i) any derivative action or proceeding brought on behalf of Integra; (ii) any action asserting a claim of breach of a fiduciary duty owed by any director or officer of Integra to Integra or the stockholders; (iii)  any action asserting a claim against Integra arising pursuant to any provision of the DGCL, our certificate of incorporation or our bylaws (as each may be amended, from time to time); or</w:t>
      </w:r>
    </w:p>
    <w:p>
      <w:pPr>
        <w:spacing w:after="0" w:line="2" w:lineRule="exact"/>
        <w:rPr>
          <w:sz w:val="20"/>
          <w:szCs w:val="20"/>
          <w:color w:val="auto"/>
        </w:rPr>
      </w:pPr>
    </w:p>
    <w:p>
      <w:pPr>
        <w:ind w:right="60" w:firstLine="6"/>
        <w:spacing w:after="0" w:line="248" w:lineRule="auto"/>
        <w:tabs>
          <w:tab w:leader="none" w:pos="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action asserting a claim against Integra or any director or officer of Integra that is governed by or subject to the internal affairs doctrine for choice of law purposes. However, the forum selection provision does not apply to any claims, actions or proceedings arising under the Securities Act of 1933, as amended, which we refer to as the “Securities Act,” or the Exchange Act. Unless we consent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Any person or entity purchasing or otherwise acquiring any interest in shares of our stock will be deemed to have notice of and consented to the exclusive forum provisions in our bylaws.</w:t>
      </w:r>
    </w:p>
    <w:p>
      <w:pPr>
        <w:spacing w:after="0" w:line="20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i w:val="1"/>
          <w:iCs w:val="1"/>
          <w:color w:val="auto"/>
        </w:rPr>
        <w:t>Preferred Stock</w:t>
      </w:r>
      <w:r>
        <w:rPr>
          <w:rFonts w:ascii="Times New Roman" w:cs="Times New Roman" w:eastAsia="Times New Roman" w:hAnsi="Times New Roman"/>
          <w:sz w:val="17"/>
          <w:szCs w:val="17"/>
          <w:color w:val="auto"/>
        </w:rPr>
        <w:t>. As discussed above under “General Matters—Preferred Stock,” our certificate of incorporation authorizes our board of directors, without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approval of our stockholders, to provide for the issuance of all or any shares of our preferred stock in one or more series and to determine the designation, powers, preferences and relative, participating, optional or other special rights, and the qualifications, limitations or restrictions applicable to any of those rights, including dividend rights, voting rights, conversion or exchange rights, terms of redemption and liquidation preferences, of each series. The issuance of shares of our preferred stock, or the issuance of rights to purchase shares of preferred stock, could be used to discourage an unsolicited acquisition proposal. In addition, under some circumstances, the issuance of preferred stock could adversely affect the voting power of our common stockholders.</w:t>
      </w:r>
    </w:p>
    <w:p>
      <w:pPr>
        <w:sectPr>
          <w:pgSz w:w="11900" w:h="16838" w:orient="portrait"/>
          <w:cols w:equalWidth="0" w:num="1">
            <w:col w:w="11240"/>
          </w:cols>
          <w:pgMar w:left="320" w:top="86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9"/>
          <w:szCs w:val="19"/>
          <w:b w:val="1"/>
          <w:bCs w:val="1"/>
          <w:color w:val="auto"/>
        </w:rPr>
        <w:t>IART-2024.12.31-Exhibit 10.11(c)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CONSULTING AGREEMENT</w:t>
      </w:r>
    </w:p>
    <w:p>
      <w:pPr>
        <w:spacing w:after="0" w:line="260" w:lineRule="exact"/>
        <w:rPr>
          <w:sz w:val="20"/>
          <w:szCs w:val="20"/>
          <w:color w:val="auto"/>
        </w:rPr>
      </w:pPr>
    </w:p>
    <w:p>
      <w:pPr>
        <w:ind w:right="20" w:firstLine="638"/>
        <w:spacing w:after="0" w:line="276" w:lineRule="auto"/>
        <w:rPr>
          <w:sz w:val="20"/>
          <w:szCs w:val="20"/>
          <w:color w:val="auto"/>
        </w:rPr>
      </w:pPr>
      <w:r>
        <w:rPr>
          <w:rFonts w:ascii="Times New Roman" w:cs="Times New Roman" w:eastAsia="Times New Roman" w:hAnsi="Times New Roman"/>
          <w:sz w:val="19"/>
          <w:szCs w:val="19"/>
          <w:color w:val="auto"/>
        </w:rPr>
        <w:t>This Consulting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dated as of November 4, 2024 to be effective as of January 6, 2025 (the “</w:t>
      </w:r>
      <w:r>
        <w:rPr>
          <w:rFonts w:ascii="Times New Roman" w:cs="Times New Roman" w:eastAsia="Times New Roman" w:hAnsi="Times New Roman"/>
          <w:sz w:val="19"/>
          <w:szCs w:val="19"/>
          <w:b w:val="1"/>
          <w:bCs w:val="1"/>
          <w:color w:val="auto"/>
        </w:rPr>
        <w:t>Transition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Date</w:t>
      </w:r>
      <w:r>
        <w:rPr>
          <w:rFonts w:ascii="Times New Roman" w:cs="Times New Roman" w:eastAsia="Times New Roman" w:hAnsi="Times New Roman"/>
          <w:sz w:val="19"/>
          <w:szCs w:val="19"/>
          <w:color w:val="auto"/>
        </w:rPr>
        <w:t>”) is entered into by and between Integra LifeSciences Holdings Corporation (“</w:t>
      </w:r>
      <w:r>
        <w:rPr>
          <w:rFonts w:ascii="Times New Roman" w:cs="Times New Roman" w:eastAsia="Times New Roman" w:hAnsi="Times New Roman"/>
          <w:sz w:val="19"/>
          <w:szCs w:val="19"/>
          <w:b w:val="1"/>
          <w:bCs w:val="1"/>
          <w:color w:val="auto"/>
        </w:rPr>
        <w:t>Holdings</w:t>
      </w:r>
      <w:r>
        <w:rPr>
          <w:rFonts w:ascii="Times New Roman" w:cs="Times New Roman" w:eastAsia="Times New Roman" w:hAnsi="Times New Roman"/>
          <w:sz w:val="19"/>
          <w:szCs w:val="19"/>
          <w:color w:val="auto"/>
        </w:rPr>
        <w:t>”) and Integra LifeSciences Corporation (“</w:t>
      </w:r>
      <w:r>
        <w:rPr>
          <w:rFonts w:ascii="Times New Roman" w:cs="Times New Roman" w:eastAsia="Times New Roman" w:hAnsi="Times New Roman"/>
          <w:sz w:val="19"/>
          <w:szCs w:val="19"/>
          <w:b w:val="1"/>
          <w:bCs w:val="1"/>
          <w:color w:val="auto"/>
        </w:rPr>
        <w:t>OpCo</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together with Holdings,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Jan De Witte (“</w:t>
      </w:r>
      <w:r>
        <w:rPr>
          <w:rFonts w:ascii="Times New Roman" w:cs="Times New Roman" w:eastAsia="Times New Roman" w:hAnsi="Times New Roman"/>
          <w:sz w:val="19"/>
          <w:szCs w:val="19"/>
          <w:b w:val="1"/>
          <w:bCs w:val="1"/>
          <w:i w:val="1"/>
          <w:iCs w:val="1"/>
          <w:color w:val="auto"/>
        </w:rPr>
        <w:t>Consultant</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Background</w:t>
      </w:r>
    </w:p>
    <w:p>
      <w:pPr>
        <w:spacing w:after="0" w:line="264" w:lineRule="exact"/>
        <w:rPr>
          <w:sz w:val="20"/>
          <w:szCs w:val="20"/>
          <w:color w:val="auto"/>
        </w:rPr>
      </w:pPr>
    </w:p>
    <w:p>
      <w:pPr>
        <w:jc w:val="both"/>
        <w:ind w:firstLine="638"/>
        <w:spacing w:after="0" w:line="264" w:lineRule="auto"/>
        <w:rPr>
          <w:sz w:val="20"/>
          <w:szCs w:val="20"/>
          <w:color w:val="auto"/>
        </w:rPr>
      </w:pPr>
      <w:r>
        <w:rPr>
          <w:rFonts w:ascii="Times New Roman" w:cs="Times New Roman" w:eastAsia="Times New Roman" w:hAnsi="Times New Roman"/>
          <w:sz w:val="19"/>
          <w:szCs w:val="19"/>
          <w:color w:val="auto"/>
        </w:rPr>
        <w:t>Prior to the Transition Date, Consultant was employed by the Company on the terms contained in that certain Employment Agreement by and between the parties hereto, entered into as of October 28, 2021 (the “</w:t>
      </w:r>
      <w:r>
        <w:rPr>
          <w:rFonts w:ascii="Times New Roman" w:cs="Times New Roman" w:eastAsia="Times New Roman" w:hAnsi="Times New Roman"/>
          <w:sz w:val="19"/>
          <w:szCs w:val="19"/>
          <w:b w:val="1"/>
          <w:bCs w:val="1"/>
          <w:color w:val="auto"/>
        </w:rPr>
        <w:t>Employment Agreement</w:t>
      </w:r>
      <w:r>
        <w:rPr>
          <w:rFonts w:ascii="Times New Roman" w:cs="Times New Roman" w:eastAsia="Times New Roman" w:hAnsi="Times New Roman"/>
          <w:sz w:val="19"/>
          <w:szCs w:val="19"/>
          <w:color w:val="auto"/>
        </w:rPr>
        <w:t>”) and that certain letter agreement by and between the parties hereto, dated as of February 27, 2024 (the “</w:t>
      </w:r>
      <w:r>
        <w:rPr>
          <w:rFonts w:ascii="Times New Roman" w:cs="Times New Roman" w:eastAsia="Times New Roman" w:hAnsi="Times New Roman"/>
          <w:sz w:val="19"/>
          <w:szCs w:val="19"/>
          <w:b w:val="1"/>
          <w:bCs w:val="1"/>
          <w:color w:val="auto"/>
        </w:rPr>
        <w:t>Letter</w:t>
      </w:r>
      <w:r>
        <w:rPr>
          <w:rFonts w:ascii="Times New Roman" w:cs="Times New Roman" w:eastAsia="Times New Roman" w:hAnsi="Times New Roman"/>
          <w:sz w:val="19"/>
          <w:szCs w:val="19"/>
          <w:color w:val="auto"/>
        </w:rPr>
        <w:t>”). On the Transition Date, Consultant’s employment with the Company and all of its affiliates terminated by mutual agreement of Consultant and the Company; and the Company wishes to secure the services of Consultant as a consultant of the Company upon the terms and subject to the conditions set forth herein, and Consultant wishes to render such services to the Company upon the terms and subject to the conditions set forth herein.</w:t>
      </w:r>
    </w:p>
    <w:p>
      <w:pPr>
        <w:spacing w:after="0" w:line="205" w:lineRule="exact"/>
        <w:rPr>
          <w:sz w:val="20"/>
          <w:szCs w:val="20"/>
          <w:color w:val="auto"/>
        </w:rPr>
      </w:pPr>
    </w:p>
    <w:p>
      <w:pPr>
        <w:jc w:val="both"/>
        <w:ind w:firstLine="638"/>
        <w:spacing w:after="0" w:line="286" w:lineRule="auto"/>
        <w:rPr>
          <w:sz w:val="20"/>
          <w:szCs w:val="20"/>
          <w:color w:val="auto"/>
        </w:rPr>
      </w:pPr>
      <w:r>
        <w:rPr>
          <w:rFonts w:ascii="Times New Roman" w:cs="Times New Roman" w:eastAsia="Times New Roman" w:hAnsi="Times New Roman"/>
          <w:sz w:val="19"/>
          <w:szCs w:val="19"/>
          <w:color w:val="auto"/>
        </w:rPr>
        <w:t>NOW, THEREFORE, in consideration of the premises and the mutual agreements contained herein and intended to be legally bound hereby, the parties hereto agree as follows: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Terms</w:t>
      </w:r>
    </w:p>
    <w:p>
      <w:pPr>
        <w:spacing w:after="0" w:line="246" w:lineRule="exact"/>
        <w:rPr>
          <w:sz w:val="20"/>
          <w:szCs w:val="20"/>
          <w:color w:val="auto"/>
        </w:rPr>
      </w:pPr>
    </w:p>
    <w:p>
      <w:pPr>
        <w:ind w:left="640" w:hanging="634"/>
        <w:spacing w:after="0"/>
        <w:tabs>
          <w:tab w:leader="none" w:pos="640" w:val="left"/>
        </w:tabs>
        <w:numPr>
          <w:ilvl w:val="0"/>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w:t>
      </w:r>
    </w:p>
    <w:p>
      <w:pPr>
        <w:spacing w:after="0" w:line="263" w:lineRule="exact"/>
        <w:rPr>
          <w:rFonts w:ascii="Times New Roman" w:cs="Times New Roman" w:eastAsia="Times New Roman" w:hAnsi="Times New Roman"/>
          <w:sz w:val="19"/>
          <w:szCs w:val="19"/>
          <w:b w:val="1"/>
          <w:bCs w:val="1"/>
          <w:color w:val="auto"/>
        </w:rPr>
      </w:pPr>
    </w:p>
    <w:p>
      <w:pPr>
        <w:ind w:left="640" w:firstLine="4"/>
        <w:spacing w:after="0" w:line="301" w:lineRule="auto"/>
        <w:tabs>
          <w:tab w:leader="none" w:pos="1268"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Capitalized terms used but not defined below will have their respective meanings set forth in the Employment Agreement or the Letter, as applicable.</w:t>
      </w:r>
    </w:p>
    <w:p>
      <w:pPr>
        <w:spacing w:after="0" w:line="151" w:lineRule="exact"/>
        <w:rPr>
          <w:rFonts w:ascii="Times New Roman" w:cs="Times New Roman" w:eastAsia="Times New Roman" w:hAnsi="Times New Roman"/>
          <w:sz w:val="19"/>
          <w:szCs w:val="19"/>
          <w:color w:val="auto"/>
        </w:rPr>
      </w:pPr>
    </w:p>
    <w:p>
      <w:pPr>
        <w:ind w:left="1260" w:hanging="616"/>
        <w:spacing w:after="0"/>
        <w:tabs>
          <w:tab w:leader="none" w:pos="1260"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Cause</w:t>
      </w:r>
      <w:r>
        <w:rPr>
          <w:rFonts w:ascii="Times New Roman" w:cs="Times New Roman" w:eastAsia="Times New Roman" w:hAnsi="Times New Roman"/>
          <w:sz w:val="19"/>
          <w:szCs w:val="19"/>
          <w:color w:val="auto"/>
        </w:rPr>
        <w:t>,” as determined by the Board in good faith, shall mean Consultant has –</w:t>
      </w:r>
    </w:p>
    <w:p>
      <w:pPr>
        <w:spacing w:after="0" w:line="263" w:lineRule="exact"/>
        <w:rPr>
          <w:rFonts w:ascii="Times New Roman" w:cs="Times New Roman" w:eastAsia="Times New Roman" w:hAnsi="Times New Roman"/>
          <w:sz w:val="19"/>
          <w:szCs w:val="19"/>
          <w:color w:val="auto"/>
        </w:rPr>
      </w:pPr>
    </w:p>
    <w:p>
      <w:pPr>
        <w:ind w:left="1920" w:hanging="639"/>
        <w:spacing w:after="0"/>
        <w:tabs>
          <w:tab w:leader="none" w:pos="1920"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failed to perform his stated duties in all material respects;</w:t>
      </w:r>
    </w:p>
    <w:p>
      <w:pPr>
        <w:spacing w:after="0" w:line="246" w:lineRule="exact"/>
        <w:rPr>
          <w:rFonts w:ascii="Times New Roman" w:cs="Times New Roman" w:eastAsia="Times New Roman" w:hAnsi="Times New Roman"/>
          <w:sz w:val="19"/>
          <w:szCs w:val="19"/>
          <w:color w:val="auto"/>
        </w:rPr>
      </w:pPr>
    </w:p>
    <w:p>
      <w:pPr>
        <w:ind w:left="1280" w:firstLine="1"/>
        <w:spacing w:after="0" w:line="301" w:lineRule="auto"/>
        <w:tabs>
          <w:tab w:leader="none" w:pos="1916"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and materially breached any provision of this Agreement, provided such breach is materially and demonstrably injurious to the Company;</w:t>
      </w:r>
    </w:p>
    <w:p>
      <w:pPr>
        <w:spacing w:after="0" w:line="155" w:lineRule="exact"/>
        <w:rPr>
          <w:rFonts w:ascii="Times New Roman" w:cs="Times New Roman" w:eastAsia="Times New Roman" w:hAnsi="Times New Roman"/>
          <w:sz w:val="19"/>
          <w:szCs w:val="19"/>
          <w:color w:val="auto"/>
        </w:rPr>
      </w:pPr>
    </w:p>
    <w:p>
      <w:pPr>
        <w:ind w:left="1920" w:hanging="639"/>
        <w:spacing w:after="0"/>
        <w:tabs>
          <w:tab w:leader="none" w:pos="1920"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demonstrated his personal dishonesty in connection with his employment by the Company;</w:t>
      </w:r>
    </w:p>
    <w:p>
      <w:pPr>
        <w:spacing w:after="0" w:line="259" w:lineRule="exact"/>
        <w:rPr>
          <w:rFonts w:ascii="Times New Roman" w:cs="Times New Roman" w:eastAsia="Times New Roman" w:hAnsi="Times New Roman"/>
          <w:sz w:val="19"/>
          <w:szCs w:val="19"/>
          <w:color w:val="auto"/>
        </w:rPr>
      </w:pPr>
    </w:p>
    <w:p>
      <w:pPr>
        <w:ind w:left="1900" w:hanging="619"/>
        <w:spacing w:after="0"/>
        <w:tabs>
          <w:tab w:leader="none" w:pos="1900"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engaged in a breach of fiduciary duty in connection with his service with the Company;</w:t>
      </w:r>
    </w:p>
    <w:p>
      <w:pPr>
        <w:spacing w:after="0" w:line="259" w:lineRule="exact"/>
        <w:rPr>
          <w:rFonts w:ascii="Times New Roman" w:cs="Times New Roman" w:eastAsia="Times New Roman" w:hAnsi="Times New Roman"/>
          <w:sz w:val="19"/>
          <w:szCs w:val="19"/>
          <w:color w:val="auto"/>
        </w:rPr>
      </w:pPr>
    </w:p>
    <w:p>
      <w:pPr>
        <w:ind w:left="1900" w:hanging="619"/>
        <w:spacing w:after="0"/>
        <w:tabs>
          <w:tab w:leader="none" w:pos="1900"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engaged in willful misconduct that is materially and demonstrably injurious to the Company or any of its subsidiaries;</w:t>
      </w:r>
    </w:p>
    <w:p>
      <w:pPr>
        <w:spacing w:after="0" w:line="29" w:lineRule="exact"/>
        <w:rPr>
          <w:rFonts w:ascii="Times New Roman" w:cs="Times New Roman" w:eastAsia="Times New Roman" w:hAnsi="Times New Roman"/>
          <w:sz w:val="19"/>
          <w:szCs w:val="19"/>
          <w:color w:val="auto"/>
        </w:rPr>
      </w:pPr>
    </w:p>
    <w:p>
      <w:pPr>
        <w:ind w:left="12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w:t>
      </w:r>
    </w:p>
    <w:p>
      <w:pPr>
        <w:spacing w:after="0" w:line="237" w:lineRule="exact"/>
        <w:rPr>
          <w:rFonts w:ascii="Times New Roman" w:cs="Times New Roman" w:eastAsia="Times New Roman" w:hAnsi="Times New Roman"/>
          <w:sz w:val="19"/>
          <w:szCs w:val="19"/>
          <w:color w:val="auto"/>
        </w:rPr>
      </w:pPr>
    </w:p>
    <w:p>
      <w:pPr>
        <w:ind w:left="1280" w:firstLine="1"/>
        <w:spacing w:after="0" w:line="286" w:lineRule="auto"/>
        <w:tabs>
          <w:tab w:leader="none" w:pos="1906" w:val="left"/>
        </w:tabs>
        <w:numPr>
          <w:ilvl w:val="2"/>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been convicted or entered a plea of guilty or nolo contendere to a felony or to any other crime involving moral turpitude which conviction or plea is materially and demonstrably injurious to the Company or any of its subsidiaries.</w:t>
      </w:r>
    </w:p>
    <w:p>
      <w:pPr>
        <w:sectPr>
          <w:pgSz w:w="11900" w:h="16838" w:orient="portrait"/>
          <w:cols w:equalWidth="0" w:num="1">
            <w:col w:w="11240"/>
          </w:cols>
          <w:pgMar w:left="320" w:top="114" w:right="339" w:bottom="1440" w:gutter="0" w:footer="0" w:header="0"/>
        </w:sectPr>
      </w:pPr>
    </w:p>
    <w:bookmarkStart w:id="123" w:name="page124"/>
    <w:bookmarkEnd w:id="123"/>
    <w:p>
      <w:pPr>
        <w:jc w:val="both"/>
        <w:ind w:left="1280"/>
        <w:spacing w:after="0" w:line="264" w:lineRule="auto"/>
        <w:rPr>
          <w:sz w:val="20"/>
          <w:szCs w:val="20"/>
          <w:color w:val="auto"/>
        </w:rPr>
      </w:pPr>
      <w:r>
        <w:rPr>
          <w:rFonts w:ascii="Times New Roman" w:cs="Times New Roman" w:eastAsia="Times New Roman" w:hAnsi="Times New Roman"/>
          <w:sz w:val="19"/>
          <w:szCs w:val="19"/>
          <w:color w:val="auto"/>
        </w:rPr>
        <w:t>Notwithstanding the foregoing, except with respect to clause (vi), Consultant’s service will not be terminated for Cause unless and until (1) the Company provides Consultant with written notice setting forth in reasonable detail the facts and circumstances claimed by the Company to constitute Cause, and (2) Consultant fails to cure or remedy such acts or omissions within 15 days following his receipt of such notice (and during such 15-day period Consultant has had the opportunity with the assistance of his own legal counsel to appear before the Board to address such matter).</w:t>
      </w:r>
    </w:p>
    <w:p>
      <w:pPr>
        <w:spacing w:after="0" w:line="202" w:lineRule="exact"/>
        <w:rPr>
          <w:sz w:val="20"/>
          <w:szCs w:val="20"/>
          <w:color w:val="auto"/>
        </w:rPr>
      </w:pPr>
    </w:p>
    <w:p>
      <w:pPr>
        <w:jc w:val="both"/>
        <w:ind w:firstLine="6"/>
        <w:spacing w:after="0" w:line="276" w:lineRule="auto"/>
        <w:tabs>
          <w:tab w:leader="none" w:pos="637"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Termination of Employment; Resignation. </w:t>
      </w:r>
      <w:r>
        <w:rPr>
          <w:rFonts w:ascii="Times New Roman" w:cs="Times New Roman" w:eastAsia="Times New Roman" w:hAnsi="Times New Roman"/>
          <w:sz w:val="19"/>
          <w:szCs w:val="19"/>
          <w:color w:val="auto"/>
        </w:rPr>
        <w:t>On the Transition Date, (i) Consultant’s employment with the Company and all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affiliates terminated by mutual agreement of Consultant and the Company, (ii) Consultant ceased serving as the Company’s President and Chief Executive Officer and (iii) Consultant shall resign from all offices and directorships held at the Company and its affiliates.</w:t>
      </w:r>
    </w:p>
    <w:p>
      <w:pPr>
        <w:spacing w:after="0" w:line="189" w:lineRule="exact"/>
        <w:rPr>
          <w:rFonts w:ascii="Times New Roman" w:cs="Times New Roman" w:eastAsia="Times New Roman" w:hAnsi="Times New Roman"/>
          <w:sz w:val="19"/>
          <w:szCs w:val="19"/>
          <w:b w:val="1"/>
          <w:bCs w:val="1"/>
          <w:color w:val="auto"/>
        </w:rPr>
      </w:pPr>
    </w:p>
    <w:p>
      <w:pPr>
        <w:jc w:val="both"/>
        <w:ind w:firstLine="6"/>
        <w:spacing w:after="0" w:line="276" w:lineRule="auto"/>
        <w:tabs>
          <w:tab w:leader="none" w:pos="637"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Consulting Period</w:t>
      </w:r>
      <w:r>
        <w:rPr>
          <w:rFonts w:ascii="Times New Roman" w:cs="Times New Roman" w:eastAsia="Times New Roman" w:hAnsi="Times New Roman"/>
          <w:sz w:val="19"/>
          <w:szCs w:val="19"/>
          <w:color w:val="auto"/>
        </w:rPr>
        <w:t>. The term of this Agreement and the consulting relationship between the Company and Consultant shall commence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 the Transition Date and, unless this Agreement and the consulting relationship established hereby are earlier terminated as provided for herein, shall end on March 15, 2026 (such date, the “</w:t>
      </w:r>
      <w:r>
        <w:rPr>
          <w:rFonts w:ascii="Times New Roman" w:cs="Times New Roman" w:eastAsia="Times New Roman" w:hAnsi="Times New Roman"/>
          <w:sz w:val="19"/>
          <w:szCs w:val="19"/>
          <w:b w:val="1"/>
          <w:bCs w:val="1"/>
          <w:color w:val="auto"/>
        </w:rPr>
        <w:t>Termination Date</w:t>
      </w:r>
      <w:r>
        <w:rPr>
          <w:rFonts w:ascii="Times New Roman" w:cs="Times New Roman" w:eastAsia="Times New Roman" w:hAnsi="Times New Roman"/>
          <w:sz w:val="19"/>
          <w:szCs w:val="19"/>
          <w:color w:val="auto"/>
        </w:rPr>
        <w:t>” and such period, the “</w:t>
      </w:r>
      <w:r>
        <w:rPr>
          <w:rFonts w:ascii="Times New Roman" w:cs="Times New Roman" w:eastAsia="Times New Roman" w:hAnsi="Times New Roman"/>
          <w:sz w:val="19"/>
          <w:szCs w:val="19"/>
          <w:b w:val="1"/>
          <w:bCs w:val="1"/>
          <w:color w:val="auto"/>
        </w:rPr>
        <w:t>Consulting Period</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9"/>
          <w:szCs w:val="19"/>
          <w:b w:val="1"/>
          <w:bCs w:val="1"/>
          <w:color w:val="auto"/>
        </w:rPr>
      </w:pPr>
    </w:p>
    <w:p>
      <w:pPr>
        <w:jc w:val="both"/>
        <w:ind w:firstLine="6"/>
        <w:spacing w:after="0" w:line="262" w:lineRule="auto"/>
        <w:tabs>
          <w:tab w:leader="none" w:pos="637"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Services</w:t>
      </w:r>
      <w:r>
        <w:rPr>
          <w:rFonts w:ascii="Times New Roman" w:cs="Times New Roman" w:eastAsia="Times New Roman" w:hAnsi="Times New Roman"/>
          <w:sz w:val="19"/>
          <w:szCs w:val="19"/>
          <w:color w:val="auto"/>
        </w:rPr>
        <w:t>. During the Consulting Period, Consultant shall serve as Senior Advisor to the CEO, and in such position will provide services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regard to the business and operations of the Company as requested by the Company’s Chief Executive Officer (the “</w:t>
      </w:r>
      <w:r>
        <w:rPr>
          <w:rFonts w:ascii="Times New Roman" w:cs="Times New Roman" w:eastAsia="Times New Roman" w:hAnsi="Times New Roman"/>
          <w:sz w:val="19"/>
          <w:szCs w:val="19"/>
          <w:b w:val="1"/>
          <w:bCs w:val="1"/>
          <w:color w:val="auto"/>
        </w:rPr>
        <w:t>Services</w:t>
      </w:r>
      <w:r>
        <w:rPr>
          <w:rFonts w:ascii="Times New Roman" w:cs="Times New Roman" w:eastAsia="Times New Roman" w:hAnsi="Times New Roman"/>
          <w:sz w:val="19"/>
          <w:szCs w:val="19"/>
          <w:color w:val="auto"/>
        </w:rPr>
        <w:t>”). Consultant acknowledges and agrees that the Services shall be performed with the degree of skill, care and diligence expected of a professional experienced in providing the same or similar services, and using Consultant’s reasonable best efforts to promote the business and interests of the Company. Consultant shall provide the Services to the Company at times mutually agreed to by Consultant and the Company. During the Consulting Period, Consultant shall perform the Services remotely; provided, however, that the parties acknowledge and agree that Consultant may be required to travel to other locations as may be necessary to fulfill the Consultant’s duties and responsibilities hereunder. During the Consulting Period, Consultant shall comply with all applicable policies and procedures of the Company.</w:t>
      </w:r>
    </w:p>
    <w:p>
      <w:pPr>
        <w:spacing w:after="0" w:line="190" w:lineRule="exact"/>
        <w:rPr>
          <w:rFonts w:ascii="Times New Roman" w:cs="Times New Roman" w:eastAsia="Times New Roman" w:hAnsi="Times New Roman"/>
          <w:sz w:val="19"/>
          <w:szCs w:val="19"/>
          <w:b w:val="1"/>
          <w:bCs w:val="1"/>
          <w:color w:val="auto"/>
        </w:rPr>
      </w:pPr>
    </w:p>
    <w:p>
      <w:pPr>
        <w:ind w:left="640" w:hanging="634"/>
        <w:spacing w:after="0"/>
        <w:tabs>
          <w:tab w:leader="none" w:pos="640"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Compensation; Expenses</w:t>
      </w:r>
      <w:r>
        <w:rPr>
          <w:rFonts w:ascii="Times New Roman" w:cs="Times New Roman" w:eastAsia="Times New Roman" w:hAnsi="Times New Roman"/>
          <w:sz w:val="19"/>
          <w:szCs w:val="19"/>
          <w:color w:val="auto"/>
        </w:rPr>
        <w:t>.</w:t>
      </w:r>
    </w:p>
    <w:p>
      <w:pPr>
        <w:spacing w:after="0" w:line="259" w:lineRule="exact"/>
        <w:rPr>
          <w:rFonts w:ascii="Times New Roman" w:cs="Times New Roman" w:eastAsia="Times New Roman" w:hAnsi="Times New Roman"/>
          <w:sz w:val="19"/>
          <w:szCs w:val="19"/>
          <w:b w:val="1"/>
          <w:bCs w:val="1"/>
          <w:color w:val="auto"/>
        </w:rPr>
      </w:pPr>
    </w:p>
    <w:p>
      <w:pPr>
        <w:jc w:val="both"/>
        <w:ind w:left="640" w:firstLine="4"/>
        <w:spacing w:after="0" w:line="272" w:lineRule="auto"/>
        <w:tabs>
          <w:tab w:leader="none" w:pos="1268"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Cash Compensation</w:t>
      </w:r>
      <w:r>
        <w:rPr>
          <w:rFonts w:ascii="Times New Roman" w:cs="Times New Roman" w:eastAsia="Times New Roman" w:hAnsi="Times New Roman"/>
          <w:sz w:val="19"/>
          <w:szCs w:val="19"/>
          <w:color w:val="auto"/>
        </w:rPr>
        <w:t>. During the period beginning on the Transition Date and ending on January 18, 2025, the Company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 Consultant a fee (the “</w:t>
      </w:r>
      <w:r>
        <w:rPr>
          <w:rFonts w:ascii="Times New Roman" w:cs="Times New Roman" w:eastAsia="Times New Roman" w:hAnsi="Times New Roman"/>
          <w:sz w:val="19"/>
          <w:szCs w:val="19"/>
          <w:b w:val="1"/>
          <w:bCs w:val="1"/>
          <w:color w:val="auto"/>
        </w:rPr>
        <w:t>Consulting Fee</w:t>
      </w:r>
      <w:r>
        <w:rPr>
          <w:rFonts w:ascii="Times New Roman" w:cs="Times New Roman" w:eastAsia="Times New Roman" w:hAnsi="Times New Roman"/>
          <w:sz w:val="19"/>
          <w:szCs w:val="19"/>
          <w:color w:val="auto"/>
        </w:rPr>
        <w:t>”) equal to his 2024 Base Salary per annum as consideration for the Services, prorated for any partial year of Services. The Consulting Fee shall be payable in periodic installments in accordance with the Company’s regular payroll practices in effect from time to time.</w:t>
      </w:r>
    </w:p>
    <w:p>
      <w:pPr>
        <w:spacing w:after="0" w:line="178" w:lineRule="exact"/>
        <w:rPr>
          <w:rFonts w:ascii="Times New Roman" w:cs="Times New Roman" w:eastAsia="Times New Roman" w:hAnsi="Times New Roman"/>
          <w:sz w:val="19"/>
          <w:szCs w:val="19"/>
          <w:color w:val="auto"/>
        </w:rPr>
      </w:pPr>
    </w:p>
    <w:p>
      <w:pPr>
        <w:jc w:val="both"/>
        <w:ind w:left="640" w:firstLine="4"/>
        <w:spacing w:after="0" w:line="276" w:lineRule="auto"/>
        <w:tabs>
          <w:tab w:leader="none" w:pos="1265"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COBRA</w:t>
      </w:r>
      <w:r>
        <w:rPr>
          <w:rFonts w:ascii="Times New Roman" w:cs="Times New Roman" w:eastAsia="Times New Roman" w:hAnsi="Times New Roman"/>
          <w:sz w:val="19"/>
          <w:szCs w:val="19"/>
          <w:color w:val="auto"/>
        </w:rPr>
        <w:t>. Subject to Consultant’s valid election to continue healthcare coverage under Section 4980B of the Code (COBRA),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shall continue to provide Consultant and Consultant’s eligible dependents with coverage under its group health plans during the Consulting Period, so long as Consultant remains eligible to receive COBRA benefits, at Consultant’s sole cost.</w:t>
      </w:r>
    </w:p>
    <w:p>
      <w:pPr>
        <w:spacing w:after="0" w:line="189" w:lineRule="exact"/>
        <w:rPr>
          <w:rFonts w:ascii="Times New Roman" w:cs="Times New Roman" w:eastAsia="Times New Roman" w:hAnsi="Times New Roman"/>
          <w:sz w:val="19"/>
          <w:szCs w:val="19"/>
          <w:color w:val="auto"/>
        </w:rPr>
      </w:pPr>
    </w:p>
    <w:p>
      <w:pPr>
        <w:jc w:val="both"/>
        <w:ind w:left="640" w:firstLine="4"/>
        <w:spacing w:after="0" w:line="272" w:lineRule="auto"/>
        <w:tabs>
          <w:tab w:leader="none" w:pos="1268"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2024 Annual Bonus</w:t>
      </w:r>
      <w:r>
        <w:rPr>
          <w:rFonts w:ascii="Times New Roman" w:cs="Times New Roman" w:eastAsia="Times New Roman" w:hAnsi="Times New Roman"/>
          <w:sz w:val="19"/>
          <w:szCs w:val="19"/>
          <w:color w:val="auto"/>
        </w:rPr>
        <w:t>. As described in the Letter Agreement, Consultant shall remain eligible to receive a 2024 annual bonus.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respect to the 2024 performance year, Consultant’s Target Bonus will be 125% of his Base Salary. The actual amount of his 2024 annual bonus (if any) will be subject to the achievement of applicable performance objectives set forth in the Company’s 2024 annual bonus program, as well as Consultant’s successful execution of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91" w:right="339" w:bottom="1440" w:gutter="0" w:footer="0" w:header="0"/>
        </w:sectPr>
      </w:pPr>
    </w:p>
    <w:bookmarkStart w:id="124" w:name="page125"/>
    <w:bookmarkEnd w:id="124"/>
    <w:p>
      <w:pPr>
        <w:jc w:val="both"/>
        <w:ind w:left="640"/>
        <w:spacing w:after="0" w:line="274" w:lineRule="auto"/>
        <w:rPr>
          <w:sz w:val="20"/>
          <w:szCs w:val="20"/>
          <w:color w:val="auto"/>
        </w:rPr>
      </w:pPr>
      <w:r>
        <w:rPr>
          <w:rFonts w:ascii="Times New Roman" w:cs="Times New Roman" w:eastAsia="Times New Roman" w:hAnsi="Times New Roman"/>
          <w:sz w:val="19"/>
          <w:szCs w:val="19"/>
          <w:color w:val="auto"/>
        </w:rPr>
        <w:t>Company’s 2024 business strategy and, if applicable, contribution to a smooth transition to his successor as the Company’s Chief Executive Officer, each as determined by the Board in its sole discretion. The 2024 annual bonus, if any, will be paid to Consultant in cash by March 15, 2025, and at the time the Company pays annual bonuses for 2024 to its senior executives generally.</w:t>
      </w:r>
    </w:p>
    <w:p>
      <w:pPr>
        <w:spacing w:after="0" w:line="191" w:lineRule="exact"/>
        <w:rPr>
          <w:sz w:val="20"/>
          <w:szCs w:val="20"/>
          <w:color w:val="auto"/>
        </w:rPr>
      </w:pPr>
    </w:p>
    <w:p>
      <w:pPr>
        <w:jc w:val="both"/>
        <w:ind w:left="640" w:firstLine="4"/>
        <w:spacing w:after="0" w:line="263" w:lineRule="auto"/>
        <w:tabs>
          <w:tab w:leader="none" w:pos="1265"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Outstanding Equity Awards</w:t>
      </w:r>
      <w:r>
        <w:rPr>
          <w:rFonts w:ascii="Times New Roman" w:cs="Times New Roman" w:eastAsia="Times New Roman" w:hAnsi="Times New Roman"/>
          <w:sz w:val="19"/>
          <w:szCs w:val="19"/>
          <w:color w:val="auto"/>
        </w:rPr>
        <w:t>. All equity-based awards covering Holdings’ common stock held by Consultant as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Transition Date (“</w:t>
      </w:r>
      <w:r>
        <w:rPr>
          <w:rFonts w:ascii="Times New Roman" w:cs="Times New Roman" w:eastAsia="Times New Roman" w:hAnsi="Times New Roman"/>
          <w:sz w:val="19"/>
          <w:szCs w:val="19"/>
          <w:b w:val="1"/>
          <w:bCs w:val="1"/>
          <w:color w:val="auto"/>
        </w:rPr>
        <w:t>Equity Awards</w:t>
      </w:r>
      <w:r>
        <w:rPr>
          <w:rFonts w:ascii="Times New Roman" w:cs="Times New Roman" w:eastAsia="Times New Roman" w:hAnsi="Times New Roman"/>
          <w:sz w:val="19"/>
          <w:szCs w:val="19"/>
          <w:color w:val="auto"/>
        </w:rPr>
        <w:t>”) shall remain outstanding and eligible to vest in accordance with the terms of the applicable award agreement and Holdings’ 2003 Equity Incentive Plan, as amended and restated from time to time; provided, however, that vesting and exercisability (as applicable) of each Equity Award shall be based on Consultant’s continued service to the Company (rather than subject to continued employment). In addition, each Equity Award that is an option to purchase Holdings common stock will remain outstanding until the earlier of the outside expiration date of the applicable option and the six-month anniversary of the termination of the Services hereunder.</w:t>
      </w:r>
    </w:p>
    <w:p>
      <w:pPr>
        <w:spacing w:after="0" w:line="200" w:lineRule="exact"/>
        <w:rPr>
          <w:rFonts w:ascii="Times New Roman" w:cs="Times New Roman" w:eastAsia="Times New Roman" w:hAnsi="Times New Roman"/>
          <w:sz w:val="19"/>
          <w:szCs w:val="19"/>
          <w:color w:val="auto"/>
        </w:rPr>
      </w:pPr>
    </w:p>
    <w:p>
      <w:pPr>
        <w:spacing w:after="0" w:line="236" w:lineRule="exact"/>
        <w:rPr>
          <w:rFonts w:ascii="Times New Roman" w:cs="Times New Roman" w:eastAsia="Times New Roman" w:hAnsi="Times New Roman"/>
          <w:sz w:val="19"/>
          <w:szCs w:val="19"/>
          <w:color w:val="auto"/>
        </w:rPr>
      </w:pPr>
    </w:p>
    <w:p>
      <w:pPr>
        <w:jc w:val="both"/>
        <w:ind w:left="640" w:firstLine="4"/>
        <w:spacing w:after="0" w:line="262" w:lineRule="auto"/>
        <w:tabs>
          <w:tab w:leader="none" w:pos="1268"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Relocation Benefits</w:t>
      </w:r>
      <w:r>
        <w:rPr>
          <w:rFonts w:ascii="Times New Roman" w:cs="Times New Roman" w:eastAsia="Times New Roman" w:hAnsi="Times New Roman"/>
          <w:sz w:val="19"/>
          <w:szCs w:val="19"/>
          <w:color w:val="auto"/>
        </w:rPr>
        <w:t>. The Company expects Consultant to relocate his principal place of residence from the United States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Europe during the Consulting Period. In furtherance of the Relocation, the Company shall reimburse Consultant in accordance with the Company’s “Domestic Relocation Policy” (including but not limited to the tax gross-up policy incorporated therein) for the following expenses, up to a maximum aggregate amount of $150,000: (i) the movement of Consultant’s reasonable household goods and (ii) temporary housing in Belgium and transportation for up to three months (collectively, the “</w:t>
      </w:r>
      <w:r>
        <w:rPr>
          <w:rFonts w:ascii="Times New Roman" w:cs="Times New Roman" w:eastAsia="Times New Roman" w:hAnsi="Times New Roman"/>
          <w:sz w:val="19"/>
          <w:szCs w:val="19"/>
          <w:b w:val="1"/>
          <w:bCs w:val="1"/>
          <w:color w:val="auto"/>
        </w:rPr>
        <w:t>Relocation Expenses</w:t>
      </w:r>
      <w:r>
        <w:rPr>
          <w:rFonts w:ascii="Times New Roman" w:cs="Times New Roman" w:eastAsia="Times New Roman" w:hAnsi="Times New Roman"/>
          <w:sz w:val="19"/>
          <w:szCs w:val="19"/>
          <w:color w:val="auto"/>
        </w:rPr>
        <w:t>”). Reimbursement of the Relocation Expenses, if any, shall be subject to Consultant’s submission by March 15, 2026 of documentation acceptable to the Company evidencing such expenses, and any approved reimbursement shall be paid to Consultant no later than 45 days after the Company’s receipt of approved documentation. In the event Consultant has not relocated by March 15, 2026, then Consultant will not be eligible for the reimbursement of any Relocation Expenses incurred prior to such date.</w:t>
      </w:r>
    </w:p>
    <w:p>
      <w:pPr>
        <w:spacing w:after="0" w:line="190" w:lineRule="exact"/>
        <w:rPr>
          <w:rFonts w:ascii="Times New Roman" w:cs="Times New Roman" w:eastAsia="Times New Roman" w:hAnsi="Times New Roman"/>
          <w:sz w:val="19"/>
          <w:szCs w:val="19"/>
          <w:color w:val="auto"/>
        </w:rPr>
      </w:pPr>
    </w:p>
    <w:p>
      <w:pPr>
        <w:ind w:left="640" w:firstLine="4"/>
        <w:spacing w:after="0" w:line="305" w:lineRule="auto"/>
        <w:tabs>
          <w:tab w:leader="none" w:pos="1273"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Expenses</w:t>
      </w:r>
      <w:r>
        <w:rPr>
          <w:rFonts w:ascii="Times New Roman" w:cs="Times New Roman" w:eastAsia="Times New Roman" w:hAnsi="Times New Roman"/>
          <w:sz w:val="19"/>
          <w:szCs w:val="19"/>
          <w:color w:val="auto"/>
        </w:rPr>
        <w:t>. During the Consulting Period, the Company shall reimburse Consultant for reasonable expenses in accordance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Company’s substantiation and reimbursement policies applicable to independent contractors, as in effect from time to time.</w:t>
      </w:r>
    </w:p>
    <w:p>
      <w:pPr>
        <w:spacing w:after="0" w:line="148" w:lineRule="exact"/>
        <w:rPr>
          <w:rFonts w:ascii="Times New Roman" w:cs="Times New Roman" w:eastAsia="Times New Roman" w:hAnsi="Times New Roman"/>
          <w:sz w:val="19"/>
          <w:szCs w:val="19"/>
          <w:color w:val="auto"/>
        </w:rPr>
      </w:pPr>
    </w:p>
    <w:p>
      <w:pPr>
        <w:ind w:left="640" w:hanging="634"/>
        <w:spacing w:after="0"/>
        <w:tabs>
          <w:tab w:leader="none" w:pos="640"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Termination</w:t>
      </w:r>
      <w:r>
        <w:rPr>
          <w:rFonts w:ascii="Times New Roman" w:cs="Times New Roman" w:eastAsia="Times New Roman" w:hAnsi="Times New Roman"/>
          <w:sz w:val="19"/>
          <w:szCs w:val="19"/>
          <w:color w:val="auto"/>
        </w:rPr>
        <w:t>.</w:t>
      </w:r>
    </w:p>
    <w:p>
      <w:pPr>
        <w:spacing w:after="0" w:line="259" w:lineRule="exact"/>
        <w:rPr>
          <w:rFonts w:ascii="Times New Roman" w:cs="Times New Roman" w:eastAsia="Times New Roman" w:hAnsi="Times New Roman"/>
          <w:sz w:val="19"/>
          <w:szCs w:val="19"/>
          <w:b w:val="1"/>
          <w:bCs w:val="1"/>
          <w:color w:val="auto"/>
        </w:rPr>
      </w:pPr>
    </w:p>
    <w:p>
      <w:pPr>
        <w:jc w:val="both"/>
        <w:ind w:firstLine="644"/>
        <w:spacing w:after="0" w:line="266" w:lineRule="auto"/>
        <w:tabs>
          <w:tab w:leader="none" w:pos="1265"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General</w:t>
      </w:r>
      <w:r>
        <w:rPr>
          <w:rFonts w:ascii="Times New Roman" w:cs="Times New Roman" w:eastAsia="Times New Roman" w:hAnsi="Times New Roman"/>
          <w:sz w:val="19"/>
          <w:szCs w:val="19"/>
          <w:color w:val="auto"/>
        </w:rPr>
        <w:t>. This Agreement and the consulting relationship established hereby shall terminate automatically upon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Termination Date. In addition, this Agreement and the consulting relationship established hereby may be terminated as mutually agreed by the parties at any time, or by the Company for Cause at any time. If this Agreement and the consulting relationship established hereby is terminated for any reason set forth above prior to March 15, 2026, then the Company shall pay to Consultant any earned but unpaid Consulting Fee and Consultant shall not be entitled to any further payments or benefits in connection with or following the termination of this Agreement.</w:t>
      </w:r>
    </w:p>
    <w:p>
      <w:pPr>
        <w:spacing w:after="0" w:line="197" w:lineRule="exact"/>
        <w:rPr>
          <w:rFonts w:ascii="Times New Roman" w:cs="Times New Roman" w:eastAsia="Times New Roman" w:hAnsi="Times New Roman"/>
          <w:sz w:val="19"/>
          <w:szCs w:val="19"/>
          <w:color w:val="auto"/>
        </w:rPr>
      </w:pPr>
    </w:p>
    <w:p>
      <w:pPr>
        <w:jc w:val="both"/>
        <w:ind w:firstLine="644"/>
        <w:spacing w:after="0" w:line="272" w:lineRule="auto"/>
        <w:tabs>
          <w:tab w:leader="none" w:pos="1263"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Return of Property</w:t>
      </w:r>
      <w:r>
        <w:rPr>
          <w:rFonts w:ascii="Times New Roman" w:cs="Times New Roman" w:eastAsia="Times New Roman" w:hAnsi="Times New Roman"/>
          <w:sz w:val="19"/>
          <w:szCs w:val="19"/>
          <w:color w:val="auto"/>
        </w:rPr>
        <w:t>. In the event that this Agreement and the consulting relationship established hereby terminates and,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connection therewith, Consultant does not remain in service or employment with the Company, then Consultant agrees to return to the Company all documents of the Company and its affiliates (and all copies thereof) and all other Company or Company affiliate property that Consultant has in Consultant’s possession, custody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92" w:right="339" w:bottom="1440" w:gutter="0" w:footer="0" w:header="0"/>
        </w:sectPr>
      </w:pPr>
    </w:p>
    <w:bookmarkStart w:id="125" w:name="page126"/>
    <w:bookmarkEnd w:id="125"/>
    <w:p>
      <w:pPr>
        <w:jc w:val="both"/>
        <w:ind w:firstLine="6"/>
        <w:spacing w:after="0" w:line="272" w:lineRule="auto"/>
        <w:tabs>
          <w:tab w:leader="none" w:pos="637"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Restrictive Covenants</w:t>
      </w:r>
      <w:r>
        <w:rPr>
          <w:rFonts w:ascii="Times New Roman" w:cs="Times New Roman" w:eastAsia="Times New Roman" w:hAnsi="Times New Roman"/>
          <w:sz w:val="19"/>
          <w:szCs w:val="19"/>
          <w:color w:val="auto"/>
        </w:rPr>
        <w:t>. Consultant hereby agrees and acknowledges that Section 18 of the Employment Agreement (Restrictive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Covenants; Intellectual Property) is incorporated by reference into this Agreement,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provided, however, that, for purposes of this Agreement, the “Restricted Period,” as defined in the Employment Agreement, shall mean the Consulting Period and the period of 18 months following the Termination Date (as defined herein).</w:t>
      </w:r>
    </w:p>
    <w:p>
      <w:pPr>
        <w:spacing w:after="0" w:line="178" w:lineRule="exact"/>
        <w:rPr>
          <w:rFonts w:ascii="Times New Roman" w:cs="Times New Roman" w:eastAsia="Times New Roman" w:hAnsi="Times New Roman"/>
          <w:sz w:val="19"/>
          <w:szCs w:val="19"/>
          <w:b w:val="1"/>
          <w:bCs w:val="1"/>
          <w:color w:val="auto"/>
        </w:rPr>
      </w:pPr>
    </w:p>
    <w:p>
      <w:pPr>
        <w:jc w:val="both"/>
        <w:ind w:firstLine="6"/>
        <w:spacing w:after="0" w:line="284" w:lineRule="auto"/>
        <w:tabs>
          <w:tab w:leader="none" w:pos="637"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9"/>
          <w:szCs w:val="19"/>
          <w:color w:val="auto"/>
        </w:rPr>
        <w:t>. In exchange for the consideration set forth herein, Consultant agrees to execute the General Release attached hereto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Appendix 1</w:t>
      </w:r>
      <w:r>
        <w:rPr>
          <w:rFonts w:ascii="Times New Roman" w:cs="Times New Roman" w:eastAsia="Times New Roman" w:hAnsi="Times New Roman"/>
          <w:sz w:val="19"/>
          <w:szCs w:val="19"/>
          <w:color w:val="auto"/>
        </w:rPr>
        <w:t xml:space="preserve"> on the Transition Date. If Consultant does not timely execute the General Release or effectively revokes the General Release, the Company shall have the right to deem this Agreement null and void.</w:t>
      </w:r>
    </w:p>
    <w:p>
      <w:pPr>
        <w:spacing w:after="0" w:line="167" w:lineRule="exact"/>
        <w:rPr>
          <w:rFonts w:ascii="Times New Roman" w:cs="Times New Roman" w:eastAsia="Times New Roman" w:hAnsi="Times New Roman"/>
          <w:sz w:val="19"/>
          <w:szCs w:val="19"/>
          <w:b w:val="1"/>
          <w:bCs w:val="1"/>
          <w:color w:val="auto"/>
        </w:rPr>
      </w:pPr>
    </w:p>
    <w:p>
      <w:pPr>
        <w:jc w:val="both"/>
        <w:ind w:firstLine="6"/>
        <w:spacing w:after="0" w:line="261" w:lineRule="auto"/>
        <w:tabs>
          <w:tab w:leader="none" w:pos="637"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Independent Contractor</w:t>
      </w:r>
      <w:r>
        <w:rPr>
          <w:rFonts w:ascii="Times New Roman" w:cs="Times New Roman" w:eastAsia="Times New Roman" w:hAnsi="Times New Roman"/>
          <w:sz w:val="19"/>
          <w:szCs w:val="19"/>
          <w:color w:val="auto"/>
        </w:rPr>
        <w:t>. The Company and Consultant expressly agree that, during the Consulting Period, Consultant shall be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independent contractor and Consultant shall not be construed to be an employee of the Company in any matter under any circumstances or for any purposes whatsoever. Nothing in this Agreement shall establish an agency, partnership, joint venture or employee relationship between the Company and Consultant, and Consultant shall not represent that Consultant is an employee of the Company. The Company and Consultant agree and acknowledge that neither party hereto renders legal, tax or accounting advice to the other party. Without limiting the generality of the foregoing, during the Consulting Period (i) the Company shall not pay, on the account of Consultant, any unemployment tax, or other taxes required under the law to be paid with respect to employees and shall not withhold any monies from the fees payable pursuant to this Agreement for income or employment tax purposes, and (ii) the Company shall not provide Consultant with, and Consultant shall not be eligible to receive, from the Company under any Company plan, any benefits, including without limitation, any pension, health, welfare, retirement, workers’ compensation or other insurance benefits, but other than COBRA benefits. Consultant shall be solely responsible for all taxes arising in connection with any fees or other compensation paid to Consultant under this Agreement during the Consulting Period, including without limitation any and all federal, state, local and foreign income and employment taxes.</w:t>
      </w:r>
    </w:p>
    <w:p>
      <w:pPr>
        <w:spacing w:after="0" w:line="190" w:lineRule="exact"/>
        <w:rPr>
          <w:rFonts w:ascii="Times New Roman" w:cs="Times New Roman" w:eastAsia="Times New Roman" w:hAnsi="Times New Roman"/>
          <w:sz w:val="19"/>
          <w:szCs w:val="19"/>
          <w:b w:val="1"/>
          <w:bCs w:val="1"/>
          <w:color w:val="auto"/>
        </w:rPr>
      </w:pPr>
    </w:p>
    <w:p>
      <w:pPr>
        <w:jc w:val="both"/>
        <w:ind w:firstLine="6"/>
        <w:spacing w:after="0" w:line="266" w:lineRule="auto"/>
        <w:tabs>
          <w:tab w:leader="none" w:pos="628"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Representation</w:t>
      </w:r>
      <w:r>
        <w:rPr>
          <w:rFonts w:ascii="Times New Roman" w:cs="Times New Roman" w:eastAsia="Times New Roman" w:hAnsi="Times New Roman"/>
          <w:sz w:val="19"/>
          <w:szCs w:val="19"/>
          <w:color w:val="auto"/>
        </w:rPr>
        <w:t>. Consultant hereby represents and warrants to the Company that (i) Consultant is entering into this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voluntarily and that the entrance into this Agreement and performance of Consultant’s obligations hereunder will not violate or conflict with the terms of any agreement between Consultant and any other person, firm, organization or other entity person or any policy, program or code of such other person, firm, organization or other entity person, and (ii) Consultant is not under any contractual or other restriction or obligation that is inconsistent with the execution of this Agreement, the performance of the Services hereunder, or the other rights of the Company hereunder.</w:t>
      </w:r>
    </w:p>
    <w:p>
      <w:pPr>
        <w:spacing w:after="0" w:line="200" w:lineRule="exact"/>
        <w:rPr>
          <w:rFonts w:ascii="Times New Roman" w:cs="Times New Roman" w:eastAsia="Times New Roman" w:hAnsi="Times New Roman"/>
          <w:sz w:val="19"/>
          <w:szCs w:val="19"/>
          <w:b w:val="1"/>
          <w:bCs w:val="1"/>
          <w:color w:val="auto"/>
        </w:rPr>
      </w:pPr>
    </w:p>
    <w:p>
      <w:pPr>
        <w:spacing w:after="0" w:line="236" w:lineRule="exact"/>
        <w:rPr>
          <w:rFonts w:ascii="Times New Roman" w:cs="Times New Roman" w:eastAsia="Times New Roman" w:hAnsi="Times New Roman"/>
          <w:sz w:val="19"/>
          <w:szCs w:val="19"/>
          <w:b w:val="1"/>
          <w:bCs w:val="1"/>
          <w:color w:val="auto"/>
        </w:rPr>
      </w:pPr>
    </w:p>
    <w:p>
      <w:pPr>
        <w:jc w:val="both"/>
        <w:ind w:firstLine="6"/>
        <w:spacing w:after="0" w:line="266" w:lineRule="auto"/>
        <w:tabs>
          <w:tab w:leader="none" w:pos="618"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Assignability</w:t>
      </w:r>
      <w:r>
        <w:rPr>
          <w:rFonts w:ascii="Times New Roman" w:cs="Times New Roman" w:eastAsia="Times New Roman" w:hAnsi="Times New Roman"/>
          <w:sz w:val="19"/>
          <w:szCs w:val="19"/>
          <w:color w:val="auto"/>
        </w:rPr>
        <w:t>. The Company may assign this Agreement and its rights and obligations hereunder in whole, but not in part, to any entity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which the Company may transfer all or substantially all of its assets, if in any such case said entity shall expressly in writing assume all obligations of the Company hereunder as fully as if it had been originally made a party hereto. This Agreement shall inure to the benefit of and be binding upon Holdings, OpCo and their respective successors and assigns. This Agreement is personal to Consultant and his rights and duties hereunder shall not be assigned except as expressly agreed to in writing by the Company.</w:t>
      </w:r>
    </w:p>
    <w:p>
      <w:pPr>
        <w:spacing w:after="0" w:line="197" w:lineRule="exact"/>
        <w:rPr>
          <w:rFonts w:ascii="Times New Roman" w:cs="Times New Roman" w:eastAsia="Times New Roman" w:hAnsi="Times New Roman"/>
          <w:sz w:val="19"/>
          <w:szCs w:val="19"/>
          <w:b w:val="1"/>
          <w:bCs w:val="1"/>
          <w:color w:val="auto"/>
        </w:rPr>
      </w:pPr>
    </w:p>
    <w:p>
      <w:pPr>
        <w:ind w:left="640" w:hanging="634"/>
        <w:spacing w:after="0"/>
        <w:tabs>
          <w:tab w:leader="none" w:pos="640"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Miscellaneous</w:t>
      </w:r>
      <w:r>
        <w:rPr>
          <w:rFonts w:ascii="Times New Roman" w:cs="Times New Roman" w:eastAsia="Times New Roman" w:hAnsi="Times New Roman"/>
          <w:sz w:val="19"/>
          <w:szCs w:val="19"/>
          <w:color w:val="auto"/>
        </w:rPr>
        <w:t>.</w:t>
      </w:r>
    </w:p>
    <w:p>
      <w:pPr>
        <w:spacing w:after="0" w:line="246" w:lineRule="exact"/>
        <w:rPr>
          <w:rFonts w:ascii="Times New Roman" w:cs="Times New Roman" w:eastAsia="Times New Roman" w:hAnsi="Times New Roman"/>
          <w:sz w:val="19"/>
          <w:szCs w:val="19"/>
          <w:b w:val="1"/>
          <w:bCs w:val="1"/>
          <w:color w:val="auto"/>
        </w:rPr>
      </w:pPr>
    </w:p>
    <w:p>
      <w:pPr>
        <w:ind w:firstLine="644"/>
        <w:spacing w:after="0" w:line="305" w:lineRule="auto"/>
        <w:tabs>
          <w:tab w:leader="none" w:pos="1265"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No provision of this Agreement may be amended unless such amendment is signed by Consultant and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officer as may be specifically designated by the Board to sign on the Company’s behalf.</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88" w:right="339" w:bottom="1440" w:gutter="0" w:footer="0" w:header="0"/>
        </w:sectPr>
      </w:pPr>
    </w:p>
    <w:bookmarkStart w:id="126" w:name="page127"/>
    <w:bookmarkEnd w:id="126"/>
    <w:p>
      <w:pPr>
        <w:spacing w:after="0" w:line="187" w:lineRule="exact"/>
        <w:rPr>
          <w:sz w:val="20"/>
          <w:szCs w:val="20"/>
          <w:color w:val="auto"/>
        </w:rPr>
      </w:pPr>
    </w:p>
    <w:p>
      <w:pPr>
        <w:ind w:firstLine="644"/>
        <w:spacing w:after="0" w:line="305" w:lineRule="auto"/>
        <w:tabs>
          <w:tab w:leader="none" w:pos="1263"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Withholding</w:t>
      </w:r>
      <w:r>
        <w:rPr>
          <w:rFonts w:ascii="Times New Roman" w:cs="Times New Roman" w:eastAsia="Times New Roman" w:hAnsi="Times New Roman"/>
          <w:sz w:val="19"/>
          <w:szCs w:val="19"/>
          <w:color w:val="auto"/>
        </w:rPr>
        <w:t>. The Company shall have the right to withhold from all payments made pursuant to this Agreement any federal,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 or local taxes and such other amounts as may be required by law to be withheld from such payments.</w:t>
      </w:r>
    </w:p>
    <w:p>
      <w:pPr>
        <w:spacing w:after="0" w:line="148" w:lineRule="exact"/>
        <w:rPr>
          <w:rFonts w:ascii="Times New Roman" w:cs="Times New Roman" w:eastAsia="Times New Roman" w:hAnsi="Times New Roman"/>
          <w:sz w:val="19"/>
          <w:szCs w:val="19"/>
          <w:color w:val="auto"/>
        </w:rPr>
      </w:pPr>
    </w:p>
    <w:p>
      <w:pPr>
        <w:jc w:val="both"/>
        <w:ind w:firstLine="644"/>
        <w:spacing w:after="0" w:line="276" w:lineRule="auto"/>
        <w:tabs>
          <w:tab w:leader="none" w:pos="1265"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Headings</w:t>
      </w:r>
      <w:r>
        <w:rPr>
          <w:rFonts w:ascii="Times New Roman" w:cs="Times New Roman" w:eastAsia="Times New Roman" w:hAnsi="Times New Roman"/>
          <w:sz w:val="19"/>
          <w:szCs w:val="19"/>
          <w:color w:val="auto"/>
        </w:rPr>
        <w:t>. The Section headings contained in this Agreement are for reference purposes only and shall not affect in any way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meaning or interpretation or this Agreement. In the event of a conflict between a heading and the content of a Section, the content of the Section shall control.</w:t>
      </w:r>
    </w:p>
    <w:p>
      <w:pPr>
        <w:spacing w:after="0" w:line="189" w:lineRule="exact"/>
        <w:rPr>
          <w:rFonts w:ascii="Times New Roman" w:cs="Times New Roman" w:eastAsia="Times New Roman" w:hAnsi="Times New Roman"/>
          <w:sz w:val="19"/>
          <w:szCs w:val="19"/>
          <w:color w:val="auto"/>
        </w:rPr>
      </w:pPr>
    </w:p>
    <w:p>
      <w:pPr>
        <w:jc w:val="both"/>
        <w:ind w:firstLine="644"/>
        <w:spacing w:after="0" w:line="276" w:lineRule="auto"/>
        <w:tabs>
          <w:tab w:leader="none" w:pos="1263"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Recoupment</w:t>
      </w:r>
      <w:r>
        <w:rPr>
          <w:rFonts w:ascii="Times New Roman" w:cs="Times New Roman" w:eastAsia="Times New Roman" w:hAnsi="Times New Roman"/>
          <w:sz w:val="19"/>
          <w:szCs w:val="19"/>
          <w:color w:val="auto"/>
        </w:rPr>
        <w:t>. To the extent required by applicable law or any applicable securities exchange listing standards, any amounts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paid or payable under this Agreement (including, without limitation, amounts paid prior to the effectiveness of such law or listing standards) shall be subject to forfeiture, repayment or recapture to the extent required by such applicable law or listing standard.</w:t>
      </w:r>
    </w:p>
    <w:p>
      <w:pPr>
        <w:spacing w:after="0" w:line="189" w:lineRule="exact"/>
        <w:rPr>
          <w:rFonts w:ascii="Times New Roman" w:cs="Times New Roman" w:eastAsia="Times New Roman" w:hAnsi="Times New Roman"/>
          <w:sz w:val="19"/>
          <w:szCs w:val="19"/>
          <w:color w:val="auto"/>
        </w:rPr>
      </w:pPr>
    </w:p>
    <w:p>
      <w:pPr>
        <w:jc w:val="both"/>
        <w:ind w:firstLine="644"/>
        <w:spacing w:after="0" w:line="276" w:lineRule="auto"/>
        <w:tabs>
          <w:tab w:leader="none" w:pos="1265"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Gender and Number</w:t>
      </w:r>
      <w:r>
        <w:rPr>
          <w:rFonts w:ascii="Times New Roman" w:cs="Times New Roman" w:eastAsia="Times New Roman" w:hAnsi="Times New Roman"/>
          <w:sz w:val="19"/>
          <w:szCs w:val="19"/>
          <w:color w:val="auto"/>
        </w:rPr>
        <w:t>. Whenever used in this Agreement, a masculine pronoun is deemed to include the feminine and a neuter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pronoun is deemed to include both the masculine and the feminine, unless the context clearly indicates otherwise. The singular form, whenever used herein, shall mean or include the plural form where applicable.</w:t>
      </w:r>
    </w:p>
    <w:p>
      <w:pPr>
        <w:spacing w:after="0" w:line="189" w:lineRule="exact"/>
        <w:rPr>
          <w:rFonts w:ascii="Times New Roman" w:cs="Times New Roman" w:eastAsia="Times New Roman" w:hAnsi="Times New Roman"/>
          <w:sz w:val="19"/>
          <w:szCs w:val="19"/>
          <w:color w:val="auto"/>
        </w:rPr>
      </w:pPr>
    </w:p>
    <w:p>
      <w:pPr>
        <w:jc w:val="both"/>
        <w:ind w:firstLine="644"/>
        <w:spacing w:after="0" w:line="276" w:lineRule="auto"/>
        <w:tabs>
          <w:tab w:leader="none" w:pos="127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Severability</w:t>
      </w:r>
      <w:r>
        <w:rPr>
          <w:rFonts w:ascii="Times New Roman" w:cs="Times New Roman" w:eastAsia="Times New Roman" w:hAnsi="Times New Roman"/>
          <w:sz w:val="19"/>
          <w:szCs w:val="19"/>
          <w:color w:val="auto"/>
        </w:rPr>
        <w:t>. If any provision of this Agreement or the application thereof to any person or circumstance shall be invalid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unenforceable under any applicable law, such event shall not affect or render invalid or unenforceable any other provision of this Agreement and shall not affect the application of any provision to other persons or circumstances.</w:t>
      </w:r>
    </w:p>
    <w:p>
      <w:pPr>
        <w:spacing w:after="0" w:line="175" w:lineRule="exact"/>
        <w:rPr>
          <w:rFonts w:ascii="Times New Roman" w:cs="Times New Roman" w:eastAsia="Times New Roman" w:hAnsi="Times New Roman"/>
          <w:sz w:val="19"/>
          <w:szCs w:val="19"/>
          <w:color w:val="auto"/>
        </w:rPr>
      </w:pPr>
    </w:p>
    <w:p>
      <w:pPr>
        <w:ind w:firstLine="644"/>
        <w:spacing w:after="0" w:line="305" w:lineRule="auto"/>
        <w:tabs>
          <w:tab w:leader="none" w:pos="1263"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Binding Effect</w:t>
      </w:r>
      <w:r>
        <w:rPr>
          <w:rFonts w:ascii="Times New Roman" w:cs="Times New Roman" w:eastAsia="Times New Roman" w:hAnsi="Times New Roman"/>
          <w:sz w:val="19"/>
          <w:szCs w:val="19"/>
          <w:color w:val="auto"/>
        </w:rPr>
        <w:t>. This Agreement shall be binding upon and inure to the benefit of the parties hereto and their respective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successors, permitted assigns, heirs, executors and administrators.</w:t>
      </w:r>
    </w:p>
    <w:p>
      <w:pPr>
        <w:spacing w:after="0" w:line="161" w:lineRule="exact"/>
        <w:rPr>
          <w:rFonts w:ascii="Times New Roman" w:cs="Times New Roman" w:eastAsia="Times New Roman" w:hAnsi="Times New Roman"/>
          <w:sz w:val="19"/>
          <w:szCs w:val="19"/>
          <w:color w:val="auto"/>
        </w:rPr>
      </w:pPr>
    </w:p>
    <w:p>
      <w:pPr>
        <w:jc w:val="both"/>
        <w:ind w:firstLine="644"/>
        <w:spacing w:after="0" w:line="276" w:lineRule="auto"/>
        <w:tabs>
          <w:tab w:leader="none" w:pos="1263"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For purposes of this Agreement, notices and all other communications provided for in this Agreement shall be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b w:val="1"/>
          <w:bCs w:val="1"/>
          <w:color w:val="auto"/>
        </w:rPr>
        <w:t>To the Company</w:t>
      </w:r>
      <w:r>
        <w:rPr>
          <w:rFonts w:ascii="Times New Roman" w:cs="Times New Roman" w:eastAsia="Times New Roman" w:hAnsi="Times New Roman"/>
          <w:sz w:val="19"/>
          <w:szCs w:val="19"/>
          <w:color w:val="auto"/>
        </w:rPr>
        <w:t>:</w:t>
      </w:r>
    </w:p>
    <w:p>
      <w:pPr>
        <w:spacing w:after="0" w:line="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Integra LifeSciences Holdings Corporation</w:t>
      </w:r>
    </w:p>
    <w:p>
      <w:pPr>
        <w:spacing w:after="0" w:line="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1100 Campus Road</w:t>
      </w:r>
    </w:p>
    <w:p>
      <w:pPr>
        <w:spacing w:after="0" w:line="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Princeton, New Jersey 08540</w:t>
      </w: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Attn: Executive Vice President, Chief Legal Officer and Secretary</w:t>
      </w:r>
    </w:p>
    <w:p>
      <w:pPr>
        <w:spacing w:after="0" w:line="2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b w:val="1"/>
          <w:bCs w:val="1"/>
          <w:color w:val="auto"/>
        </w:rPr>
        <w:t>To Consultant</w:t>
      </w:r>
      <w:r>
        <w:rPr>
          <w:rFonts w:ascii="Times New Roman" w:cs="Times New Roman" w:eastAsia="Times New Roman" w:hAnsi="Times New Roman"/>
          <w:sz w:val="19"/>
          <w:szCs w:val="19"/>
          <w:color w:val="auto"/>
        </w:rPr>
        <w:t>: at Consultant’s most recent address on the records of the Company</w:t>
      </w:r>
    </w:p>
    <w:p>
      <w:pPr>
        <w:spacing w:after="0" w:line="260" w:lineRule="exact"/>
        <w:rPr>
          <w:sz w:val="20"/>
          <w:szCs w:val="20"/>
          <w:color w:val="auto"/>
        </w:rPr>
      </w:pPr>
    </w:p>
    <w:p>
      <w:pPr>
        <w:jc w:val="both"/>
        <w:ind w:firstLine="644"/>
        <w:spacing w:after="0" w:line="264" w:lineRule="auto"/>
        <w:tabs>
          <w:tab w:leader="none" w:pos="1273"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Effectiveness; Entire Agreement</w:t>
      </w:r>
      <w:r>
        <w:rPr>
          <w:rFonts w:ascii="Times New Roman" w:cs="Times New Roman" w:eastAsia="Times New Roman" w:hAnsi="Times New Roman"/>
          <w:sz w:val="19"/>
          <w:szCs w:val="19"/>
          <w:color w:val="auto"/>
        </w:rPr>
        <w:t>. This Agreement shall become effective as of the Transition Date. As of the Transition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sets forth the entire understanding of the parties and supersedes all prior agreements, arrangements and communications, whether oral or written, pertaining to the subject matter hereof, including the Employment Agreement and the Letter; provided, however, that</w:t>
      </w:r>
    </w:p>
    <w:p>
      <w:pPr>
        <w:spacing w:after="0" w:line="1" w:lineRule="exact"/>
        <w:rPr>
          <w:rFonts w:ascii="Times New Roman" w:cs="Times New Roman" w:eastAsia="Times New Roman" w:hAnsi="Times New Roman"/>
          <w:sz w:val="19"/>
          <w:szCs w:val="19"/>
          <w:color w:val="auto"/>
        </w:rPr>
      </w:pPr>
    </w:p>
    <w:p>
      <w:pPr>
        <w:jc w:val="both"/>
        <w:ind w:firstLine="6"/>
        <w:spacing w:after="0" w:line="266" w:lineRule="auto"/>
        <w:tabs>
          <w:tab w:leader="none" w:pos="26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Sections 15 of the Employment Agreement (Limitation on Payments) and 19(b) (Section 409A) are incorporated by reference into this Agreement,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xml:space="preserve"> and (ii) Section 18 of the Employment Agreement is incorporated by reference into this Agreement as set forth in Section 7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sectPr>
      </w:pPr>
    </w:p>
    <w:bookmarkStart w:id="127" w:name="page128"/>
    <w:bookmarkEnd w:id="127"/>
    <w:p>
      <w:pPr>
        <w:ind w:firstLine="644"/>
        <w:spacing w:after="0" w:line="305" w:lineRule="auto"/>
        <w:tabs>
          <w:tab w:leader="none" w:pos="127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Governing Law</w:t>
      </w:r>
      <w:r>
        <w:rPr>
          <w:rFonts w:ascii="Times New Roman" w:cs="Times New Roman" w:eastAsia="Times New Roman" w:hAnsi="Times New Roman"/>
          <w:sz w:val="19"/>
          <w:szCs w:val="19"/>
          <w:color w:val="auto"/>
        </w:rPr>
        <w:t>. The validity, interpretation, construction and performance of this Agreement shall be governed by the laws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United States where applicable and otherwise by the laws of the State of New Jersey.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SIGNATURES APPEAR ON FOLLOWING PAGE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88" w:right="339" w:bottom="1440" w:gutter="0" w:footer="0" w:header="0"/>
        </w:sectPr>
      </w:pPr>
    </w:p>
    <w:bookmarkStart w:id="128" w:name="page129"/>
    <w:bookmarkEnd w:id="128"/>
    <w:p>
      <w:pPr>
        <w:ind w:left="640"/>
        <w:spacing w:after="0"/>
        <w:rPr>
          <w:sz w:val="20"/>
          <w:szCs w:val="20"/>
          <w:color w:val="auto"/>
        </w:rPr>
      </w:pPr>
      <w:r>
        <w:rPr>
          <w:rFonts w:ascii="Times New Roman" w:cs="Times New Roman" w:eastAsia="Times New Roman" w:hAnsi="Times New Roman"/>
          <w:sz w:val="19"/>
          <w:szCs w:val="19"/>
          <w:color w:val="auto"/>
        </w:rPr>
        <w:t>IN WITNESS WHEREOF, this Agreement has been executed as of the date first above written.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 Stuart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-5715</wp:posOffset>
            </wp:positionV>
            <wp:extent cx="9886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7">
                      <a:extLst>
                        <a:ext uri="{28A0092B-C50C-407E-A947-70E740481C1C}"/>
                      </a:extLst>
                    </a:blip>
                    <a:srcRect/>
                    <a:stretch>
                      <a:fillRect/>
                    </a:stretch>
                  </pic:blipFill>
                  <pic:spPr bwMode="auto">
                    <a:xfrm>
                      <a:off x="0" y="0"/>
                      <a:ext cx="98869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Stuart Essig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Chairman of the Board of Directors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INTEGRA LIFESCIENCES CORPORATION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 Eric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-5715</wp:posOffset>
            </wp:positionV>
            <wp:extent cx="10915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8">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Eric Schwartz</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Vice President, Chief Legal Officer and Secretary</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 Jan De Witte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-5715</wp:posOffset>
            </wp:positionV>
            <wp:extent cx="10350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9">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Jan De Witte</w:t>
      </w:r>
    </w:p>
    <w:p>
      <w:pPr>
        <w:spacing w:after="0" w:line="200" w:lineRule="exact"/>
        <w:rPr>
          <w:sz w:val="20"/>
          <w:szCs w:val="20"/>
          <w:color w:val="auto"/>
        </w:rPr>
      </w:pPr>
    </w:p>
    <w:p>
      <w:pPr>
        <w:spacing w:after="0" w:line="2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9"/>
          <w:szCs w:val="19"/>
          <w:color w:val="auto"/>
        </w:rPr>
        <w:t>Attachments: General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Consulting Agreement</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391"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Appendix 1</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RELEASE</w:t>
      </w:r>
    </w:p>
    <w:p>
      <w:pPr>
        <w:spacing w:after="0" w:line="248" w:lineRule="exact"/>
        <w:rPr>
          <w:sz w:val="20"/>
          <w:szCs w:val="20"/>
          <w:color w:val="auto"/>
        </w:rPr>
      </w:pPr>
    </w:p>
    <w:p>
      <w:pPr>
        <w:jc w:val="center"/>
        <w:spacing w:after="0" w:line="30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This appendix has been omitted pursuant to Item 601(a)(5) of Regulation S-K under the Securities Act of 1933, as amended. The registrant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agrees to furnish supplementally a copy of the omitted annex to the Securities and Exchange Commission upon request.</w:t>
      </w:r>
      <w:r>
        <w:rPr>
          <w:rFonts w:ascii="Times New Roman" w:cs="Times New Roman" w:eastAsia="Times New Roman" w:hAnsi="Times New Roman"/>
          <w:sz w:val="19"/>
          <w:szCs w:val="19"/>
          <w:color w:val="auto"/>
        </w:rPr>
        <w:t>]</w:t>
      </w:r>
    </w:p>
    <w:p>
      <w:pPr>
        <w:sectPr>
          <w:pgSz w:w="11900" w:h="16838" w:orient="portrait"/>
          <w:cols w:equalWidth="0" w:num="1">
            <w:col w:w="10880"/>
          </w:cols>
          <w:pgMar w:left="500" w:top="1388" w:right="5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9"/>
          <w:szCs w:val="19"/>
          <w:b w:val="1"/>
          <w:bCs w:val="1"/>
          <w:color w:val="auto"/>
        </w:rPr>
        <w:t>IART-2024-12.31-EX-19.1(a)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53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9"/>
                <w:szCs w:val="19"/>
                <w:b w:val="1"/>
                <w:bCs w:val="1"/>
                <w:color w:val="auto"/>
              </w:rPr>
              <w:t>Distribution:</w:t>
            </w:r>
          </w:p>
        </w:tc>
        <w:tc>
          <w:tcPr>
            <w:tcW w:w="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Subject:</w:t>
            </w:r>
          </w:p>
        </w:tc>
        <w:tc>
          <w:tcPr>
            <w:tcW w:w="4460" w:type="dxa"/>
            <w:vAlign w:val="bottom"/>
            <w:tcBorders>
              <w:top w:val="single" w:sz="8" w:color="auto"/>
              <w:right w:val="single" w:sz="8" w:color="auto"/>
            </w:tcBorders>
          </w:tcPr>
          <w:p>
            <w:pPr>
              <w:spacing w:after="0"/>
              <w:rPr>
                <w:sz w:val="23"/>
                <w:szCs w:val="23"/>
                <w:color w:val="auto"/>
              </w:rPr>
            </w:pPr>
          </w:p>
        </w:tc>
      </w:tr>
      <w:tr>
        <w:trPr>
          <w:trHeight w:val="253"/>
        </w:trPr>
        <w:tc>
          <w:tcPr>
            <w:tcW w:w="5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All Company Personnel</w:t>
            </w:r>
          </w:p>
        </w:tc>
        <w:tc>
          <w:tcPr>
            <w:tcW w:w="53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Trading in Securities by Company Personnel Policy</w:t>
            </w:r>
          </w:p>
        </w:tc>
      </w:tr>
      <w:tr>
        <w:trPr>
          <w:trHeight w:val="540"/>
        </w:trPr>
        <w:tc>
          <w:tcPr>
            <w:tcW w:w="53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spacing w:after="0"/>
              <w:rPr>
                <w:sz w:val="24"/>
                <w:szCs w:val="24"/>
                <w:color w:val="auto"/>
              </w:rPr>
            </w:pPr>
          </w:p>
        </w:tc>
      </w:tr>
      <w:tr>
        <w:trPr>
          <w:trHeight w:val="249"/>
        </w:trPr>
        <w:tc>
          <w:tcPr>
            <w:tcW w:w="5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w:t>
            </w:r>
          </w:p>
        </w:tc>
        <w:tc>
          <w:tcPr>
            <w:tcW w:w="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Page</w:t>
            </w:r>
          </w:p>
        </w:tc>
        <w:tc>
          <w:tcPr>
            <w:tcW w:w="4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Section</w:t>
            </w:r>
            <w:r>
              <w:rPr>
                <w:rFonts w:ascii="Times New Roman" w:cs="Times New Roman" w:eastAsia="Times New Roman" w:hAnsi="Times New Roman"/>
                <w:sz w:val="19"/>
                <w:szCs w:val="19"/>
                <w:color w:val="auto"/>
              </w:rPr>
              <w:t>:</w:t>
            </w:r>
          </w:p>
        </w:tc>
      </w:tr>
      <w:tr>
        <w:trPr>
          <w:trHeight w:val="253"/>
        </w:trPr>
        <w:tc>
          <w:tcPr>
            <w:tcW w:w="5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September 29, 2005</w:t>
            </w:r>
          </w:p>
        </w:tc>
        <w:tc>
          <w:tcPr>
            <w:tcW w:w="880" w:type="dxa"/>
            <w:vAlign w:val="bottom"/>
            <w:tcBorders>
              <w:right w:val="single" w:sz="8" w:color="auto"/>
            </w:tcBorders>
          </w:tcPr>
          <w:p>
            <w:pPr>
              <w:spacing w:after="0"/>
              <w:rPr>
                <w:sz w:val="22"/>
                <w:szCs w:val="22"/>
                <w:color w:val="auto"/>
              </w:rPr>
            </w:pPr>
          </w:p>
        </w:tc>
        <w:tc>
          <w:tcPr>
            <w:tcW w:w="4460" w:type="dxa"/>
            <w:vAlign w:val="bottom"/>
            <w:tcBorders>
              <w:right w:val="single" w:sz="8" w:color="auto"/>
            </w:tcBorders>
          </w:tcPr>
          <w:p>
            <w:pPr>
              <w:spacing w:after="0"/>
              <w:rPr>
                <w:sz w:val="22"/>
                <w:szCs w:val="22"/>
                <w:color w:val="auto"/>
              </w:rPr>
            </w:pPr>
          </w:p>
        </w:tc>
      </w:tr>
      <w:tr>
        <w:trPr>
          <w:trHeight w:val="35"/>
        </w:trPr>
        <w:tc>
          <w:tcPr>
            <w:tcW w:w="534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4460" w:type="dxa"/>
            <w:vAlign w:val="bottom"/>
            <w:tcBorders>
              <w:bottom w:val="single" w:sz="8" w:color="auto"/>
              <w:right w:val="single" w:sz="8" w:color="auto"/>
            </w:tcBorders>
          </w:tcPr>
          <w:p>
            <w:pPr>
              <w:spacing w:after="0"/>
              <w:rPr>
                <w:sz w:val="3"/>
                <w:szCs w:val="3"/>
                <w:color w:val="auto"/>
              </w:rPr>
            </w:pPr>
          </w:p>
        </w:tc>
      </w:tr>
      <w:tr>
        <w:trPr>
          <w:trHeight w:val="249"/>
        </w:trPr>
        <w:tc>
          <w:tcPr>
            <w:tcW w:w="5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b w:val="1"/>
                <w:bCs w:val="1"/>
                <w:color w:val="auto"/>
              </w:rPr>
              <w:t>Revision Date</w:t>
            </w:r>
            <w:r>
              <w:rPr>
                <w:rFonts w:ascii="Times New Roman" w:cs="Times New Roman" w:eastAsia="Times New Roman" w:hAnsi="Times New Roman"/>
                <w:sz w:val="19"/>
                <w:szCs w:val="19"/>
                <w:color w:val="auto"/>
              </w:rPr>
              <w:t>:</w:t>
            </w:r>
          </w:p>
        </w:tc>
        <w:tc>
          <w:tcPr>
            <w:tcW w:w="53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Issued by the</w:t>
            </w:r>
            <w:r>
              <w:rPr>
                <w:rFonts w:ascii="Times New Roman" w:cs="Times New Roman" w:eastAsia="Times New Roman" w:hAnsi="Times New Roman"/>
                <w:sz w:val="19"/>
                <w:szCs w:val="19"/>
                <w:color w:val="auto"/>
              </w:rPr>
              <w:t>:</w:t>
            </w:r>
          </w:p>
        </w:tc>
      </w:tr>
      <w:tr>
        <w:trPr>
          <w:trHeight w:val="253"/>
        </w:trPr>
        <w:tc>
          <w:tcPr>
            <w:tcW w:w="5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February 20, 2025</w:t>
            </w:r>
          </w:p>
        </w:tc>
        <w:tc>
          <w:tcPr>
            <w:tcW w:w="53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Law Department</w:t>
            </w:r>
          </w:p>
        </w:tc>
      </w:tr>
      <w:tr>
        <w:trPr>
          <w:trHeight w:val="35"/>
        </w:trPr>
        <w:tc>
          <w:tcPr>
            <w:tcW w:w="534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60" w:type="dxa"/>
            <w:vAlign w:val="bottom"/>
            <w:tcBorders>
              <w:bottom w:val="single" w:sz="8" w:color="auto"/>
              <w:right w:val="single" w:sz="8" w:color="auto"/>
            </w:tcBorders>
          </w:tcPr>
          <w:p>
            <w:pPr>
              <w:spacing w:after="0"/>
              <w:rPr>
                <w:sz w:val="3"/>
                <w:szCs w:val="3"/>
                <w:color w:val="auto"/>
              </w:rPr>
            </w:pPr>
          </w:p>
        </w:tc>
      </w:tr>
    </w:tbl>
    <w:p>
      <w:pPr>
        <w:spacing w:after="0" w:line="318"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9"/>
          <w:szCs w:val="19"/>
          <w:b w:val="1"/>
          <w:bCs w:val="1"/>
          <w:color w:val="auto"/>
        </w:rPr>
        <w:t>Note</w:t>
      </w:r>
      <w:r>
        <w:rPr>
          <w:rFonts w:ascii="Times New Roman" w:cs="Times New Roman" w:eastAsia="Times New Roman" w:hAnsi="Times New Roman"/>
          <w:sz w:val="19"/>
          <w:szCs w:val="19"/>
          <w:color w:val="auto"/>
        </w:rPr>
        <w:t>: This policy is supplemented by a shorter FAQ which is also available on the Company’s internal policy portal. We encourage you to read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FAQ in conjunction with the full policy, as the FAQ addresses common questions and is designed to communicate the essentials of this policy.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009845"/>
        </w:rPr>
        <w:t>Intent</w:t>
      </w:r>
    </w:p>
    <w:p>
      <w:pPr>
        <w:spacing w:after="0" w:line="39" w:lineRule="exact"/>
        <w:rPr>
          <w:sz w:val="20"/>
          <w:szCs w:val="20"/>
          <w:color w:val="auto"/>
        </w:rPr>
      </w:pPr>
    </w:p>
    <w:p>
      <w:pPr>
        <w:jc w:val="both"/>
        <w:ind w:right="660"/>
        <w:spacing w:after="0" w:line="279" w:lineRule="auto"/>
        <w:rPr>
          <w:sz w:val="20"/>
          <w:szCs w:val="20"/>
          <w:color w:val="auto"/>
        </w:rPr>
      </w:pPr>
      <w:r>
        <w:rPr>
          <w:rFonts w:ascii="Times New Roman" w:cs="Times New Roman" w:eastAsia="Times New Roman" w:hAnsi="Times New Roman"/>
          <w:sz w:val="19"/>
          <w:szCs w:val="19"/>
          <w:color w:val="auto"/>
        </w:rPr>
        <w:t>This Trading in Securities by Company Personnel Policy (the “Policy”) of Integra LifeSciences Holdings Corporation (the “Company”) provides guidelines with respect to transactions in the securities of the Company and the handling of confidential information about the Company and the companies with which the Company engages in transactions or does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009845"/>
        </w:rPr>
        <w:t>Scope</w:t>
      </w:r>
    </w:p>
    <w:p>
      <w:pPr>
        <w:spacing w:after="0" w:line="3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9"/>
          <w:szCs w:val="19"/>
          <w:color w:val="auto"/>
        </w:rPr>
        <w:t>This Policy applies to all members of the Company’s Board of Directors (the “Board”), executive officers and employees, including employees of subsidiaries and temporary employees. The restrictions described in this Policy also apply to your Related Parties (as defined below). Members of the Board, executive officers and other employees are expected to be responsible for compliance with this policy by their Related Parties.</w:t>
      </w:r>
    </w:p>
    <w:p>
      <w:pPr>
        <w:spacing w:after="0" w:line="200" w:lineRule="exact"/>
        <w:rPr>
          <w:sz w:val="20"/>
          <w:szCs w:val="20"/>
          <w:color w:val="auto"/>
        </w:rPr>
      </w:pPr>
    </w:p>
    <w:p>
      <w:pPr>
        <w:spacing w:after="0" w:line="232"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9"/>
          <w:szCs w:val="19"/>
          <w:color w:val="auto"/>
        </w:rPr>
        <w:t>The restrictions set forth in this Policy will continue to apply even following the conclusion of an individual’s relationship with the Company for so long as such individual is in possession of material nonpublic information about the Company.</w:t>
      </w:r>
    </w:p>
    <w:p>
      <w:pPr>
        <w:spacing w:after="0"/>
        <w:rPr>
          <w:sz w:val="20"/>
          <w:szCs w:val="20"/>
          <w:color w:val="auto"/>
        </w:rPr>
      </w:pPr>
      <w:r>
        <w:rPr>
          <w:rFonts w:ascii="Times New Roman" w:cs="Times New Roman" w:eastAsia="Times New Roman" w:hAnsi="Times New Roman"/>
          <w:sz w:val="25"/>
          <w:szCs w:val="25"/>
          <w:b w:val="1"/>
          <w:bCs w:val="1"/>
          <w:color w:val="009845"/>
        </w:rPr>
        <w:t>Responsibility</w:t>
      </w:r>
    </w:p>
    <w:p>
      <w:pPr>
        <w:spacing w:after="0" w:line="2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9"/>
          <w:szCs w:val="19"/>
          <w:color w:val="auto"/>
        </w:rPr>
        <w:t>All individuals or entities subject to this Policy applies should carefully read this Policy and follow its directives at all times. Failure to adhere to this Policy may result in immediate disciplinary measures being taken including, in appropriate cases, termination.</w:t>
      </w:r>
    </w:p>
    <w:p>
      <w:pPr>
        <w:spacing w:after="0" w:line="193"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9"/>
          <w:szCs w:val="19"/>
          <w:color w:val="auto"/>
        </w:rPr>
        <w:t>For questions about this Policy or its application to a particular transaction, individuals or entities should contact Eric Schwartz or Lesha Shinn.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009845"/>
        </w:rPr>
        <w:t>Policy</w:t>
      </w:r>
    </w:p>
    <w:p>
      <w:pPr>
        <w:spacing w:after="0" w:line="39" w:lineRule="exact"/>
        <w:rPr>
          <w:sz w:val="20"/>
          <w:szCs w:val="20"/>
          <w:color w:val="auto"/>
        </w:rPr>
      </w:pPr>
    </w:p>
    <w:p>
      <w:pPr>
        <w:ind w:left="640" w:hanging="474"/>
        <w:spacing w:after="0"/>
        <w:tabs>
          <w:tab w:leader="none" w:pos="640" w:val="left"/>
        </w:tabs>
        <w:numPr>
          <w:ilvl w:val="0"/>
          <w:numId w:val="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Trading or Causing Trading While in Possession of Material Nonpublic Information</w:t>
      </w:r>
      <w:r>
        <w:rPr>
          <w:rFonts w:ascii="Times New Roman" w:cs="Times New Roman" w:eastAsia="Times New Roman" w:hAnsi="Times New Roman"/>
          <w:sz w:val="19"/>
          <w:szCs w:val="19"/>
          <w:color w:val="auto"/>
        </w:rPr>
        <w:t>.</w:t>
      </w:r>
    </w:p>
    <w:p>
      <w:pPr>
        <w:spacing w:after="0" w:line="12" w:lineRule="exact"/>
        <w:rPr>
          <w:rFonts w:ascii="Times New Roman" w:cs="Times New Roman" w:eastAsia="Times New Roman" w:hAnsi="Times New Roman"/>
          <w:sz w:val="19"/>
          <w:szCs w:val="19"/>
          <w:b w:val="1"/>
          <w:bCs w:val="1"/>
          <w:color w:val="auto"/>
        </w:rPr>
      </w:pPr>
    </w:p>
    <w:p>
      <w:pPr>
        <w:ind w:left="940" w:right="280" w:hanging="318"/>
        <w:spacing w:after="0" w:line="276" w:lineRule="auto"/>
        <w:tabs>
          <w:tab w:leader="none" w:pos="930"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individual or entity subject to this Policy may purchase or sell, or offer to purchase or sell, any Company security, whether or not issued by the Company, while in possession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LifeSciences Holdings Corporation Trading in Securities by Company Personnel | 1</w:t>
      </w:r>
    </w:p>
    <w:p>
      <w:pPr>
        <w:sectPr>
          <w:pgSz w:w="11900" w:h="16838" w:orient="portrait"/>
          <w:cols w:equalWidth="0" w:num="1">
            <w:col w:w="11240"/>
          </w:cols>
          <w:pgMar w:left="320" w:top="114" w:right="339" w:bottom="1440" w:gutter="0" w:footer="0" w:header="0"/>
        </w:sectPr>
      </w:pPr>
    </w:p>
    <w:bookmarkStart w:id="131" w:name="page132"/>
    <w:bookmarkEnd w:id="131"/>
    <w:p>
      <w:pPr>
        <w:ind w:left="940" w:right="20"/>
        <w:spacing w:after="0" w:line="301" w:lineRule="auto"/>
        <w:rPr>
          <w:sz w:val="20"/>
          <w:szCs w:val="20"/>
          <w:color w:val="auto"/>
        </w:rPr>
      </w:pPr>
      <w:r>
        <w:rPr>
          <w:rFonts w:ascii="Times New Roman" w:cs="Times New Roman" w:eastAsia="Times New Roman" w:hAnsi="Times New Roman"/>
          <w:sz w:val="19"/>
          <w:szCs w:val="19"/>
          <w:color w:val="auto"/>
        </w:rPr>
        <w:t>material nonpublic information about the Company. The terms “material” and “nonpublic” are defined in the section of this Policy entitled “Definitions” below.</w:t>
      </w:r>
    </w:p>
    <w:p>
      <w:pPr>
        <w:spacing w:after="0" w:line="156" w:lineRule="exact"/>
        <w:rPr>
          <w:sz w:val="20"/>
          <w:szCs w:val="20"/>
          <w:color w:val="auto"/>
        </w:rPr>
      </w:pPr>
    </w:p>
    <w:p>
      <w:pPr>
        <w:jc w:val="both"/>
        <w:ind w:left="940" w:hanging="318"/>
        <w:spacing w:after="0" w:line="270" w:lineRule="auto"/>
        <w:tabs>
          <w:tab w:leader="none" w:pos="92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individual or entity subject to this Policy who knows of any material nonpublic information about the Company may communicate that information to tip (as defined below) any other person, including family members and friends, or otherwise disclose such information without the Company’s authorization. This prohibition applies whether or not you derive, or even intend to derive, any profit or other benefit from another’s actions.</w:t>
      </w:r>
    </w:p>
    <w:p>
      <w:pPr>
        <w:spacing w:after="0" w:line="198" w:lineRule="exact"/>
        <w:rPr>
          <w:rFonts w:ascii="Times New Roman" w:cs="Times New Roman" w:eastAsia="Times New Roman" w:hAnsi="Times New Roman"/>
          <w:sz w:val="19"/>
          <w:szCs w:val="19"/>
          <w:color w:val="auto"/>
        </w:rPr>
      </w:pPr>
    </w:p>
    <w:p>
      <w:pPr>
        <w:jc w:val="both"/>
        <w:ind w:left="940" w:hanging="318"/>
        <w:spacing w:after="0" w:line="264" w:lineRule="auto"/>
        <w:tabs>
          <w:tab w:leader="none" w:pos="93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individual or entity subject to this Policy may purchase or sell any security of any other publicly traded company while in possession of material nonpublic information regarding such other publicly traded company which was obtained in the course of such individual’s or entity’s involvement with the Company. No individual or entity subject to this Policy who knows of any such material nonpublic information may communicate that information to, or tip, any other person, including family members and friends, or otherwise disclose such information without the Company’s authorization.</w:t>
      </w:r>
    </w:p>
    <w:p>
      <w:pPr>
        <w:spacing w:after="0" w:line="206" w:lineRule="exact"/>
        <w:rPr>
          <w:rFonts w:ascii="Times New Roman" w:cs="Times New Roman" w:eastAsia="Times New Roman" w:hAnsi="Times New Roman"/>
          <w:sz w:val="19"/>
          <w:szCs w:val="19"/>
          <w:color w:val="auto"/>
        </w:rPr>
      </w:pPr>
    </w:p>
    <w:p>
      <w:pPr>
        <w:jc w:val="both"/>
        <w:ind w:left="940" w:right="20" w:hanging="318"/>
        <w:spacing w:after="0" w:line="265" w:lineRule="auto"/>
        <w:tabs>
          <w:tab w:leader="none" w:pos="92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compliance purposes, you should never trade, tip or recommend securities (or otherwise cause the purchase or sale of securities) while in possession of information that you have reason to believe is material and nonpublic about the Company (or was otherwise obtained in the course of your involvement with the Company) unless you first consult with, and obtain the advance approval of, the Law Department (pursuant to the procedures set forth below).</w:t>
      </w:r>
    </w:p>
    <w:p>
      <w:pPr>
        <w:spacing w:after="0" w:line="203" w:lineRule="exact"/>
        <w:rPr>
          <w:rFonts w:ascii="Times New Roman" w:cs="Times New Roman" w:eastAsia="Times New Roman" w:hAnsi="Times New Roman"/>
          <w:sz w:val="19"/>
          <w:szCs w:val="19"/>
          <w:color w:val="auto"/>
        </w:rPr>
      </w:pPr>
    </w:p>
    <w:p>
      <w:pPr>
        <w:ind w:left="940" w:right="20" w:hanging="318"/>
        <w:spacing w:after="0" w:line="301" w:lineRule="auto"/>
        <w:tabs>
          <w:tab w:leader="none" w:pos="93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Covered Persons (as defined below) must “pre-clear” all trading in securities of the Company in accordance with the procedures set forth below and as described in greater detail in the Company’s Trading Window Policy.</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u w:val="single" w:color="auto"/>
          <w:color w:val="auto"/>
        </w:rPr>
        <w:t>How Transactions will be Reviewed</w:t>
      </w:r>
      <w:r>
        <w:rPr>
          <w:rFonts w:ascii="Times New Roman" w:cs="Times New Roman" w:eastAsia="Times New Roman" w:hAnsi="Times New Roman"/>
          <w:sz w:val="19"/>
          <w:szCs w:val="19"/>
          <w:color w:val="auto"/>
        </w:rPr>
        <w:t xml:space="preserve">. Remember, if your securities transactions or sharing of information becomes the subject of scrutiny, such actions will be viewed after-the-fact and with the benefit of hindsight. As a result, before engaging in any transaction or sharing any information, you should carefully consider how regulators and others might view your actions in hindsight. </w:t>
      </w:r>
      <w:r>
        <w:rPr>
          <w:rFonts w:ascii="Times New Roman" w:cs="Times New Roman" w:eastAsia="Times New Roman" w:hAnsi="Times New Roman"/>
          <w:sz w:val="19"/>
          <w:szCs w:val="19"/>
          <w:b w:val="1"/>
          <w:bCs w:val="1"/>
          <w:color w:val="auto"/>
        </w:rPr>
        <w:t>Unless you are a Covered</w:t>
      </w:r>
    </w:p>
    <w:p>
      <w:pPr>
        <w:jc w:val="both"/>
        <w:spacing w:after="0" w:line="252" w:lineRule="auto"/>
        <w:rPr>
          <w:sz w:val="20"/>
          <w:szCs w:val="20"/>
          <w:color w:val="auto"/>
        </w:rPr>
      </w:pPr>
      <w:r>
        <w:rPr>
          <w:rFonts w:ascii="Times New Roman" w:cs="Times New Roman" w:eastAsia="Times New Roman" w:hAnsi="Times New Roman"/>
          <w:sz w:val="19"/>
          <w:szCs w:val="19"/>
          <w:b w:val="1"/>
          <w:bCs w:val="1"/>
          <w:color w:val="auto"/>
        </w:rPr>
        <w:t>Person, you are not, in general, required to request permission to trade Integra’s stock. If you believe, however, that there is any possibility that information in your possession is material nonpublic information, please consult with Eric Schwartz or Lesha Shinn before you buy or sell. Covered Persons must pre-clear all transactions in the Company’s securities in accordance with the procedures set forth in the Company’s Trading Window Policy.</w:t>
      </w:r>
    </w:p>
    <w:p>
      <w:pPr>
        <w:spacing w:after="0" w:line="199" w:lineRule="exact"/>
        <w:rPr>
          <w:sz w:val="20"/>
          <w:szCs w:val="20"/>
          <w:color w:val="auto"/>
        </w:rPr>
      </w:pPr>
    </w:p>
    <w:p>
      <w:pPr>
        <w:ind w:left="640" w:hanging="395"/>
        <w:spacing w:after="0"/>
        <w:tabs>
          <w:tab w:leader="none" w:pos="640"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For purposes of this Policy, the following terms shall have the meanings set forth below:</w:t>
      </w:r>
    </w:p>
    <w:p>
      <w:pPr>
        <w:spacing w:after="0" w:line="261" w:lineRule="exact"/>
        <w:rPr>
          <w:rFonts w:ascii="Times New Roman" w:cs="Times New Roman" w:eastAsia="Times New Roman" w:hAnsi="Times New Roman"/>
          <w:sz w:val="19"/>
          <w:szCs w:val="19"/>
          <w:b w:val="1"/>
          <w:bCs w:val="1"/>
          <w:color w:val="auto"/>
        </w:rPr>
      </w:pPr>
    </w:p>
    <w:p>
      <w:pPr>
        <w:jc w:val="both"/>
        <w:ind w:left="940" w:hanging="318"/>
        <w:spacing w:after="0" w:line="275" w:lineRule="auto"/>
        <w:tabs>
          <w:tab w:leader="none" w:pos="93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Covered Persons</w:t>
      </w:r>
      <w:r>
        <w:rPr>
          <w:rFonts w:ascii="Times New Roman" w:cs="Times New Roman" w:eastAsia="Times New Roman" w:hAnsi="Times New Roman"/>
          <w:sz w:val="19"/>
          <w:szCs w:val="19"/>
          <w:color w:val="auto"/>
        </w:rPr>
        <w:t>. Covered Persons means all the members of the Board, executive officers of the Company and other members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management and certain employees designated by the Company from time to time as “Covered Persons” because of their position, responsibilities or their actual or potential access to material information.</w:t>
      </w:r>
    </w:p>
    <w:p>
      <w:pPr>
        <w:spacing w:after="0" w:line="191" w:lineRule="exact"/>
        <w:rPr>
          <w:rFonts w:ascii="Times New Roman" w:cs="Times New Roman" w:eastAsia="Times New Roman" w:hAnsi="Times New Roman"/>
          <w:sz w:val="19"/>
          <w:szCs w:val="19"/>
          <w:color w:val="auto"/>
        </w:rPr>
      </w:pPr>
    </w:p>
    <w:p>
      <w:pPr>
        <w:ind w:left="940" w:hanging="318"/>
        <w:spacing w:after="0" w:line="288" w:lineRule="auto"/>
        <w:tabs>
          <w:tab w:leader="none" w:pos="928"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Material</w:t>
      </w:r>
      <w:r>
        <w:rPr>
          <w:rFonts w:ascii="Times New Roman" w:cs="Times New Roman" w:eastAsia="Times New Roman" w:hAnsi="Times New Roman"/>
          <w:sz w:val="19"/>
          <w:szCs w:val="19"/>
          <w:color w:val="auto"/>
        </w:rPr>
        <w:t>. The key to determining whether information about a public company is “material” is whether the information would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 likely to affect the market price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LifeSciences Holdings Corporation Trading in Securities by Company Personnel | 2</w:t>
      </w:r>
    </w:p>
    <w:p>
      <w:pPr>
        <w:sectPr>
          <w:pgSz w:w="11900" w:h="16838" w:orient="portrait"/>
          <w:cols w:equalWidth="0" w:num="1">
            <w:col w:w="10960"/>
          </w:cols>
          <w:pgMar w:left="320" w:top="1391" w:right="619" w:bottom="1440" w:gutter="0" w:footer="0" w:header="0"/>
        </w:sectPr>
      </w:pPr>
    </w:p>
    <w:bookmarkStart w:id="132" w:name="page133"/>
    <w:bookmarkEnd w:id="132"/>
    <w:p>
      <w:pPr>
        <w:ind w:left="940" w:right="20"/>
        <w:spacing w:after="0" w:line="301" w:lineRule="auto"/>
        <w:rPr>
          <w:sz w:val="20"/>
          <w:szCs w:val="20"/>
          <w:color w:val="auto"/>
        </w:rPr>
      </w:pPr>
      <w:r>
        <w:rPr>
          <w:rFonts w:ascii="Times New Roman" w:cs="Times New Roman" w:eastAsia="Times New Roman" w:hAnsi="Times New Roman"/>
          <w:sz w:val="19"/>
          <w:szCs w:val="19"/>
          <w:color w:val="auto"/>
        </w:rPr>
        <w:t>public company’s securities or if it is otherwise information a reasonable investor would want to know before making an investment decision in such public company.</w:t>
      </w:r>
    </w:p>
    <w:p>
      <w:pPr>
        <w:spacing w:after="0" w:line="156" w:lineRule="exact"/>
        <w:rPr>
          <w:sz w:val="20"/>
          <w:szCs w:val="20"/>
          <w:color w:val="auto"/>
        </w:rPr>
      </w:pPr>
    </w:p>
    <w:p>
      <w:pPr>
        <w:ind w:left="960" w:right="20"/>
        <w:spacing w:after="0" w:line="270" w:lineRule="auto"/>
        <w:rPr>
          <w:sz w:val="20"/>
          <w:szCs w:val="20"/>
          <w:color w:val="auto"/>
        </w:rPr>
      </w:pPr>
      <w:r>
        <w:rPr>
          <w:rFonts w:ascii="Times New Roman" w:cs="Times New Roman" w:eastAsia="Times New Roman" w:hAnsi="Times New Roman"/>
          <w:sz w:val="19"/>
          <w:szCs w:val="19"/>
          <w:color w:val="auto"/>
        </w:rPr>
        <w:t>Although by no means an all-inclusive list, information about the following types of information or matters may be considered to be material depending on the specific facts and circumstances associated with each:</w:t>
      </w:r>
    </w:p>
    <w:p>
      <w:pPr>
        <w:spacing w:after="0" w:line="1" w:lineRule="exact"/>
        <w:rPr>
          <w:sz w:val="20"/>
          <w:szCs w:val="20"/>
          <w:color w:val="auto"/>
        </w:rPr>
      </w:pPr>
    </w:p>
    <w:p>
      <w:pPr>
        <w:ind w:left="1920" w:right="20" w:hanging="240"/>
        <w:spacing w:after="0" w:line="255" w:lineRule="auto"/>
        <w:tabs>
          <w:tab w:leader="none" w:pos="190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results, including sales results, and expectations, including the fact that actual results are inconsistent with consensus expectations;</w:t>
      </w:r>
    </w:p>
    <w:p>
      <w:pPr>
        <w:ind w:left="1900" w:hanging="220"/>
        <w:spacing w:after="0"/>
        <w:tabs>
          <w:tab w:leader="none" w:pos="1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management or the Board;</w:t>
      </w:r>
    </w:p>
    <w:p>
      <w:pPr>
        <w:spacing w:after="0" w:line="20" w:lineRule="exact"/>
        <w:rPr>
          <w:rFonts w:ascii="Times New Roman" w:cs="Times New Roman" w:eastAsia="Times New Roman" w:hAnsi="Times New Roman"/>
          <w:sz w:val="19"/>
          <w:szCs w:val="19"/>
          <w:color w:val="auto"/>
        </w:rPr>
      </w:pPr>
    </w:p>
    <w:p>
      <w:pPr>
        <w:ind w:left="1920" w:right="20" w:hanging="240"/>
        <w:spacing w:after="0" w:line="255" w:lineRule="auto"/>
        <w:tabs>
          <w:tab w:leader="none" w:pos="190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FDA actions with respect to the quality systems and operations at our manufacturing sites, including the issuance of significant observations on Form 483, warning letters or other enforcement actions;</w:t>
      </w:r>
    </w:p>
    <w:p>
      <w:pPr>
        <w:ind w:left="1900" w:hanging="220"/>
        <w:spacing w:after="0"/>
        <w:tabs>
          <w:tab w:leader="none" w:pos="1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FDA actions with respect to products or clinical trials;</w:t>
      </w:r>
    </w:p>
    <w:p>
      <w:pPr>
        <w:spacing w:after="0" w:line="20" w:lineRule="exact"/>
        <w:rPr>
          <w:rFonts w:ascii="Times New Roman" w:cs="Times New Roman" w:eastAsia="Times New Roman" w:hAnsi="Times New Roman"/>
          <w:sz w:val="19"/>
          <w:szCs w:val="19"/>
          <w:color w:val="auto"/>
        </w:rPr>
      </w:pPr>
    </w:p>
    <w:p>
      <w:pPr>
        <w:ind w:left="1900" w:hanging="220"/>
        <w:spacing w:after="0"/>
        <w:tabs>
          <w:tab w:leader="none" w:pos="1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results of preclinical tests or clinical trials;</w:t>
      </w:r>
    </w:p>
    <w:p>
      <w:pPr>
        <w:spacing w:after="0" w:line="14" w:lineRule="exact"/>
        <w:rPr>
          <w:rFonts w:ascii="Times New Roman" w:cs="Times New Roman" w:eastAsia="Times New Roman" w:hAnsi="Times New Roman"/>
          <w:sz w:val="19"/>
          <w:szCs w:val="19"/>
          <w:color w:val="auto"/>
        </w:rPr>
      </w:pPr>
    </w:p>
    <w:p>
      <w:pPr>
        <w:ind w:left="1900" w:hanging="220"/>
        <w:spacing w:after="0"/>
        <w:tabs>
          <w:tab w:leader="none" w:pos="1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products or discoveries;</w:t>
      </w:r>
    </w:p>
    <w:p>
      <w:pPr>
        <w:spacing w:after="0" w:line="12" w:lineRule="exact"/>
        <w:rPr>
          <w:rFonts w:ascii="Times New Roman" w:cs="Times New Roman" w:eastAsia="Times New Roman" w:hAnsi="Times New Roman"/>
          <w:sz w:val="19"/>
          <w:szCs w:val="19"/>
          <w:color w:val="auto"/>
        </w:rPr>
      </w:pPr>
    </w:p>
    <w:p>
      <w:pPr>
        <w:ind w:left="1900" w:hanging="220"/>
        <w:spacing w:after="0"/>
        <w:tabs>
          <w:tab w:leader="none" w:pos="1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achieving, or failing to achieve, patent milestones;</w:t>
      </w:r>
    </w:p>
    <w:p>
      <w:pPr>
        <w:spacing w:after="0" w:line="20" w:lineRule="exact"/>
        <w:rPr>
          <w:rFonts w:ascii="Times New Roman" w:cs="Times New Roman" w:eastAsia="Times New Roman" w:hAnsi="Times New Roman"/>
          <w:sz w:val="19"/>
          <w:szCs w:val="19"/>
          <w:color w:val="auto"/>
        </w:rPr>
      </w:pPr>
    </w:p>
    <w:p>
      <w:pPr>
        <w:ind w:left="1920" w:right="20" w:hanging="240"/>
        <w:spacing w:after="0" w:line="255" w:lineRule="auto"/>
        <w:tabs>
          <w:tab w:leader="none" w:pos="190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potential litigation or governmental investigations concerning the Company or any of its officers or directors;</w:t>
      </w:r>
    </w:p>
    <w:p>
      <w:pPr>
        <w:spacing w:after="0" w:line="232" w:lineRule="exact"/>
        <w:rPr>
          <w:rFonts w:ascii="Times New Roman" w:cs="Times New Roman" w:eastAsia="Times New Roman" w:hAnsi="Times New Roman"/>
          <w:sz w:val="19"/>
          <w:szCs w:val="19"/>
          <w:color w:val="auto"/>
        </w:rPr>
      </w:pPr>
    </w:p>
    <w:p>
      <w:pPr>
        <w:ind w:left="1900" w:hanging="220"/>
        <w:spacing w:after="0"/>
        <w:tabs>
          <w:tab w:leader="none" w:pos="1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write-downs in assets or increases in reserves;</w:t>
      </w:r>
    </w:p>
    <w:p>
      <w:pPr>
        <w:spacing w:after="0" w:line="20" w:lineRule="exact"/>
        <w:rPr>
          <w:rFonts w:ascii="Times New Roman" w:cs="Times New Roman" w:eastAsia="Times New Roman" w:hAnsi="Times New Roman"/>
          <w:sz w:val="19"/>
          <w:szCs w:val="19"/>
          <w:color w:val="auto"/>
        </w:rPr>
      </w:pPr>
    </w:p>
    <w:p>
      <w:pPr>
        <w:ind w:left="1900" w:hanging="220"/>
        <w:spacing w:after="0"/>
        <w:tabs>
          <w:tab w:leader="none" w:pos="1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contract awards or cancellations;</w:t>
      </w:r>
    </w:p>
    <w:p>
      <w:pPr>
        <w:spacing w:after="0" w:line="20" w:lineRule="exact"/>
        <w:rPr>
          <w:rFonts w:ascii="Times New Roman" w:cs="Times New Roman" w:eastAsia="Times New Roman" w:hAnsi="Times New Roman"/>
          <w:sz w:val="19"/>
          <w:szCs w:val="19"/>
          <w:color w:val="auto"/>
        </w:rPr>
      </w:pPr>
    </w:p>
    <w:p>
      <w:pPr>
        <w:ind w:left="1900" w:hanging="220"/>
        <w:spacing w:after="0"/>
        <w:tabs>
          <w:tab w:leader="none" w:pos="1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gain or loss of a substantial customer or supplier;</w:t>
      </w:r>
    </w:p>
    <w:p>
      <w:pPr>
        <w:spacing w:after="0" w:line="14" w:lineRule="exact"/>
        <w:rPr>
          <w:rFonts w:ascii="Times New Roman" w:cs="Times New Roman" w:eastAsia="Times New Roman" w:hAnsi="Times New Roman"/>
          <w:sz w:val="19"/>
          <w:szCs w:val="19"/>
          <w:color w:val="auto"/>
        </w:rPr>
      </w:pPr>
    </w:p>
    <w:p>
      <w:pPr>
        <w:ind w:left="1920" w:right="20" w:hanging="240"/>
        <w:spacing w:after="0" w:line="258" w:lineRule="auto"/>
        <w:tabs>
          <w:tab w:leader="none" w:pos="190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possible mergers, joint ventures, tender offers, acquisitions or dispositions (including proposals, plans or agreements, even in preliminary in nature, regarding any of the foregoing);</w:t>
      </w:r>
    </w:p>
    <w:p>
      <w:pPr>
        <w:ind w:left="1920" w:hanging="240"/>
        <w:spacing w:after="0" w:line="261" w:lineRule="auto"/>
        <w:tabs>
          <w:tab w:leader="none" w:pos="190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company’s accountants or notification that the company may no longer rely on the auditor’s audit report;</w:t>
      </w:r>
    </w:p>
    <w:p>
      <w:pPr>
        <w:spacing w:after="0" w:line="1" w:lineRule="exact"/>
        <w:rPr>
          <w:rFonts w:ascii="Times New Roman" w:cs="Times New Roman" w:eastAsia="Times New Roman" w:hAnsi="Times New Roman"/>
          <w:sz w:val="19"/>
          <w:szCs w:val="19"/>
          <w:color w:val="auto"/>
        </w:rPr>
      </w:pPr>
    </w:p>
    <w:p>
      <w:pPr>
        <w:ind w:left="1900" w:hanging="220"/>
        <w:spacing w:after="0"/>
        <w:tabs>
          <w:tab w:leader="none" w:pos="1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major changes in accounting methods or policies;</w:t>
      </w:r>
    </w:p>
    <w:p>
      <w:pPr>
        <w:spacing w:after="0" w:line="34" w:lineRule="exact"/>
        <w:rPr>
          <w:rFonts w:ascii="Times New Roman" w:cs="Times New Roman" w:eastAsia="Times New Roman" w:hAnsi="Times New Roman"/>
          <w:sz w:val="19"/>
          <w:szCs w:val="19"/>
          <w:color w:val="auto"/>
        </w:rPr>
      </w:pPr>
    </w:p>
    <w:p>
      <w:pPr>
        <w:ind w:left="1920" w:right="20" w:hanging="240"/>
        <w:spacing w:after="0" w:line="269" w:lineRule="auto"/>
        <w:tabs>
          <w:tab w:leader="none" w:pos="190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bankruptcy or financial liquidity problems of the Company, any subsidiary or a company with which the Company does business;</w:t>
      </w:r>
    </w:p>
    <w:p>
      <w:pPr>
        <w:spacing w:after="0" w:line="1" w:lineRule="exact"/>
        <w:rPr>
          <w:rFonts w:ascii="Times New Roman" w:cs="Times New Roman" w:eastAsia="Times New Roman" w:hAnsi="Times New Roman"/>
          <w:sz w:val="19"/>
          <w:szCs w:val="19"/>
          <w:color w:val="auto"/>
        </w:rPr>
      </w:pPr>
    </w:p>
    <w:p>
      <w:pPr>
        <w:ind w:left="1900" w:hanging="220"/>
        <w:spacing w:after="0"/>
        <w:tabs>
          <w:tab w:leader="none" w:pos="190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cybersecurity risks and incidents, including vulnerabilities and breaches; and</w:t>
      </w:r>
    </w:p>
    <w:p>
      <w:pPr>
        <w:spacing w:after="0" w:line="14" w:lineRule="exact"/>
        <w:rPr>
          <w:rFonts w:ascii="Times New Roman" w:cs="Times New Roman" w:eastAsia="Times New Roman" w:hAnsi="Times New Roman"/>
          <w:sz w:val="19"/>
          <w:szCs w:val="19"/>
          <w:color w:val="auto"/>
        </w:rPr>
      </w:pPr>
    </w:p>
    <w:p>
      <w:pPr>
        <w:ind w:left="1920" w:right="20" w:hanging="240"/>
        <w:spacing w:after="0" w:line="258" w:lineRule="auto"/>
        <w:tabs>
          <w:tab w:leader="none" w:pos="190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events regarding our securities, such as defaults, changes in dividend policies, a declaration of a stock split or pending public or private sales of debt or equity securities.</w:t>
      </w:r>
    </w:p>
    <w:p>
      <w:pPr>
        <w:spacing w:after="0" w:line="1" w:lineRule="exact"/>
        <w:rPr>
          <w:sz w:val="20"/>
          <w:szCs w:val="20"/>
          <w:color w:val="auto"/>
        </w:rPr>
      </w:pPr>
    </w:p>
    <w:p>
      <w:pPr>
        <w:jc w:val="both"/>
        <w:ind w:left="960"/>
        <w:spacing w:after="0" w:line="261" w:lineRule="auto"/>
        <w:rPr>
          <w:sz w:val="20"/>
          <w:szCs w:val="20"/>
          <w:color w:val="auto"/>
        </w:rPr>
      </w:pPr>
      <w:r>
        <w:rPr>
          <w:rFonts w:ascii="Times New Roman" w:cs="Times New Roman" w:eastAsia="Times New Roman" w:hAnsi="Times New Roman"/>
          <w:sz w:val="19"/>
          <w:szCs w:val="19"/>
          <w:color w:val="auto"/>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w:t>
      </w:r>
    </w:p>
    <w:p>
      <w:pPr>
        <w:spacing w:after="0" w:line="190" w:lineRule="exact"/>
        <w:rPr>
          <w:sz w:val="20"/>
          <w:szCs w:val="20"/>
          <w:color w:val="auto"/>
        </w:rPr>
      </w:pPr>
    </w:p>
    <w:p>
      <w:pPr>
        <w:jc w:val="both"/>
        <w:ind w:left="960" w:right="20"/>
        <w:spacing w:after="0" w:line="305" w:lineRule="auto"/>
        <w:rPr>
          <w:sz w:val="20"/>
          <w:szCs w:val="20"/>
          <w:color w:val="auto"/>
        </w:rPr>
      </w:pPr>
      <w:r>
        <w:rPr>
          <w:rFonts w:ascii="Times New Roman" w:cs="Times New Roman" w:eastAsia="Times New Roman" w:hAnsi="Times New Roman"/>
          <w:sz w:val="19"/>
          <w:szCs w:val="19"/>
          <w:b w:val="1"/>
          <w:bCs w:val="1"/>
          <w:color w:val="auto"/>
        </w:rPr>
        <w:t>If you are unsure whether information is material, you should either consult Eric Schwartz or Lesha Shinn or assume that the information is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LifeSciences Holdings Corporation Trading in Securities by Company Personnel | 3</w:t>
      </w:r>
    </w:p>
    <w:p>
      <w:pPr>
        <w:sectPr>
          <w:pgSz w:w="11900" w:h="16838" w:orient="portrait"/>
          <w:cols w:equalWidth="0" w:num="1">
            <w:col w:w="10960"/>
          </w:cols>
          <w:pgMar w:left="320" w:top="1392" w:right="619" w:bottom="1440" w:gutter="0" w:footer="0" w:header="0"/>
        </w:sectPr>
      </w:pPr>
    </w:p>
    <w:bookmarkStart w:id="133" w:name="page134"/>
    <w:bookmarkEnd w:id="133"/>
    <w:p>
      <w:pPr>
        <w:ind w:left="940" w:right="20" w:hanging="318"/>
        <w:spacing w:after="0" w:line="303" w:lineRule="auto"/>
        <w:tabs>
          <w:tab w:leader="none" w:pos="93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Nonpublic</w:t>
      </w:r>
      <w:r>
        <w:rPr>
          <w:rFonts w:ascii="Times New Roman" w:cs="Times New Roman" w:eastAsia="Times New Roman" w:hAnsi="Times New Roman"/>
          <w:sz w:val="19"/>
          <w:szCs w:val="19"/>
          <w:color w:val="auto"/>
        </w:rPr>
        <w:t>. Insider trading prohibitions come into play only when you possess information that is material and “nonpublic.”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fact that information has been disclosed to a few members of the public does not make it public for insider trading purposes.</w:t>
      </w:r>
    </w:p>
    <w:p>
      <w:pPr>
        <w:spacing w:after="0" w:line="154" w:lineRule="exact"/>
        <w:rPr>
          <w:sz w:val="20"/>
          <w:szCs w:val="20"/>
          <w:color w:val="auto"/>
        </w:rPr>
      </w:pPr>
    </w:p>
    <w:p>
      <w:pPr>
        <w:jc w:val="both"/>
        <w:ind w:left="960" w:right="20"/>
        <w:spacing w:after="0" w:line="301" w:lineRule="auto"/>
        <w:rPr>
          <w:sz w:val="20"/>
          <w:szCs w:val="20"/>
          <w:color w:val="auto"/>
        </w:rPr>
      </w:pPr>
      <w:r>
        <w:rPr>
          <w:rFonts w:ascii="Times New Roman" w:cs="Times New Roman" w:eastAsia="Times New Roman" w:hAnsi="Times New Roman"/>
          <w:sz w:val="19"/>
          <w:szCs w:val="19"/>
          <w:color w:val="auto"/>
        </w:rPr>
        <w:t>To be “public” the information must have been (1) broadly disseminated in a manner designed reach investors generally, such as through a press release or SEC (as defined below) filing, and (2) the marketplace has had time to absorb the information.</w:t>
      </w:r>
    </w:p>
    <w:p>
      <w:pPr>
        <w:spacing w:after="0" w:line="169" w:lineRule="exact"/>
        <w:rPr>
          <w:sz w:val="20"/>
          <w:szCs w:val="20"/>
          <w:color w:val="auto"/>
        </w:rPr>
      </w:pPr>
    </w:p>
    <w:p>
      <w:pPr>
        <w:jc w:val="both"/>
        <w:ind w:left="960"/>
        <w:spacing w:after="0" w:line="264" w:lineRule="auto"/>
        <w:rPr>
          <w:sz w:val="20"/>
          <w:szCs w:val="20"/>
          <w:color w:val="auto"/>
        </w:rPr>
      </w:pPr>
      <w:r>
        <w:rPr>
          <w:rFonts w:ascii="Times New Roman" w:cs="Times New Roman" w:eastAsia="Times New Roman" w:hAnsi="Times New Roman"/>
          <w:sz w:val="19"/>
          <w:szCs w:val="19"/>
          <w:color w:val="auto"/>
        </w:rPr>
        <w:t>To be “public” the information must have been disseminated in a manner designed to reach the investing public generally, and the investing public must have been given the opportunity to absorb the information. As a general rule, information should not be considered fully absorbed by the investing public until the end of the second full trading day after such information has been publicly disclosed. For example, if information is publicly disclosed on a Monday after the trading day begins (or on a Tuesday before trading begins), trading should not take place until Thursday.</w:t>
      </w:r>
    </w:p>
    <w:p>
      <w:pPr>
        <w:spacing w:after="0" w:line="202" w:lineRule="exact"/>
        <w:rPr>
          <w:sz w:val="20"/>
          <w:szCs w:val="20"/>
          <w:color w:val="auto"/>
        </w:rPr>
      </w:pPr>
    </w:p>
    <w:p>
      <w:pPr>
        <w:jc w:val="both"/>
        <w:ind w:left="960" w:right="20"/>
        <w:spacing w:after="0" w:line="305" w:lineRule="auto"/>
        <w:rPr>
          <w:sz w:val="20"/>
          <w:szCs w:val="20"/>
          <w:color w:val="auto"/>
        </w:rPr>
      </w:pPr>
      <w:r>
        <w:rPr>
          <w:rFonts w:ascii="Times New Roman" w:cs="Times New Roman" w:eastAsia="Times New Roman" w:hAnsi="Times New Roman"/>
          <w:sz w:val="19"/>
          <w:szCs w:val="19"/>
          <w:b w:val="1"/>
          <w:bCs w:val="1"/>
          <w:color w:val="auto"/>
        </w:rPr>
        <w:t>As with questions of materiality, if you are not sure whether information is considered public, you should either consult with Eric Schwartz or Lesha Shinn or assume that the information is nonpublic and treat it as confidential.</w:t>
      </w:r>
    </w:p>
    <w:p>
      <w:pPr>
        <w:spacing w:after="0" w:line="151" w:lineRule="exact"/>
        <w:rPr>
          <w:sz w:val="20"/>
          <w:szCs w:val="20"/>
          <w:color w:val="auto"/>
        </w:rPr>
      </w:pPr>
    </w:p>
    <w:p>
      <w:pPr>
        <w:jc w:val="both"/>
        <w:ind w:left="940" w:hanging="318"/>
        <w:spacing w:after="0" w:line="282" w:lineRule="auto"/>
        <w:tabs>
          <w:tab w:leader="none" w:pos="928"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Related Parties</w:t>
      </w:r>
      <w:r>
        <w:rPr>
          <w:rFonts w:ascii="Times New Roman" w:cs="Times New Roman" w:eastAsia="Times New Roman" w:hAnsi="Times New Roman"/>
          <w:sz w:val="19"/>
          <w:szCs w:val="19"/>
          <w:color w:val="auto"/>
        </w:rPr>
        <w:t>. Related Parties means, collectively, an individual’s spouse, minor children and anyone else living in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person’s household, partnerships in which such person is a general partner, trusts of which such person is a trustee and estates of which such person is an executor.</w:t>
      </w:r>
    </w:p>
    <w:p>
      <w:pPr>
        <w:spacing w:after="0" w:line="172" w:lineRule="exact"/>
        <w:rPr>
          <w:rFonts w:ascii="Times New Roman" w:cs="Times New Roman" w:eastAsia="Times New Roman" w:hAnsi="Times New Roman"/>
          <w:sz w:val="19"/>
          <w:szCs w:val="19"/>
          <w:color w:val="auto"/>
        </w:rPr>
      </w:pPr>
    </w:p>
    <w:p>
      <w:pPr>
        <w:ind w:left="940" w:hanging="318"/>
        <w:spacing w:after="0"/>
        <w:tabs>
          <w:tab w:leader="none" w:pos="940"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w:t>
      </w:r>
      <w:r>
        <w:rPr>
          <w:rFonts w:ascii="Times New Roman" w:cs="Times New Roman" w:eastAsia="Times New Roman" w:hAnsi="Times New Roman"/>
          <w:sz w:val="19"/>
          <w:szCs w:val="19"/>
          <w:color w:val="auto"/>
        </w:rPr>
        <w:t>. SEC means the Securities and Exchange Commission.</w:t>
      </w:r>
    </w:p>
    <w:p>
      <w:pPr>
        <w:spacing w:after="0" w:line="259" w:lineRule="exact"/>
        <w:rPr>
          <w:rFonts w:ascii="Times New Roman" w:cs="Times New Roman" w:eastAsia="Times New Roman" w:hAnsi="Times New Roman"/>
          <w:sz w:val="19"/>
          <w:szCs w:val="19"/>
          <w:color w:val="auto"/>
        </w:rPr>
      </w:pPr>
    </w:p>
    <w:p>
      <w:pPr>
        <w:ind w:left="940" w:hanging="318"/>
        <w:spacing w:after="0" w:line="264" w:lineRule="auto"/>
        <w:tabs>
          <w:tab w:leader="none" w:pos="935"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Tip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Tipping</w:t>
      </w:r>
      <w:r>
        <w:rPr>
          <w:rFonts w:ascii="Times New Roman" w:cs="Times New Roman" w:eastAsia="Times New Roman" w:hAnsi="Times New Roman"/>
          <w:sz w:val="19"/>
          <w:szCs w:val="19"/>
          <w:color w:val="auto"/>
        </w:rPr>
        <w:t>. Tip or Tipping means the act of providing material nonpublic information about a publicly traded company or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security to a person who is not authorized to have such information.</w:t>
      </w:r>
    </w:p>
    <w:p>
      <w:pPr>
        <w:jc w:val="both"/>
        <w:ind w:left="640" w:right="20" w:hanging="395"/>
        <w:spacing w:after="0" w:line="257" w:lineRule="auto"/>
        <w:tabs>
          <w:tab w:leader="none" w:pos="64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Prohibited Transactions</w:t>
      </w:r>
      <w:r>
        <w:rPr>
          <w:rFonts w:ascii="Times New Roman" w:cs="Times New Roman" w:eastAsia="Times New Roman" w:hAnsi="Times New Roman"/>
          <w:sz w:val="19"/>
          <w:szCs w:val="19"/>
          <w:color w:val="auto"/>
        </w:rPr>
        <w:t>. In addition to the foregoing restrictions on buying or selling of certain securities when in possession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material nonpublic information, individuals and entities subject to this Policy are prohibited from engaging in the following transactions:</w:t>
      </w:r>
    </w:p>
    <w:p>
      <w:pPr>
        <w:spacing w:after="0" w:line="2" w:lineRule="exact"/>
        <w:rPr>
          <w:rFonts w:ascii="Times New Roman" w:cs="Times New Roman" w:eastAsia="Times New Roman" w:hAnsi="Times New Roman"/>
          <w:sz w:val="19"/>
          <w:szCs w:val="19"/>
          <w:b w:val="1"/>
          <w:bCs w:val="1"/>
          <w:color w:val="auto"/>
        </w:rPr>
      </w:pPr>
    </w:p>
    <w:p>
      <w:pPr>
        <w:ind w:left="940" w:hanging="318"/>
        <w:spacing w:after="0" w:line="285" w:lineRule="auto"/>
        <w:tabs>
          <w:tab w:leader="none" w:pos="930"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Short-Term Trading</w:t>
      </w:r>
      <w:r>
        <w:rPr>
          <w:rFonts w:ascii="Times New Roman" w:cs="Times New Roman" w:eastAsia="Times New Roman" w:hAnsi="Times New Roman"/>
          <w:sz w:val="19"/>
          <w:szCs w:val="19"/>
          <w:color w:val="auto"/>
        </w:rPr>
        <w:t>. Individuals or entities subject to this Policy who buy or sell Company securities may not effect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opposite way transaction of any Company securities of the same class for at least six months after the purchase.</w:t>
      </w:r>
    </w:p>
    <w:p>
      <w:pPr>
        <w:spacing w:after="0" w:line="168" w:lineRule="exact"/>
        <w:rPr>
          <w:rFonts w:ascii="Times New Roman" w:cs="Times New Roman" w:eastAsia="Times New Roman" w:hAnsi="Times New Roman"/>
          <w:sz w:val="19"/>
          <w:szCs w:val="19"/>
          <w:color w:val="auto"/>
        </w:rPr>
      </w:pPr>
    </w:p>
    <w:p>
      <w:pPr>
        <w:ind w:left="920" w:hanging="298"/>
        <w:spacing w:after="0"/>
        <w:tabs>
          <w:tab w:leader="none" w:pos="920"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Short sales</w:t>
      </w:r>
      <w:r>
        <w:rPr>
          <w:rFonts w:ascii="Times New Roman" w:cs="Times New Roman" w:eastAsia="Times New Roman" w:hAnsi="Times New Roman"/>
          <w:sz w:val="19"/>
          <w:szCs w:val="19"/>
          <w:color w:val="auto"/>
        </w:rPr>
        <w:t>. Individuals or entities subject to this Policy may not sell the Company’s securities short.</w:t>
      </w:r>
    </w:p>
    <w:p>
      <w:pPr>
        <w:spacing w:after="0" w:line="259" w:lineRule="exact"/>
        <w:rPr>
          <w:rFonts w:ascii="Times New Roman" w:cs="Times New Roman" w:eastAsia="Times New Roman" w:hAnsi="Times New Roman"/>
          <w:sz w:val="19"/>
          <w:szCs w:val="19"/>
          <w:color w:val="auto"/>
        </w:rPr>
      </w:pPr>
    </w:p>
    <w:p>
      <w:pPr>
        <w:ind w:left="940" w:hanging="318"/>
        <w:spacing w:after="0" w:line="288" w:lineRule="auto"/>
        <w:tabs>
          <w:tab w:leader="none" w:pos="930"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Options Trading</w:t>
      </w:r>
      <w:r>
        <w:rPr>
          <w:rFonts w:ascii="Times New Roman" w:cs="Times New Roman" w:eastAsia="Times New Roman" w:hAnsi="Times New Roman"/>
          <w:sz w:val="19"/>
          <w:szCs w:val="19"/>
          <w:color w:val="auto"/>
        </w:rPr>
        <w:t>. Individuals or entities subject to this Policy may not buy or sell puts or calls or other derivative securities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Company’s securities.</w:t>
      </w:r>
    </w:p>
    <w:p>
      <w:pPr>
        <w:spacing w:after="0" w:line="179" w:lineRule="exact"/>
        <w:rPr>
          <w:rFonts w:ascii="Times New Roman" w:cs="Times New Roman" w:eastAsia="Times New Roman" w:hAnsi="Times New Roman"/>
          <w:sz w:val="19"/>
          <w:szCs w:val="19"/>
          <w:color w:val="auto"/>
        </w:rPr>
      </w:pPr>
    </w:p>
    <w:p>
      <w:pPr>
        <w:ind w:left="940" w:right="20" w:hanging="318"/>
        <w:spacing w:after="0" w:line="303" w:lineRule="auto"/>
        <w:tabs>
          <w:tab w:leader="none" w:pos="928"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Trading on margin or pledging</w:t>
      </w:r>
      <w:r>
        <w:rPr>
          <w:rFonts w:ascii="Times New Roman" w:cs="Times New Roman" w:eastAsia="Times New Roman" w:hAnsi="Times New Roman"/>
          <w:sz w:val="19"/>
          <w:szCs w:val="19"/>
          <w:color w:val="auto"/>
        </w:rPr>
        <w:t>. Individuals or entities subject to this Policy may not hold Company securities in a margin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account or pledge Company securities as collateral for a loan or in any other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LifeSciences Holdings Corporation Trading in Securities by Company Personnel | 4</w:t>
      </w:r>
    </w:p>
    <w:p>
      <w:pPr>
        <w:sectPr>
          <w:pgSz w:w="11900" w:h="16838" w:orient="portrait"/>
          <w:cols w:equalWidth="0" w:num="1">
            <w:col w:w="10960"/>
          </w:cols>
          <w:pgMar w:left="320" w:top="1390" w:right="619" w:bottom="1440" w:gutter="0" w:footer="0" w:header="0"/>
        </w:sectPr>
      </w:pPr>
    </w:p>
    <w:bookmarkStart w:id="134" w:name="page135"/>
    <w:bookmarkEnd w:id="134"/>
    <w:p>
      <w:pPr>
        <w:ind w:left="940" w:right="240" w:hanging="318"/>
        <w:spacing w:after="0" w:line="269" w:lineRule="auto"/>
        <w:tabs>
          <w:tab w:leader="none" w:pos="930"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Hedging Strategies</w:t>
      </w:r>
      <w:r>
        <w:rPr>
          <w:rFonts w:ascii="Times New Roman" w:cs="Times New Roman" w:eastAsia="Times New Roman" w:hAnsi="Times New Roman"/>
          <w:sz w:val="19"/>
          <w:szCs w:val="19"/>
          <w:color w:val="auto"/>
        </w:rPr>
        <w:t>. Individuals and entities subject to this Policy may not enter into hedging or monetization transactions,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investing in puts, calls, short sales, futures contracts, prepaid variable forward contracts, equity swaps, options, collars, direct or indirect interests in an exchange fund or other derivative instruments relating to the Company’s securities, or similar arrangements with respect to Company securities.</w:t>
      </w:r>
    </w:p>
    <w:p>
      <w:pPr>
        <w:ind w:left="640" w:hanging="395"/>
        <w:spacing w:after="0"/>
        <w:tabs>
          <w:tab w:leader="none" w:pos="640" w:val="left"/>
        </w:tabs>
        <w:numPr>
          <w:ilvl w:val="0"/>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The Rule 10b5-1 Exception and Trading Window Group.</w:t>
      </w:r>
    </w:p>
    <w:p>
      <w:pPr>
        <w:spacing w:after="0" w:line="12" w:lineRule="exact"/>
        <w:rPr>
          <w:rFonts w:ascii="Times New Roman" w:cs="Times New Roman" w:eastAsia="Times New Roman" w:hAnsi="Times New Roman"/>
          <w:sz w:val="19"/>
          <w:szCs w:val="19"/>
          <w:b w:val="1"/>
          <w:bCs w:val="1"/>
          <w:color w:val="auto"/>
        </w:rPr>
      </w:pPr>
    </w:p>
    <w:p>
      <w:pPr>
        <w:jc w:val="both"/>
        <w:ind w:left="940" w:hanging="318"/>
        <w:spacing w:after="0" w:line="266" w:lineRule="auto"/>
        <w:tabs>
          <w:tab w:leader="none" w:pos="93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Rule 10b5-1 Plans</w:t>
      </w:r>
      <w:r>
        <w:rPr>
          <w:rFonts w:ascii="Times New Roman" w:cs="Times New Roman" w:eastAsia="Times New Roman" w:hAnsi="Times New Roman"/>
          <w:sz w:val="19"/>
          <w:szCs w:val="19"/>
          <w:color w:val="auto"/>
        </w:rPr>
        <w:t>. Transactions made under a pre-existing written plan, contract, instruction, or arrangement pursuant to Rule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10b5-1 of the Securities Exchange Act of 1934, as amended, are not subject to trading restrictions relating to material nonpublic information set forth in this Policy.</w:t>
      </w:r>
    </w:p>
    <w:p>
      <w:pPr>
        <w:spacing w:after="0" w:line="202" w:lineRule="exact"/>
        <w:rPr>
          <w:rFonts w:ascii="Times New Roman" w:cs="Times New Roman" w:eastAsia="Times New Roman" w:hAnsi="Times New Roman"/>
          <w:sz w:val="19"/>
          <w:szCs w:val="19"/>
          <w:color w:val="auto"/>
        </w:rPr>
      </w:pPr>
    </w:p>
    <w:p>
      <w:pPr>
        <w:jc w:val="both"/>
        <w:ind w:left="940" w:right="20"/>
        <w:spacing w:after="0" w:line="25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trading plans may only be established while the Company’s trading window is open and while the individual or entity establishing such plan is not in possession of material nonpublic information. Any trading plan established in reliance on Rule 10b5-1 must meet all of the requirements set forth under Rule 10b5-1. Typically, establishment of a Rule 10b5-1 trading plan requires the assistance of qualified counsel, along with the confirmation and approval of the Law Department. Please contact Eric Schwartz or Lesha Shinn prior to initiating the establishment of such a trading plan.</w:t>
      </w:r>
    </w:p>
    <w:p>
      <w:pPr>
        <w:spacing w:after="0" w:line="4" w:lineRule="exact"/>
        <w:rPr>
          <w:rFonts w:ascii="Times New Roman" w:cs="Times New Roman" w:eastAsia="Times New Roman" w:hAnsi="Times New Roman"/>
          <w:sz w:val="19"/>
          <w:szCs w:val="19"/>
          <w:color w:val="auto"/>
        </w:rPr>
      </w:pPr>
    </w:p>
    <w:p>
      <w:pPr>
        <w:jc w:val="both"/>
        <w:ind w:left="940" w:hanging="318"/>
        <w:spacing w:after="0" w:line="261" w:lineRule="auto"/>
        <w:tabs>
          <w:tab w:leader="none" w:pos="928"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Trading Window Group</w:t>
      </w:r>
      <w:r>
        <w:rPr>
          <w:rFonts w:ascii="Times New Roman" w:cs="Times New Roman" w:eastAsia="Times New Roman" w:hAnsi="Times New Roman"/>
          <w:sz w:val="19"/>
          <w:szCs w:val="19"/>
          <w:color w:val="auto"/>
        </w:rPr>
        <w:t>. Under a separate policy applicable to Covered Persons, the Company requires that Covered Persons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limit their transactions in Integra securities to defined time periods, or trading windows, following public dissemination of quarterly and annual financial results. Such Covered Persons are also required to “preclear” all transactions in the Company’s securities by notifying the Company prior to entering into any such transactions and to observe other restrictions designed to minimize the risk of apparent or actual insider trading. The purpose of these additional trading restrictions is to prevent any individual involved in the preparation of the Company’s financial statements or the Company’s periodic reports containing financial statements from trading before the Company’s financial results are released and disseminated into the market.</w:t>
      </w:r>
    </w:p>
    <w:p>
      <w:pPr>
        <w:spacing w:after="0" w:line="195" w:lineRule="exact"/>
        <w:rPr>
          <w:rFonts w:ascii="Times New Roman" w:cs="Times New Roman" w:eastAsia="Times New Roman" w:hAnsi="Times New Roman"/>
          <w:sz w:val="19"/>
          <w:szCs w:val="19"/>
          <w:color w:val="auto"/>
        </w:rPr>
      </w:pPr>
    </w:p>
    <w:p>
      <w:pPr>
        <w:jc w:val="both"/>
        <w:ind w:left="940"/>
        <w:spacing w:after="0" w:line="28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Information regarding the operation of the trading window and pre-clearance procedures are set forth in Trading Window Policy. If you are a Covered Person, you are required to comply with the requirements of both this Policy and the Trading Window Policy.</w:t>
      </w:r>
    </w:p>
    <w:p>
      <w:pPr>
        <w:spacing w:after="0" w:line="200" w:lineRule="exact"/>
        <w:rPr>
          <w:sz w:val="20"/>
          <w:szCs w:val="20"/>
          <w:color w:val="auto"/>
        </w:rPr>
      </w:pPr>
    </w:p>
    <w:p>
      <w:pPr>
        <w:spacing w:after="0" w:line="218" w:lineRule="exact"/>
        <w:rPr>
          <w:sz w:val="20"/>
          <w:szCs w:val="20"/>
          <w:color w:val="auto"/>
        </w:rPr>
      </w:pPr>
    </w:p>
    <w:p>
      <w:pPr>
        <w:jc w:val="both"/>
        <w:ind w:left="960" w:right="20"/>
        <w:spacing w:after="0" w:line="264" w:lineRule="auto"/>
        <w:rPr>
          <w:sz w:val="20"/>
          <w:szCs w:val="20"/>
          <w:color w:val="auto"/>
        </w:rPr>
      </w:pPr>
      <w:r>
        <w:rPr>
          <w:rFonts w:ascii="Times New Roman" w:cs="Times New Roman" w:eastAsia="Times New Roman" w:hAnsi="Times New Roman"/>
          <w:sz w:val="19"/>
          <w:szCs w:val="19"/>
          <w:b w:val="1"/>
          <w:bCs w:val="1"/>
          <w:color w:val="auto"/>
        </w:rPr>
        <w:t>Integra may, from time to time, restrict all employees (not just Covered Persons) from trading Integra stock during certain periods of time to conform to SEC requirements. Integra will clearly announce any such trading restrictions through the ordinary channels of corporate communication, including email.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009845"/>
        </w:rPr>
        <w:t>Potential Criminal and Civil Liability; Potential Loss of Employment</w:t>
      </w:r>
    </w:p>
    <w:p>
      <w:pPr>
        <w:spacing w:after="0" w:line="2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9"/>
          <w:szCs w:val="19"/>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mandatory.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LifeSciences Holdings Corporation Trading in Securities by Company Personnel | 5</w:t>
      </w:r>
    </w:p>
    <w:p>
      <w:pPr>
        <w:sectPr>
          <w:pgSz w:w="11900" w:h="16838" w:orient="portrait"/>
          <w:cols w:equalWidth="0" w:num="1">
            <w:col w:w="10960"/>
          </w:cols>
          <w:pgMar w:left="320" w:top="1403" w:right="619" w:bottom="1440" w:gutter="0" w:footer="0" w:header="0"/>
        </w:sectPr>
      </w:pPr>
    </w:p>
    <w:bookmarkStart w:id="135" w:name="page136"/>
    <w:bookmarkEnd w:id="135"/>
    <w:p>
      <w:pPr>
        <w:jc w:val="both"/>
        <w:ind w:left="640" w:hanging="395"/>
        <w:spacing w:after="0" w:line="276" w:lineRule="auto"/>
        <w:tabs>
          <w:tab w:leader="none" w:pos="64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Legal Penalties</w:t>
      </w:r>
      <w:r>
        <w:rPr>
          <w:rFonts w:ascii="Times New Roman" w:cs="Times New Roman" w:eastAsia="Times New Roman" w:hAnsi="Times New Roman"/>
          <w:sz w:val="19"/>
          <w:szCs w:val="19"/>
          <w:color w:val="auto"/>
        </w:rPr>
        <w:t>: A person who violates insider trading laws by engaging in transactions in a company’s securities when he or she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has material nonpublic information can be sentenced to a substantial jail term and required to pay a criminal penalty of several times the amount of profits gained or losses avoided.</w:t>
      </w:r>
    </w:p>
    <w:p>
      <w:pPr>
        <w:spacing w:after="0" w:line="193" w:lineRule="exact"/>
        <w:rPr>
          <w:rFonts w:ascii="Times New Roman" w:cs="Times New Roman" w:eastAsia="Times New Roman" w:hAnsi="Times New Roman"/>
          <w:sz w:val="19"/>
          <w:szCs w:val="19"/>
          <w:color w:val="auto"/>
        </w:rPr>
      </w:pPr>
    </w:p>
    <w:p>
      <w:pPr>
        <w:jc w:val="both"/>
        <w:ind w:left="640"/>
        <w:spacing w:after="0" w:line="27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194" w:lineRule="exact"/>
        <w:rPr>
          <w:rFonts w:ascii="Times New Roman" w:cs="Times New Roman" w:eastAsia="Times New Roman" w:hAnsi="Times New Roman"/>
          <w:sz w:val="19"/>
          <w:szCs w:val="19"/>
          <w:color w:val="auto"/>
        </w:rPr>
      </w:pPr>
    </w:p>
    <w:p>
      <w:pPr>
        <w:jc w:val="both"/>
        <w:ind w:left="640"/>
        <w:spacing w:after="0" w:line="26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significant monetary penalties. Even for violations that result in a small or no profit, the SEC can seek penalties from a company and/or its management and supervisory personnel as control persons.</w:t>
      </w:r>
    </w:p>
    <w:p>
      <w:pPr>
        <w:spacing w:after="0" w:line="200" w:lineRule="exact"/>
        <w:rPr>
          <w:rFonts w:ascii="Times New Roman" w:cs="Times New Roman" w:eastAsia="Times New Roman" w:hAnsi="Times New Roman"/>
          <w:sz w:val="19"/>
          <w:szCs w:val="19"/>
          <w:color w:val="auto"/>
        </w:rPr>
      </w:pPr>
    </w:p>
    <w:p>
      <w:pPr>
        <w:spacing w:after="0" w:line="235" w:lineRule="exact"/>
        <w:rPr>
          <w:rFonts w:ascii="Times New Roman" w:cs="Times New Roman" w:eastAsia="Times New Roman" w:hAnsi="Times New Roman"/>
          <w:sz w:val="19"/>
          <w:szCs w:val="19"/>
          <w:color w:val="auto"/>
        </w:rPr>
      </w:pPr>
    </w:p>
    <w:p>
      <w:pPr>
        <w:jc w:val="both"/>
        <w:ind w:left="640" w:hanging="395"/>
        <w:spacing w:after="0" w:line="264" w:lineRule="auto"/>
        <w:tabs>
          <w:tab w:leader="none" w:pos="64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Company-Imposed Penalties</w:t>
      </w:r>
      <w:r>
        <w:rPr>
          <w:rFonts w:ascii="Times New Roman" w:cs="Times New Roman" w:eastAsia="Times New Roman" w:hAnsi="Times New Roman"/>
          <w:sz w:val="19"/>
          <w:szCs w:val="19"/>
          <w:color w:val="auto"/>
        </w:rPr>
        <w:t>: Employees who violate this Policy may be subject to disciplinary action by the Company,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dismissal for cause. Any exceptions to the Policy, if permitted, may only be granted by the Law Department and must be provided before any activity contrary to the above requirements takes place.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009845"/>
        </w:rPr>
        <w:t>General Confidentiality Obligations</w:t>
      </w:r>
    </w:p>
    <w:p>
      <w:pPr>
        <w:spacing w:after="0" w:line="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This Policy describes the standards of Integra LifeSciences Holdings Corporation and its subsidiaries on trading, and causing the trading of, the Company’s securities or securities of certain other publicly traded companies while in possession of material nonpublic information. The restrictions set forth in this Policy are designed to avoid misuse of material nonpublic information. The Company expects nothing short of full compliance with the letter and spirit of this Policy.</w:t>
      </w:r>
    </w:p>
    <w:p>
      <w:pPr>
        <w:spacing w:after="0" w:line="20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These restrictions are in addition to, and in no way alter, the general obligations that each officer, director or employee of Integra has to maintain the confidentiality of all confidential or proprietary information concerning Integra and its business, as well as any other confidential information, that may be learned in the course of an individual’s relationship with the Company. No such information is to be disclosed to any other person in Integra, unless that person has a clear need to know that information, and no such information may be disclosed to any third parties, except as required or otherwise contemplated by your function or position.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009845"/>
        </w:rPr>
        <w:t>Company’s Right to Modify or Change Policies</w:t>
      </w:r>
    </w:p>
    <w:p>
      <w:pPr>
        <w:spacing w:after="0" w:line="2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9"/>
          <w:szCs w:val="19"/>
          <w:color w:val="auto"/>
        </w:rPr>
        <w:t>The Company reserves the right to modify, revoke, suspend, terminate or change this Policy in whole or in part, any time, with or without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 LifeSciences Holdings Corporation Trading in Securities by Company Personnel | 6</w:t>
      </w:r>
    </w:p>
    <w:p>
      <w:pPr>
        <w:sectPr>
          <w:pgSz w:w="11900" w:h="16838" w:orient="portrait"/>
          <w:cols w:equalWidth="0" w:num="1">
            <w:col w:w="10960"/>
          </w:cols>
          <w:pgMar w:left="320" w:top="1387" w:right="6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1"/>
          <w:szCs w:val="21"/>
          <w:b w:val="1"/>
          <w:bCs w:val="1"/>
          <w:color w:val="auto"/>
        </w:rPr>
        <w:t>IART-2024-12.31-EX-19.1(b)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90" w:type="dxa"/>
        <w:tblCellMar>
          <w:top w:w="0" w:type="dxa"/>
          <w:left w:w="0" w:type="dxa"/>
          <w:bottom w:w="0" w:type="dxa"/>
          <w:right w:w="0" w:type="dxa"/>
        </w:tblCellMar>
      </w:tblPr>
      <w:tr>
        <w:trPr>
          <w:trHeight w:val="291"/>
        </w:trPr>
        <w:tc>
          <w:tcPr>
            <w:tcW w:w="53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Distribution</w:t>
            </w:r>
            <w:r>
              <w:rPr>
                <w:rFonts w:ascii="Times New Roman" w:cs="Times New Roman" w:eastAsia="Times New Roman" w:hAnsi="Times New Roman"/>
                <w:sz w:val="21"/>
                <w:szCs w:val="21"/>
                <w:color w:val="auto"/>
              </w:rPr>
              <w:t>:</w:t>
            </w:r>
          </w:p>
        </w:tc>
        <w:tc>
          <w:tcPr>
            <w:tcW w:w="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Subject</w:t>
            </w:r>
            <w:r>
              <w:rPr>
                <w:rFonts w:ascii="Times New Roman" w:cs="Times New Roman" w:eastAsia="Times New Roman" w:hAnsi="Times New Roman"/>
                <w:sz w:val="21"/>
                <w:szCs w:val="21"/>
                <w:color w:val="auto"/>
              </w:rPr>
              <w:t>:</w:t>
            </w:r>
          </w:p>
        </w:tc>
        <w:tc>
          <w:tcPr>
            <w:tcW w:w="4440" w:type="dxa"/>
            <w:vAlign w:val="bottom"/>
            <w:tcBorders>
              <w:top w:val="single" w:sz="8" w:color="auto"/>
              <w:right w:val="single" w:sz="8" w:color="auto"/>
            </w:tcBorders>
          </w:tcPr>
          <w:p>
            <w:pPr>
              <w:spacing w:after="0"/>
              <w:rPr>
                <w:sz w:val="24"/>
                <w:szCs w:val="24"/>
                <w:color w:val="auto"/>
              </w:rPr>
            </w:pPr>
          </w:p>
        </w:tc>
      </w:tr>
      <w:tr>
        <w:trPr>
          <w:trHeight w:val="286"/>
        </w:trPr>
        <w:tc>
          <w:tcPr>
            <w:tcW w:w="5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Integra Trading Window Distribution Group</w:t>
            </w:r>
          </w:p>
        </w:tc>
        <w:tc>
          <w:tcPr>
            <w:tcW w:w="528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1"/>
                <w:szCs w:val="21"/>
                <w:color w:val="auto"/>
              </w:rPr>
              <w:t>Trading Window Group Policy</w:t>
            </w:r>
          </w:p>
        </w:tc>
      </w:tr>
      <w:tr>
        <w:trPr>
          <w:trHeight w:val="290"/>
        </w:trPr>
        <w:tc>
          <w:tcPr>
            <w:tcW w:w="5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May 17, 2005</w:t>
            </w:r>
          </w:p>
        </w:tc>
        <w:tc>
          <w:tcPr>
            <w:tcW w:w="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Page</w:t>
            </w:r>
          </w:p>
        </w:tc>
        <w:tc>
          <w:tcPr>
            <w:tcW w:w="4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w:t>
            </w:r>
          </w:p>
        </w:tc>
      </w:tr>
      <w:tr>
        <w:trPr>
          <w:trHeight w:val="29"/>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19"/>
        </w:trPr>
        <w:tc>
          <w:tcPr>
            <w:tcW w:w="5320" w:type="dxa"/>
            <w:vAlign w:val="bottom"/>
            <w:tcBorders>
              <w:left w:val="single" w:sz="8" w:color="auto"/>
              <w:right w:val="single" w:sz="8" w:color="auto"/>
            </w:tcBorders>
          </w:tcPr>
          <w:p>
            <w:pPr>
              <w:ind w:left="100"/>
              <w:spacing w:after="0" w:line="219" w:lineRule="exact"/>
              <w:rPr>
                <w:sz w:val="20"/>
                <w:szCs w:val="20"/>
                <w:color w:val="auto"/>
              </w:rPr>
            </w:pPr>
            <w:r>
              <w:rPr>
                <w:rFonts w:ascii="Times New Roman" w:cs="Times New Roman" w:eastAsia="Times New Roman" w:hAnsi="Times New Roman"/>
                <w:sz w:val="21"/>
                <w:szCs w:val="21"/>
                <w:b w:val="1"/>
                <w:bCs w:val="1"/>
                <w:color w:val="auto"/>
              </w:rPr>
              <w:t>Revision Date</w:t>
            </w:r>
            <w:r>
              <w:rPr>
                <w:rFonts w:ascii="Times New Roman" w:cs="Times New Roman" w:eastAsia="Times New Roman" w:hAnsi="Times New Roman"/>
                <w:sz w:val="21"/>
                <w:szCs w:val="21"/>
                <w:color w:val="auto"/>
              </w:rPr>
              <w:t>:</w:t>
            </w:r>
          </w:p>
        </w:tc>
        <w:tc>
          <w:tcPr>
            <w:tcW w:w="5280" w:type="dxa"/>
            <w:vAlign w:val="bottom"/>
            <w:tcBorders>
              <w:right w:val="single" w:sz="8" w:color="auto"/>
            </w:tcBorders>
            <w:gridSpan w:val="2"/>
          </w:tcPr>
          <w:p>
            <w:pPr>
              <w:ind w:left="40"/>
              <w:spacing w:after="0" w:line="219" w:lineRule="exact"/>
              <w:rPr>
                <w:sz w:val="20"/>
                <w:szCs w:val="20"/>
                <w:color w:val="auto"/>
              </w:rPr>
            </w:pPr>
            <w:r>
              <w:rPr>
                <w:rFonts w:ascii="Times New Roman" w:cs="Times New Roman" w:eastAsia="Times New Roman" w:hAnsi="Times New Roman"/>
                <w:sz w:val="21"/>
                <w:szCs w:val="21"/>
                <w:b w:val="1"/>
                <w:bCs w:val="1"/>
                <w:color w:val="auto"/>
              </w:rPr>
              <w:t>Issued by the</w:t>
            </w:r>
            <w:r>
              <w:rPr>
                <w:rFonts w:ascii="Times New Roman" w:cs="Times New Roman" w:eastAsia="Times New Roman" w:hAnsi="Times New Roman"/>
                <w:sz w:val="21"/>
                <w:szCs w:val="21"/>
                <w:color w:val="auto"/>
              </w:rPr>
              <w:t>: Law Department</w:t>
            </w:r>
          </w:p>
        </w:tc>
      </w:tr>
      <w:tr>
        <w:trPr>
          <w:trHeight w:val="277"/>
        </w:trPr>
        <w:tc>
          <w:tcPr>
            <w:tcW w:w="53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February 20, 2025</w:t>
            </w:r>
          </w:p>
        </w:tc>
        <w:tc>
          <w:tcPr>
            <w:tcW w:w="840" w:type="dxa"/>
            <w:vAlign w:val="bottom"/>
          </w:tcPr>
          <w:p>
            <w:pPr>
              <w:spacing w:after="0"/>
              <w:rPr>
                <w:sz w:val="24"/>
                <w:szCs w:val="24"/>
                <w:color w:val="auto"/>
              </w:rPr>
            </w:pPr>
          </w:p>
        </w:tc>
        <w:tc>
          <w:tcPr>
            <w:tcW w:w="4440" w:type="dxa"/>
            <w:vAlign w:val="bottom"/>
            <w:tcBorders>
              <w:right w:val="single" w:sz="8" w:color="auto"/>
            </w:tcBorders>
          </w:tcPr>
          <w:p>
            <w:pPr>
              <w:spacing w:after="0"/>
              <w:rPr>
                <w:sz w:val="24"/>
                <w:szCs w:val="24"/>
                <w:color w:val="auto"/>
              </w:rPr>
            </w:pPr>
          </w:p>
        </w:tc>
      </w:tr>
      <w:tr>
        <w:trPr>
          <w:trHeight w:val="28"/>
        </w:trPr>
        <w:tc>
          <w:tcPr>
            <w:tcW w:w="532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bl>
    <w:p>
      <w:pPr>
        <w:spacing w:after="0" w:line="3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Note</w:t>
      </w:r>
      <w:r>
        <w:rPr>
          <w:rFonts w:ascii="Times New Roman" w:cs="Times New Roman" w:eastAsia="Times New Roman" w:hAnsi="Times New Roman"/>
          <w:sz w:val="21"/>
          <w:szCs w:val="21"/>
          <w:color w:val="auto"/>
        </w:rPr>
        <w:t>: Compliance with this Trading Window Group Policy (this “Policy”) of Integra LifeSciences Holdings Corporation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is required in addition to compliance with the Company’s Trading in Securities by Company Personnel Policy, which has been distributed to all directors, officers, employees and other personnel separately. Additionally, this policy is supplemented by a shorter FAQ which is also available on the Company’s internal policy portal. We encourage you to read the FAQ in conjunction with the full policy, as the FAQ addresses common questions and is designed to communicate the essentials of both policies.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009845"/>
        </w:rPr>
        <w:t>Intent</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This policy imposes special trading restrictions on directors, officers and certain other designated employees all of whom, by virtue of their positions with the Company, may be more likely than others to possess material nonpublic information. These additional restrictions reflect additional legal requirements applicable to certain of these individuals and ensure continued compliance with all applicable securities laws.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009845"/>
        </w:rPr>
        <w:t>Scope</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This Policy applies to all the members of the Board of Directors of the Company, executive officers of the Company and certain other members of management or employees designated by the Company from time to time as “Covered Persons” because of their position, responsibilities or their actual or potential access to material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009845"/>
        </w:rPr>
        <w:t>Policy</w:t>
      </w:r>
    </w:p>
    <w:p>
      <w:pPr>
        <w:spacing w:after="0" w:line="39" w:lineRule="exact"/>
        <w:rPr>
          <w:sz w:val="20"/>
          <w:szCs w:val="20"/>
          <w:color w:val="auto"/>
        </w:rPr>
      </w:pPr>
    </w:p>
    <w:p>
      <w:pPr>
        <w:ind w:left="640" w:hanging="315"/>
        <w:spacing w:after="0"/>
        <w:tabs>
          <w:tab w:leader="none" w:pos="64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Blackout Periods.</w:t>
      </w: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All Covered Persons are prohibited from trading in the Company’s securities during blackout periods (as defined below).</w:t>
      </w:r>
    </w:p>
    <w:p>
      <w:pPr>
        <w:spacing w:after="0" w:line="303" w:lineRule="exact"/>
        <w:rPr>
          <w:sz w:val="20"/>
          <w:szCs w:val="20"/>
          <w:color w:val="auto"/>
        </w:rPr>
      </w:pPr>
    </w:p>
    <w:p>
      <w:pPr>
        <w:jc w:val="both"/>
        <w:ind w:left="760" w:right="100" w:hanging="311"/>
        <w:spacing w:after="0" w:line="262" w:lineRule="auto"/>
        <w:tabs>
          <w:tab w:leader="none" w:pos="757"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Blackout Period</w:t>
      </w:r>
      <w:r>
        <w:rPr>
          <w:rFonts w:ascii="Times New Roman" w:cs="Times New Roman" w:eastAsia="Times New Roman" w:hAnsi="Times New Roman"/>
          <w:sz w:val="21"/>
          <w:szCs w:val="21"/>
          <w:color w:val="auto"/>
        </w:rPr>
        <w:t>. Trading in the Company’s securities is prohibited during the period beginning at the close of the market on the 15th day of the last month of each applicable quarter (i.e., March 15, June 15, September 15 and December 15) and ending at the close of business on the second trading day following the date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
        <w:spacing w:after="0"/>
        <w:tabs>
          <w:tab w:leader="none" w:pos="8740" w:val="left"/>
        </w:tabs>
        <w:rPr>
          <w:sz w:val="20"/>
          <w:szCs w:val="20"/>
          <w:color w:val="auto"/>
        </w:rPr>
      </w:pPr>
      <w:r>
        <w:rPr>
          <w:rFonts w:ascii="Times New Roman" w:cs="Times New Roman" w:eastAsia="Times New Roman" w:hAnsi="Times New Roman"/>
          <w:sz w:val="18"/>
          <w:szCs w:val="18"/>
          <w:color w:val="auto"/>
        </w:rPr>
        <w:t>Integra LifeSciences Holdings Corporation</w:t>
      </w:r>
      <w:r>
        <w:rPr>
          <w:sz w:val="20"/>
          <w:szCs w:val="20"/>
          <w:color w:val="auto"/>
        </w:rPr>
        <w:tab/>
      </w:r>
      <w:r>
        <w:rPr>
          <w:rFonts w:ascii="Times New Roman" w:cs="Times New Roman" w:eastAsia="Times New Roman" w:hAnsi="Times New Roman"/>
          <w:sz w:val="17"/>
          <w:szCs w:val="17"/>
          <w:color w:val="auto"/>
        </w:rPr>
        <w:t>Trading Window Group Policy | 1</w:t>
      </w:r>
    </w:p>
    <w:p>
      <w:pPr>
        <w:sectPr>
          <w:pgSz w:w="11900" w:h="16838" w:orient="portrait"/>
          <w:cols w:equalWidth="0" w:num="1">
            <w:col w:w="11240"/>
          </w:cols>
          <w:pgMar w:left="320" w:top="121" w:right="339" w:bottom="1440" w:gutter="0" w:footer="0" w:header="0"/>
        </w:sectPr>
      </w:pPr>
    </w:p>
    <w:bookmarkStart w:id="137" w:name="page138"/>
    <w:bookmarkEnd w:id="137"/>
    <w:p>
      <w:pPr>
        <w:spacing w:after="0" w:line="200" w:lineRule="exact"/>
        <w:rPr>
          <w:sz w:val="20"/>
          <w:szCs w:val="20"/>
          <w:color w:val="auto"/>
        </w:rPr>
      </w:pPr>
    </w:p>
    <w:p>
      <w:pPr>
        <w:spacing w:after="0" w:line="252" w:lineRule="exact"/>
        <w:rPr>
          <w:sz w:val="20"/>
          <w:szCs w:val="20"/>
          <w:color w:val="auto"/>
        </w:rPr>
      </w:pPr>
    </w:p>
    <w:p>
      <w:pPr>
        <w:ind w:left="680" w:right="100"/>
        <w:spacing w:after="0" w:line="286" w:lineRule="auto"/>
        <w:rPr>
          <w:sz w:val="20"/>
          <w:szCs w:val="20"/>
          <w:color w:val="auto"/>
        </w:rPr>
      </w:pPr>
      <w:r>
        <w:rPr>
          <w:rFonts w:ascii="Times New Roman" w:cs="Times New Roman" w:eastAsia="Times New Roman" w:hAnsi="Times New Roman"/>
          <w:sz w:val="21"/>
          <w:szCs w:val="21"/>
          <w:color w:val="auto"/>
        </w:rPr>
        <w:t>Company’s financial results are publicly disclosed. During these periods, Covered Persons generally possess, or are presumed to possess, material nonpublic information about the Company’s financial results.</w:t>
      </w:r>
    </w:p>
    <w:p>
      <w:pPr>
        <w:spacing w:after="0" w:line="181" w:lineRule="exact"/>
        <w:rPr>
          <w:sz w:val="20"/>
          <w:szCs w:val="20"/>
          <w:color w:val="auto"/>
        </w:rPr>
      </w:pPr>
    </w:p>
    <w:p>
      <w:pPr>
        <w:jc w:val="both"/>
        <w:ind w:left="680" w:right="100" w:hanging="311"/>
        <w:spacing w:after="0" w:line="256" w:lineRule="auto"/>
        <w:tabs>
          <w:tab w:leader="none" w:pos="675"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Blackout Periods</w:t>
      </w:r>
      <w:r>
        <w:rPr>
          <w:rFonts w:ascii="Times New Roman" w:cs="Times New Roman" w:eastAsia="Times New Roman" w:hAnsi="Times New Roman"/>
          <w:sz w:val="21"/>
          <w:szCs w:val="21"/>
          <w:color w:val="auto"/>
        </w:rPr>
        <w:t>. From time to time, other types of nonpublic information regarding the Company (such as negotiation of mergers, acquisitions or dispositions, regulatory interactions and determinations, investigation and assessment of cybersecurity incidents or product developments) may be deemed material. While the materiality determination and/or public disclosure of such nonpublic information is pending, the Company may impose special blackout periods during which Covered Persons are prohibited from trading in the Company’s securities. If the Company imposes a special blackout period, it will notify the Covered Persons affected through the ordinary channels of corporate communication, including email.</w:t>
      </w:r>
    </w:p>
    <w:p>
      <w:pPr>
        <w:spacing w:after="0" w:line="202" w:lineRule="exact"/>
        <w:rPr>
          <w:rFonts w:ascii="Times New Roman" w:cs="Times New Roman" w:eastAsia="Times New Roman" w:hAnsi="Times New Roman"/>
          <w:sz w:val="21"/>
          <w:szCs w:val="21"/>
          <w:color w:val="auto"/>
        </w:rPr>
      </w:pPr>
    </w:p>
    <w:p>
      <w:pPr>
        <w:jc w:val="both"/>
        <w:ind w:left="680" w:right="100" w:hanging="311"/>
        <w:spacing w:after="0" w:line="262" w:lineRule="auto"/>
        <w:tabs>
          <w:tab w:leader="none" w:pos="677"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These trading restrictions do not apply to transactions under a pre-existing written plan, contract, instruction, or arrangement under Rule 10b5-1 under the Securities Exchange Act of 1934, as amended, which meets all of the requirements of Rue 10b5-1 and has been approved by the Law Department prior to the start of an applicable blackout period (an “Approved 10b5-1 Plan”).</w:t>
      </w:r>
    </w:p>
    <w:p>
      <w:pPr>
        <w:spacing w:after="0" w:line="193" w:lineRule="exact"/>
        <w:rPr>
          <w:rFonts w:ascii="Times New Roman" w:cs="Times New Roman" w:eastAsia="Times New Roman" w:hAnsi="Times New Roman"/>
          <w:sz w:val="21"/>
          <w:szCs w:val="21"/>
          <w:color w:val="auto"/>
        </w:rPr>
      </w:pPr>
    </w:p>
    <w:p>
      <w:pPr>
        <w:jc w:val="both"/>
        <w:ind w:left="680" w:right="100"/>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are considering entering into, modifying or terminating an Approved 10b5-1 Plan or have any questions regarding Approved Rule 10b5-1 Plans, please contact Eric Schwartz or Lesha Shinn. You should consult your own legal and tax advisors before entering into, modifying, or terminating, an Approved 10b5-1 Plan. Please note that you may only enter into an Approved 10b5-1 Plan if (i) the trading window (as described below) is open and (ii) you are not in possession of material nonpublic information. A trading plan, contract, instruction or arrangement will not qualify as an Approved 10b5-1 Plan without the prior review and approval of the Law Department.</w:t>
      </w:r>
    </w:p>
    <w:p>
      <w:pPr>
        <w:spacing w:after="0" w:line="192" w:lineRule="exact"/>
        <w:rPr>
          <w:rFonts w:ascii="Times New Roman" w:cs="Times New Roman" w:eastAsia="Times New Roman" w:hAnsi="Times New Roman"/>
          <w:sz w:val="21"/>
          <w:szCs w:val="21"/>
          <w:color w:val="auto"/>
        </w:rPr>
      </w:pPr>
    </w:p>
    <w:p>
      <w:pPr>
        <w:ind w:left="560" w:hanging="315"/>
        <w:spacing w:after="0"/>
        <w:tabs>
          <w:tab w:leader="none" w:pos="5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Trading Window</w:t>
      </w:r>
      <w:r>
        <w:rPr>
          <w:rFonts w:ascii="Times New Roman" w:cs="Times New Roman" w:eastAsia="Times New Roman" w:hAnsi="Times New Roman"/>
          <w:sz w:val="21"/>
          <w:szCs w:val="21"/>
          <w:color w:val="auto"/>
        </w:rPr>
        <w:t>.</w:t>
      </w:r>
    </w:p>
    <w:p>
      <w:pPr>
        <w:spacing w:after="0" w:line="267" w:lineRule="exact"/>
        <w:rPr>
          <w:sz w:val="20"/>
          <w:szCs w:val="20"/>
          <w:color w:val="auto"/>
        </w:rPr>
      </w:pPr>
    </w:p>
    <w:p>
      <w:pPr>
        <w:jc w:val="both"/>
        <w:ind w:left="240"/>
        <w:spacing w:after="0" w:line="257" w:lineRule="auto"/>
        <w:rPr>
          <w:sz w:val="20"/>
          <w:szCs w:val="20"/>
          <w:color w:val="auto"/>
        </w:rPr>
      </w:pPr>
      <w:r>
        <w:rPr>
          <w:rFonts w:ascii="Times New Roman" w:cs="Times New Roman" w:eastAsia="Times New Roman" w:hAnsi="Times New Roman"/>
          <w:sz w:val="21"/>
          <w:szCs w:val="21"/>
          <w:color w:val="auto"/>
        </w:rPr>
        <w:t>Subject to the pre-clearance requirements described below, Covered Persons are permitted to trade in the Company’s securities when no blackout period is in effect. Generally, this means that Covered Persons can trade during the period beginning on the third full trading day following the date the Company’s financial results are publicly disclosed and ending on the final trading day on or prior to the 15th day of the last month in an applicable quarterly period. Even during this trading window, however, a Covered Person who is in possession of any material nonpublic information may not trade in the Company’s securities until such information has been made publicly available for at least two full trading days or is no longer material. In addition, the Company may close the trading window if a special blackout period under Section 1(b) above is imposed. The Company will re-open the trading window once the special blackout period has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8660" w:val="left"/>
        </w:tabs>
        <w:rPr>
          <w:sz w:val="20"/>
          <w:szCs w:val="20"/>
          <w:color w:val="auto"/>
        </w:rPr>
      </w:pPr>
      <w:r>
        <w:rPr>
          <w:rFonts w:ascii="Times New Roman" w:cs="Times New Roman" w:eastAsia="Times New Roman" w:hAnsi="Times New Roman"/>
          <w:sz w:val="18"/>
          <w:szCs w:val="18"/>
          <w:color w:val="auto"/>
        </w:rPr>
        <w:t>Integra LifeSciences Holdings Corporation</w:t>
      </w:r>
      <w:r>
        <w:rPr>
          <w:sz w:val="20"/>
          <w:szCs w:val="20"/>
          <w:color w:val="auto"/>
        </w:rPr>
        <w:tab/>
      </w:r>
      <w:r>
        <w:rPr>
          <w:rFonts w:ascii="Times New Roman" w:cs="Times New Roman" w:eastAsia="Times New Roman" w:hAnsi="Times New Roman"/>
          <w:sz w:val="17"/>
          <w:szCs w:val="17"/>
          <w:color w:val="auto"/>
        </w:rPr>
        <w:t>Trading Window Group Policy | 2</w:t>
      </w:r>
    </w:p>
    <w:p>
      <w:pPr>
        <w:sectPr>
          <w:pgSz w:w="11900" w:h="16838" w:orient="portrait"/>
          <w:cols w:equalWidth="0" w:num="1">
            <w:col w:w="11160"/>
          </w:cols>
          <w:pgMar w:left="400" w:top="1440" w:right="339" w:bottom="1440" w:gutter="0" w:footer="0" w:header="0"/>
        </w:sectPr>
      </w:pPr>
    </w:p>
    <w:bookmarkStart w:id="138" w:name="page139"/>
    <w:bookmarkEnd w:id="138"/>
    <w:p>
      <w:pPr>
        <w:spacing w:after="0" w:line="200" w:lineRule="exact"/>
        <w:rPr>
          <w:sz w:val="20"/>
          <w:szCs w:val="20"/>
          <w:color w:val="auto"/>
        </w:rPr>
      </w:pPr>
    </w:p>
    <w:p>
      <w:pPr>
        <w:spacing w:after="0" w:line="208" w:lineRule="exact"/>
        <w:rPr>
          <w:sz w:val="20"/>
          <w:szCs w:val="20"/>
          <w:color w:val="auto"/>
        </w:rPr>
      </w:pPr>
    </w:p>
    <w:p>
      <w:pPr>
        <w:ind w:left="640" w:hanging="315"/>
        <w:spacing w:after="0"/>
        <w:tabs>
          <w:tab w:leader="none" w:pos="64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Pre-clearance of Securities Transactions</w:t>
      </w:r>
      <w:r>
        <w:rPr>
          <w:rFonts w:ascii="Times New Roman" w:cs="Times New Roman" w:eastAsia="Times New Roman" w:hAnsi="Times New Roman"/>
          <w:sz w:val="21"/>
          <w:szCs w:val="21"/>
          <w:color w:val="auto"/>
        </w:rPr>
        <w:t>.</w:t>
      </w:r>
    </w:p>
    <w:p>
      <w:pPr>
        <w:spacing w:after="0" w:line="253" w:lineRule="exact"/>
        <w:rPr>
          <w:rFonts w:ascii="Times New Roman" w:cs="Times New Roman" w:eastAsia="Times New Roman" w:hAnsi="Times New Roman"/>
          <w:sz w:val="21"/>
          <w:szCs w:val="21"/>
          <w:color w:val="auto"/>
        </w:rPr>
      </w:pPr>
    </w:p>
    <w:p>
      <w:pPr>
        <w:jc w:val="both"/>
        <w:ind w:left="820" w:hanging="315"/>
        <w:spacing w:after="0" w:line="268" w:lineRule="auto"/>
        <w:tabs>
          <w:tab w:leader="none" w:pos="817"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Covered Persons may obtain material nonpublic information on a regular basis, the Company requires all such persons to refrain from trading, even during an open trading window, without first pre-clearing all transactions in the Company’s securities with the Law Department.</w:t>
      </w:r>
    </w:p>
    <w:p>
      <w:pPr>
        <w:spacing w:after="0" w:line="187" w:lineRule="exact"/>
        <w:rPr>
          <w:rFonts w:ascii="Times New Roman" w:cs="Times New Roman" w:eastAsia="Times New Roman" w:hAnsi="Times New Roman"/>
          <w:sz w:val="21"/>
          <w:szCs w:val="21"/>
          <w:color w:val="auto"/>
        </w:rPr>
      </w:pPr>
    </w:p>
    <w:p>
      <w:pPr>
        <w:jc w:val="both"/>
        <w:ind w:left="820" w:hanging="315"/>
        <w:spacing w:after="0" w:line="262" w:lineRule="auto"/>
        <w:tabs>
          <w:tab w:leader="none" w:pos="815"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transactions effected pursuant to an Approved 10b5-1 Plan, no Covered Person may, directly or indirectly, purchase or sell (or otherwise make any transfer, gift, pledge or loan of) any Company security at any time without first obtaining prior approval from the Law Department. These procedures also apply to transactions by such person’s spouse, other persons living in such person’s household and minor children and to transactions by entities over which such person exercises control.</w:t>
      </w:r>
    </w:p>
    <w:p>
      <w:pPr>
        <w:spacing w:after="0" w:line="195" w:lineRule="exact"/>
        <w:rPr>
          <w:rFonts w:ascii="Times New Roman" w:cs="Times New Roman" w:eastAsia="Times New Roman" w:hAnsi="Times New Roman"/>
          <w:sz w:val="21"/>
          <w:szCs w:val="21"/>
          <w:color w:val="auto"/>
        </w:rPr>
      </w:pPr>
    </w:p>
    <w:p>
      <w:pPr>
        <w:ind w:left="820" w:hanging="315"/>
        <w:spacing w:after="0" w:line="286" w:lineRule="auto"/>
        <w:tabs>
          <w:tab w:leader="none" w:pos="817"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Please contact Eric Schwartz or Lesha Shinn with any preclearance requests – or questions concerning the preclearance process – related to any contemplated transactions in the Company’s securities.</w:t>
      </w:r>
    </w:p>
    <w:p>
      <w:pPr>
        <w:spacing w:after="0" w:line="181" w:lineRule="exact"/>
        <w:rPr>
          <w:rFonts w:ascii="Times New Roman" w:cs="Times New Roman" w:eastAsia="Times New Roman" w:hAnsi="Times New Roman"/>
          <w:sz w:val="21"/>
          <w:szCs w:val="21"/>
          <w:color w:val="auto"/>
        </w:rPr>
      </w:pPr>
    </w:p>
    <w:p>
      <w:pPr>
        <w:jc w:val="both"/>
        <w:ind w:left="820" w:right="20" w:hanging="315"/>
        <w:spacing w:after="0" w:line="268" w:lineRule="auto"/>
        <w:tabs>
          <w:tab w:leader="none" w:pos="815"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revoked, a grant of preclearance will normally remain valid until the close of trading two days following the day on which it was granted. If the transaction does not occur during the two-day period, pre-clearance of the transaction must be re-requested.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009845"/>
        </w:rPr>
        <w:t>Company’s Right to Modify or Change Policie</w:t>
      </w:r>
      <w:r>
        <w:rPr>
          <w:rFonts w:ascii="Times New Roman" w:cs="Times New Roman" w:eastAsia="Times New Roman" w:hAnsi="Times New Roman"/>
          <w:sz w:val="25"/>
          <w:szCs w:val="25"/>
          <w:u w:val="single" w:color="auto"/>
          <w:color w:val="009845"/>
        </w:rPr>
        <w:t>s</w:t>
      </w:r>
    </w:p>
    <w:p>
      <w:pPr>
        <w:spacing w:after="0" w:line="230" w:lineRule="exact"/>
        <w:rPr>
          <w:sz w:val="20"/>
          <w:szCs w:val="20"/>
          <w:color w:val="auto"/>
        </w:rPr>
      </w:pPr>
    </w:p>
    <w:p>
      <w:pPr>
        <w:ind w:left="180"/>
        <w:spacing w:after="0" w:line="246" w:lineRule="auto"/>
        <w:rPr>
          <w:sz w:val="20"/>
          <w:szCs w:val="20"/>
          <w:color w:val="auto"/>
        </w:rPr>
      </w:pPr>
      <w:r>
        <w:rPr>
          <w:rFonts w:ascii="Times New Roman" w:cs="Times New Roman" w:eastAsia="Times New Roman" w:hAnsi="Times New Roman"/>
          <w:sz w:val="21"/>
          <w:szCs w:val="21"/>
          <w:color w:val="auto"/>
        </w:rPr>
        <w:t>The Company reserves the right to modify, revoke, suspend, terminate or change this policy in whole or in part, any time, with or without notice.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8740" w:val="left"/>
        </w:tabs>
        <w:rPr>
          <w:sz w:val="20"/>
          <w:szCs w:val="20"/>
          <w:color w:val="auto"/>
        </w:rPr>
      </w:pPr>
      <w:r>
        <w:rPr>
          <w:rFonts w:ascii="Times New Roman" w:cs="Times New Roman" w:eastAsia="Times New Roman" w:hAnsi="Times New Roman"/>
          <w:sz w:val="18"/>
          <w:szCs w:val="18"/>
          <w:color w:val="auto"/>
        </w:rPr>
        <w:t>Integra LifeSciences Holdings Corporation</w:t>
      </w:r>
      <w:r>
        <w:rPr>
          <w:sz w:val="20"/>
          <w:szCs w:val="20"/>
          <w:color w:val="auto"/>
        </w:rPr>
        <w:tab/>
      </w:r>
      <w:r>
        <w:rPr>
          <w:rFonts w:ascii="Times New Roman" w:cs="Times New Roman" w:eastAsia="Times New Roman" w:hAnsi="Times New Roman"/>
          <w:sz w:val="17"/>
          <w:szCs w:val="17"/>
          <w:color w:val="auto"/>
        </w:rPr>
        <w:t>Trading Window Group Policy | 3</w:t>
      </w:r>
    </w:p>
    <w:p>
      <w:pPr>
        <w:sectPr>
          <w:pgSz w:w="11900" w:h="16838" w:orient="portrait"/>
          <w:cols w:equalWidth="0" w:num="1">
            <w:col w:w="11240"/>
          </w:cols>
          <w:pgMar w:left="320" w:top="144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IART-2024.12.31-Exhibit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940" w:type="dxa"/>
            <w:vAlign w:val="bottom"/>
            <w:gridSpan w:val="3"/>
          </w:tcPr>
          <w:p>
            <w:pPr>
              <w:ind w:left="3420"/>
              <w:spacing w:after="0"/>
              <w:rPr>
                <w:sz w:val="20"/>
                <w:szCs w:val="20"/>
                <w:color w:val="auto"/>
              </w:rPr>
            </w:pPr>
            <w:r>
              <w:rPr>
                <w:rFonts w:ascii="Times New Roman" w:cs="Times New Roman" w:eastAsia="Times New Roman" w:hAnsi="Times New Roman"/>
                <w:sz w:val="18"/>
                <w:szCs w:val="18"/>
                <w:b w:val="1"/>
                <w:bCs w:val="1"/>
                <w:color w:val="auto"/>
              </w:rPr>
              <w:t>Subsidiaries of Integra LifeSciences Holdings Corporation</w:t>
            </w:r>
          </w:p>
        </w:tc>
      </w:tr>
      <w:tr>
        <w:trPr>
          <w:trHeight w:val="437"/>
        </w:trPr>
        <w:tc>
          <w:tcPr>
            <w:tcW w:w="6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r>
        <w:trPr>
          <w:trHeight w:val="205"/>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360" w:type="dxa"/>
            <w:vAlign w:val="bottom"/>
            <w:tcBorders>
              <w:bottom w:val="single" w:sz="8" w:color="auto"/>
              <w:right w:val="single" w:sz="8" w:color="auto"/>
            </w:tcBorders>
          </w:tcPr>
          <w:p>
            <w:pPr>
              <w:spacing w:after="0"/>
              <w:rPr>
                <w:sz w:val="17"/>
                <w:szCs w:val="17"/>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State or Country of Incorporation or Organization</w:t>
            </w:r>
          </w:p>
        </w:tc>
      </w:tr>
      <w:tr>
        <w:trPr>
          <w:trHeight w:val="220"/>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Acclarent,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ACell,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Arkis Biosciences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Ascension Orthopedics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BIMECO,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Florida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BioD,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BioDlogics,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BioRecovery,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CardioDyne,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Cathtec Incorporated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Caveangle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Confluent Surgical,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Derma First Aid Products,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Pennsylvania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Derma Sciences Europe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Derma Sciences,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EndoSolutions,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Fiber Imaging Technologies,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GMS, Gesellschaft für medizinische Sondentechnik mbH</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ILS Financing (Ireland)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Ireland</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ILS Financing Corporation</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ILS Services Switzerland Ltd.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ILS Surgical Investments,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 Sweden AB</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Sweden</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Burlington MA, Inc. (formerly known as Integra Radionics,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Canada ULC (formerly known as Canada Microsurgical ULC)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Canada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CI,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Euro Holdings,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France Holdings SAS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France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German Holdings GmbH</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GmbH</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Japan K.K.</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(Canada) Holdings,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05" w:right="339" w:bottom="1440" w:gutter="0" w:footer="0" w:header="0"/>
        </w:sectPr>
      </w:pPr>
    </w:p>
    <w:bookmarkStart w:id="140" w:name="page141"/>
    <w:bookmarkEnd w:id="1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67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(Ireland) Limited</w:t>
            </w:r>
          </w:p>
        </w:tc>
        <w:tc>
          <w:tcPr>
            <w:tcW w:w="360" w:type="dxa"/>
            <w:vAlign w:val="bottom"/>
            <w:tcBorders>
              <w:top w:val="single" w:sz="8" w:color="auto"/>
              <w:bottom w:val="single" w:sz="8" w:color="auto"/>
              <w:right w:val="single" w:sz="8" w:color="auto"/>
            </w:tcBorders>
          </w:tcPr>
          <w:p>
            <w:pPr>
              <w:spacing w:after="0"/>
              <w:rPr>
                <w:sz w:val="20"/>
                <w:szCs w:val="20"/>
                <w:color w:val="auto"/>
              </w:rPr>
            </w:pPr>
          </w:p>
        </w:tc>
        <w:tc>
          <w:tcPr>
            <w:tcW w:w="38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Ireland</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(Shanghai) Co., Ltd.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(Suzhou) Co., Ltd.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(Thailand)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Thailand</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Austria GmbH</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Austria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Brazil Ltda.</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Corporation</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Enterprises, LLLP</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Financing (Cyprus)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Cyprus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Israel Ltd.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Israel</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Italy S.r.l.</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Italy</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Korea Ltd.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Korea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Middle East FZ-LLC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Dubai</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Production Corporation</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Sales LLC (f/k/a Integra Healthcare Products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Services (France) SAS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France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Shared Services (Ireland)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Ireland</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Singapore Pte. Ltd.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Singapore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Spain, S.L.</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Spain</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Switzerland Sárl</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LifeSciences Taiwan Company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Taiwan</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LS (Benelux) NV</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Belgium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LS Mexico, S. DE R. L. DE C.V.</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Mexico</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Luxtec,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ME GmbH</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Medical Devices India Private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India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MicroFrance SAS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France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NeuroSciences (International),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NeuroSciences Holdings (UK)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NeuroSciences Holdings B.V.</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Netherlands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NeuroSciences Implants (France) SAS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France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NeuroSciences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Neurosciences Pty Ltd. (AUS)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Australia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Neurosciences Pty Ltd. (NZ)</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Zealand</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Receivables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Sales,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Selector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Switzerland Holdings Sárl</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Switzerland</w:t>
            </w:r>
          </w:p>
        </w:tc>
      </w:tr>
    </w:tbl>
    <w:p>
      <w:pPr>
        <w:sectPr>
          <w:pgSz w:w="11900" w:h="16838" w:orient="portrait"/>
          <w:cols w:equalWidth="0" w:num="1">
            <w:col w:w="10940"/>
          </w:cols>
          <w:pgMar w:left="320" w:top="1421" w:right="639" w:bottom="1440" w:gutter="0" w:footer="0" w:header="0"/>
        </w:sectPr>
      </w:pPr>
    </w:p>
    <w:bookmarkStart w:id="141" w:name="page142"/>
    <w:bookmarkEnd w:id="1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67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Integra York PA, Inc. (formerly known as Miltex, Inc.)</w:t>
            </w:r>
          </w:p>
        </w:tc>
        <w:tc>
          <w:tcPr>
            <w:tcW w:w="360" w:type="dxa"/>
            <w:vAlign w:val="bottom"/>
            <w:tcBorders>
              <w:top w:val="single" w:sz="8" w:color="auto"/>
              <w:bottom w:val="single" w:sz="8" w:color="auto"/>
              <w:right w:val="single" w:sz="8" w:color="auto"/>
            </w:tcBorders>
          </w:tcPr>
          <w:p>
            <w:pPr>
              <w:spacing w:after="0"/>
              <w:rPr>
                <w:sz w:val="20"/>
                <w:szCs w:val="20"/>
                <w:color w:val="auto"/>
              </w:rPr>
            </w:pPr>
          </w:p>
        </w:tc>
        <w:tc>
          <w:tcPr>
            <w:tcW w:w="38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IsoTis NV</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Netherlands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IsoTis T.E. Facility B.V.</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Netherlands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 Jamner Surgical Instruments,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Jarit GmbH</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Germany</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LXU Healthcare, Inc. - Medical Specialty Products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MedEfficiency,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Minnesota Scientific,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Minnesota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Newdeal SAS</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France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Newdeal,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Texas</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Precise Dental Holding Corp.</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Jersey</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Precise Dental Internacional, S.A. de C.V.</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Mexico</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Precise Dental Products, Ltd.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California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Precision Dental International,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California</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Rebound Therapeutics Corporation</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Spembly Cryosurgery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Spembly Medical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Surgical Innovation Associates,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Tarsus Medical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TEI Biosciences (UK) Limited</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TEI Biosciences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TEI Medical Inc.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19"/>
        </w:trPr>
        <w:tc>
          <w:tcPr>
            <w:tcW w:w="67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TGX Medical Systems, LLC</w:t>
            </w:r>
          </w:p>
        </w:tc>
        <w:tc>
          <w:tcPr>
            <w:tcW w:w="36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940"/>
          </w:cols>
          <w:pgMar w:left="320" w:top="1421" w:right="6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IART-2024.12.31-EXHIBIT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17"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333-269922) and Form S-8 (Nos. 333-231709, 333-221210, 333-216212, 333-170210, 333-155263, 333-127488, 333-109042, 333-261744, 333-266353, and 333-282990) of Integra LifeSciences Holdings Corporation of our report dated February 25, 2025 relating to the financial statements and the effectiveness of internal control over financial reporting, which appears in this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19"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Mojdeh Poul, certify that:</w:t>
      </w:r>
    </w:p>
    <w:p>
      <w:pPr>
        <w:spacing w:after="0" w:line="112" w:lineRule="exact"/>
        <w:rPr>
          <w:sz w:val="20"/>
          <w:szCs w:val="20"/>
          <w:color w:val="auto"/>
        </w:rPr>
      </w:pPr>
    </w:p>
    <w:p>
      <w:pPr>
        <w:ind w:left="640" w:hanging="315"/>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Integra LifeSciences Holdings Corporation;</w:t>
      </w:r>
    </w:p>
    <w:p>
      <w:pPr>
        <w:spacing w:after="0" w:line="11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1" w:lineRule="exact"/>
        <w:rPr>
          <w:rFonts w:ascii="Times New Roman" w:cs="Times New Roman" w:eastAsia="Times New Roman" w:hAnsi="Times New Roman"/>
          <w:sz w:val="18"/>
          <w:szCs w:val="18"/>
          <w:color w:val="auto"/>
        </w:rPr>
      </w:pPr>
    </w:p>
    <w:p>
      <w:pPr>
        <w:jc w:val="both"/>
        <w:ind w:left="1280" w:hanging="318"/>
        <w:spacing w:after="0" w:line="260" w:lineRule="auto"/>
        <w:tabs>
          <w:tab w:leader="none" w:pos="12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280" w:hanging="318"/>
        <w:spacing w:after="0" w:line="260" w:lineRule="auto"/>
        <w:tabs>
          <w:tab w:leader="none" w:pos="12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280" w:hanging="318"/>
        <w:spacing w:after="0" w:line="275" w:lineRule="auto"/>
        <w:tabs>
          <w:tab w:leader="none" w:pos="12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8"/>
          <w:szCs w:val="18"/>
          <w:color w:val="auto"/>
        </w:rPr>
      </w:pPr>
    </w:p>
    <w:p>
      <w:pPr>
        <w:jc w:val="both"/>
        <w:ind w:left="1280" w:hanging="318"/>
        <w:spacing w:after="0" w:line="260" w:lineRule="auto"/>
        <w:tabs>
          <w:tab w:leader="none" w:pos="12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hanging="315"/>
        <w:spacing w:after="0" w:line="275" w:lineRule="auto"/>
        <w:tabs>
          <w:tab w:leader="none" w:pos="6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1280" w:hanging="318"/>
        <w:spacing w:after="0" w:line="275" w:lineRule="auto"/>
        <w:tabs>
          <w:tab w:leader="none" w:pos="12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1280" w:hanging="318"/>
        <w:spacing w:after="0" w:line="275" w:lineRule="auto"/>
        <w:tabs>
          <w:tab w:leader="none" w:pos="12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6"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Mojdeh Poul</w:t>
            </w:r>
          </w:p>
        </w:tc>
      </w:tr>
      <w:tr>
        <w:trPr>
          <w:trHeight w:val="212"/>
        </w:trPr>
        <w:tc>
          <w:tcPr>
            <w:tcW w:w="54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Mojdeh Poul</w:t>
            </w:r>
          </w:p>
        </w:tc>
      </w:tr>
      <w:tr>
        <w:trPr>
          <w:trHeight w:val="234"/>
        </w:trPr>
        <w:tc>
          <w:tcPr>
            <w:tcW w:w="54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76"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Lea Knight, certify that:</w:t>
      </w:r>
    </w:p>
    <w:p>
      <w:pPr>
        <w:spacing w:after="0" w:line="112" w:lineRule="exact"/>
        <w:rPr>
          <w:sz w:val="20"/>
          <w:szCs w:val="20"/>
          <w:color w:val="auto"/>
        </w:rPr>
      </w:pPr>
    </w:p>
    <w:p>
      <w:pPr>
        <w:ind w:left="640" w:hanging="315"/>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Integra LifeSciences Holdings Corporation;</w:t>
      </w:r>
    </w:p>
    <w:p>
      <w:pPr>
        <w:spacing w:after="0" w:line="11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1" w:lineRule="exact"/>
        <w:rPr>
          <w:rFonts w:ascii="Times New Roman" w:cs="Times New Roman" w:eastAsia="Times New Roman" w:hAnsi="Times New Roman"/>
          <w:sz w:val="18"/>
          <w:szCs w:val="18"/>
          <w:color w:val="auto"/>
        </w:rPr>
      </w:pPr>
    </w:p>
    <w:p>
      <w:pPr>
        <w:jc w:val="both"/>
        <w:ind w:left="1280" w:hanging="318"/>
        <w:spacing w:after="0" w:line="260" w:lineRule="auto"/>
        <w:tabs>
          <w:tab w:leader="none" w:pos="127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280" w:hanging="318"/>
        <w:spacing w:after="0" w:line="260" w:lineRule="auto"/>
        <w:tabs>
          <w:tab w:leader="none" w:pos="127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280" w:hanging="318"/>
        <w:spacing w:after="0" w:line="275" w:lineRule="auto"/>
        <w:tabs>
          <w:tab w:leader="none" w:pos="127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8"/>
          <w:szCs w:val="18"/>
          <w:color w:val="auto"/>
        </w:rPr>
      </w:pPr>
    </w:p>
    <w:p>
      <w:pPr>
        <w:jc w:val="both"/>
        <w:ind w:left="1280" w:hanging="318"/>
        <w:spacing w:after="0" w:line="260" w:lineRule="auto"/>
        <w:tabs>
          <w:tab w:leader="none" w:pos="127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1280" w:hanging="318"/>
        <w:spacing w:after="0" w:line="275" w:lineRule="auto"/>
        <w:tabs>
          <w:tab w:leader="none" w:pos="127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1280" w:hanging="318"/>
        <w:spacing w:after="0" w:line="275" w:lineRule="auto"/>
        <w:tabs>
          <w:tab w:leader="none" w:pos="127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6" w:lineRule="exact"/>
        <w:rPr>
          <w:sz w:val="20"/>
          <w:szCs w:val="20"/>
          <w:color w:val="auto"/>
        </w:rPr>
      </w:pPr>
    </w:p>
    <w:tbl>
      <w:tblPr>
        <w:tblLayout w:type="fixed"/>
        <w:tblInd w:w="220" w:type="dxa"/>
        <w:tblCellMar>
          <w:top w:w="0" w:type="dxa"/>
          <w:left w:w="0" w:type="dxa"/>
          <w:bottom w:w="0" w:type="dxa"/>
          <w:right w:w="0" w:type="dxa"/>
        </w:tblCellMar>
      </w:tblPr>
      <w:tr>
        <w:trPr>
          <w:trHeight w:val="231"/>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Lea Knight</w:t>
            </w:r>
          </w:p>
        </w:tc>
      </w:tr>
      <w:tr>
        <w:trPr>
          <w:trHeight w:val="212"/>
        </w:trPr>
        <w:tc>
          <w:tcPr>
            <w:tcW w:w="53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4"/>
        </w:trPr>
        <w:tc>
          <w:tcPr>
            <w:tcW w:w="53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ectPr>
          <w:pgSz w:w="11900" w:h="16838" w:orient="portrait"/>
          <w:cols w:equalWidth="0" w:num="1">
            <w:col w:w="11240"/>
          </w:cols>
          <w:pgMar w:left="320" w:top="876"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Integra LifeSciences Holdings Corporation (the “Company”) on Form 10-K for the year ended December 31, 2024 as filed with the Securities Exchange Commission on the date hereof (the “Report”), I, Mojdeh Poul, President and Chief Executive Officer of the Company, hereby certify, pursuant to 18 U.S.C. §1350, as adopted pursuant to §906 of the Sarbanes-Oxley Act of 2002, that to the best of my knowledge:</w:t>
      </w:r>
    </w:p>
    <w:p>
      <w:pPr>
        <w:spacing w:after="0" w:line="204" w:lineRule="exact"/>
        <w:rPr>
          <w:sz w:val="20"/>
          <w:szCs w:val="20"/>
          <w:color w:val="auto"/>
        </w:rPr>
      </w:pPr>
    </w:p>
    <w:p>
      <w:pPr>
        <w:ind w:left="640" w:hanging="315"/>
        <w:spacing w:after="0" w:line="275"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15(d), as applicable, of the Securities Exchange Act of 1934, as amended; and</w:t>
      </w:r>
    </w:p>
    <w:p>
      <w:pPr>
        <w:spacing w:after="0" w:line="5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Mojdeh Poul</w:t>
            </w:r>
          </w:p>
        </w:tc>
      </w:tr>
      <w:tr>
        <w:trPr>
          <w:trHeight w:val="212"/>
        </w:trPr>
        <w:tc>
          <w:tcPr>
            <w:tcW w:w="54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Mojdeh Poul</w:t>
            </w:r>
          </w:p>
        </w:tc>
      </w:tr>
      <w:tr>
        <w:trPr>
          <w:trHeight w:val="234"/>
        </w:trPr>
        <w:tc>
          <w:tcPr>
            <w:tcW w:w="54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240"/>
          </w:cols>
          <w:pgMar w:left="320" w:top="876"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In connection with the Annual Report of Integra LifeSciences Holdings Corporation (the “Company”) on Form 10-K for the year ended December 31, 2024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w:t>
      </w:r>
    </w:p>
    <w:p>
      <w:pPr>
        <w:spacing w:after="0" w:line="185" w:lineRule="exact"/>
        <w:rPr>
          <w:sz w:val="20"/>
          <w:szCs w:val="20"/>
          <w:color w:val="auto"/>
        </w:rPr>
      </w:pPr>
    </w:p>
    <w:p>
      <w:pPr>
        <w:ind w:left="640" w:hanging="315"/>
        <w:spacing w:after="0" w:line="275"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Section 15(d), as applicable, of the Securities Exchange Act of 1934, as amended; and</w:t>
      </w:r>
    </w:p>
    <w:p>
      <w:pPr>
        <w:spacing w:after="0" w:line="5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Lea Knight</w:t>
            </w:r>
          </w:p>
        </w:tc>
      </w:tr>
      <w:tr>
        <w:trPr>
          <w:trHeight w:val="212"/>
        </w:trPr>
        <w:tc>
          <w:tcPr>
            <w:tcW w:w="538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 Knight</w:t>
            </w:r>
          </w:p>
        </w:tc>
      </w:tr>
      <w:tr>
        <w:trPr>
          <w:trHeight w:val="234"/>
        </w:trPr>
        <w:tc>
          <w:tcPr>
            <w:tcW w:w="5380" w:type="dxa"/>
            <w:vAlign w:val="bottom"/>
          </w:tcPr>
          <w:p>
            <w:pPr>
              <w:spacing w:after="0"/>
              <w:rPr>
                <w:sz w:val="20"/>
                <w:szCs w:val="20"/>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lowerRoman"/>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4"/>
    </w:lvl>
  </w:abstractNum>
  <w:abstractNum w:abstractNumId="19">
    <w:nsid w:val="77465F01"/>
    <w:multiLevelType w:val="hybridMultilevel"/>
    <w:lvl w:ilvl="0">
      <w:lvlJc w:val="left"/>
      <w:lvlText w:val="%1."/>
      <w:numFmt w:val="lowerRoman"/>
      <w:start w:val="1"/>
    </w:lvl>
    <w:lvl w:ilvl="1">
      <w:lvlJc w:val="left"/>
      <w:lvlText w:val="%2."/>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lowerRoman"/>
      <w:start w:val="4"/>
    </w:lvl>
  </w:abstractNum>
  <w:abstractNum w:abstractNumId="26">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
    <w:nsid w:val="153EA438"/>
    <w:multiLevelType w:val="hybridMultilevel"/>
    <w:lvl w:ilvl="0">
      <w:lvlJc w:val="left"/>
      <w:lvlText w:val="%1."/>
      <w:numFmt w:val="decimal"/>
      <w:start w:val="2"/>
    </w:lvl>
    <w:lvl w:ilvl="1">
      <w:lvlJc w:val="left"/>
      <w:lvlText w:val="(%2)"/>
      <w:numFmt w:val="lowerLetter"/>
      <w:start w:val="1"/>
    </w:lvl>
  </w:abstractNum>
  <w:abstractNum w:abstractNumId="28">
    <w:nsid w:val="3855585C"/>
    <w:multiLevelType w:val="hybridMultilevel"/>
    <w:lvl w:ilvl="0">
      <w:lvlJc w:val="left"/>
      <w:lvlText w:val="%1"/>
      <w:numFmt w:val="decimal"/>
      <w:start w:val="1"/>
    </w:lvl>
    <w:lvl w:ilvl="1">
      <w:lvlJc w:val="left"/>
      <w:lvlText w:val="(%2)"/>
      <w:numFmt w:val="lowerLetter"/>
      <w:start w:val="4"/>
    </w:lvl>
  </w:abstractNum>
  <w:abstractNum w:abstractNumId="29">
    <w:nsid w:val="70A64E2A"/>
    <w:multiLevelType w:val="hybridMultilevel"/>
    <w:lvl w:ilvl="0">
      <w:lvlJc w:val="left"/>
      <w:lvlText w:val="%1."/>
      <w:numFmt w:val="decimal"/>
      <w:start w:val="6"/>
    </w:lvl>
    <w:lvl w:ilvl="1">
      <w:lvlJc w:val="left"/>
      <w:lvlText w:val="(%2)"/>
      <w:numFmt w:val="lowerLetter"/>
      <w:start w:val="1"/>
    </w:lvl>
  </w:abstractNum>
  <w:abstractNum w:abstractNumId="30">
    <w:nsid w:val="6A2342EC"/>
    <w:multiLevelType w:val="hybridMultilevel"/>
    <w:lvl w:ilvl="0">
      <w:lvlJc w:val="left"/>
      <w:lvlText w:val="%1."/>
      <w:numFmt w:val="decimal"/>
      <w:start w:val="7"/>
    </w:lvl>
    <w:lvl w:ilvl="1">
      <w:lvlJc w:val="left"/>
      <w:lvlText w:val="(%2)"/>
      <w:numFmt w:val="lowerLetter"/>
      <w:start w:val="1"/>
    </w:lvl>
  </w:abstractNum>
  <w:abstractNum w:abstractNumId="31">
    <w:nsid w:val="2A487CB0"/>
    <w:multiLevelType w:val="hybridMultilevel"/>
    <w:lvl w:ilvl="0">
      <w:lvlJc w:val="left"/>
      <w:lvlText w:val="(%1)"/>
      <w:numFmt w:val="lowerLetter"/>
      <w:start w:val="2"/>
    </w:lvl>
  </w:abstractNum>
  <w:abstractNum w:abstractNumId="32">
    <w:nsid w:val="1D4ED43B"/>
    <w:multiLevelType w:val="hybridMultilevel"/>
    <w:lvl w:ilvl="0">
      <w:lvlJc w:val="left"/>
      <w:lvlText w:val="%1"/>
      <w:numFmt w:val="lowerRoman"/>
      <w:start w:val="1"/>
    </w:lvl>
    <w:lvl w:ilvl="1">
      <w:lvlJc w:val="left"/>
      <w:lvlText w:val="(%2)"/>
      <w:numFmt w:val="lowerRoman"/>
      <w:start w:val="1"/>
    </w:lvl>
  </w:abstractNum>
  <w:abstractNum w:abstractNumId="33">
    <w:nsid w:val="725A06FB"/>
    <w:multiLevelType w:val="hybridMultilevel"/>
    <w:lvl w:ilvl="0">
      <w:lvlJc w:val="left"/>
      <w:lvlText w:val="(%1)"/>
      <w:numFmt w:val="lowerRoman"/>
      <w:start w:val="1"/>
    </w:lvl>
    <w:lvl w:ilvl="1">
      <w:lvlJc w:val="left"/>
      <w:lvlText w:val="%2"/>
      <w:numFmt w:val="lowerRoman"/>
      <w:start w:val="1"/>
    </w:lvl>
  </w:abstractNum>
  <w:abstractNum w:abstractNumId="34">
    <w:nsid w:val="2CD89A32"/>
    <w:multiLevelType w:val="hybridMultilevel"/>
    <w:lvl w:ilvl="0">
      <w:lvlJc w:val="left"/>
      <w:lvlText w:val="(%1)"/>
      <w:numFmt w:val="lowerLetter"/>
      <w:start w:val="10"/>
    </w:lvl>
  </w:abstractNum>
  <w:abstractNum w:abstractNumId="35">
    <w:nsid w:val="57E4CCAF"/>
    <w:multiLevelType w:val="hybridMultilevel"/>
    <w:lvl w:ilvl="0">
      <w:lvlJc w:val="left"/>
      <w:lvlText w:val="%1."/>
      <w:numFmt w:val="decimal"/>
      <w:start w:val="1"/>
    </w:lvl>
    <w:lvl w:ilvl="1">
      <w:lvlJc w:val="left"/>
      <w:lvlText w:val="(%2)"/>
      <w:numFmt w:val="lowerLetter"/>
      <w:start w:val="1"/>
    </w:lvl>
  </w:abstractNum>
  <w:abstractNum w:abstractNumId="36">
    <w:nsid w:val="7A6D8D3C"/>
    <w:multiLevelType w:val="hybridMultilevel"/>
    <w:lvl w:ilvl="0">
      <w:lvlJc w:val="left"/>
      <w:lvlText w:val="(%1)"/>
      <w:numFmt w:val="lowerLetter"/>
      <w:start w:val="2"/>
    </w:lvl>
  </w:abstractNum>
  <w:abstractNum w:abstractNumId="37">
    <w:nsid w:val="4B588F54"/>
    <w:multiLevelType w:val="hybridMultilevel"/>
    <w:lvl w:ilvl="0">
      <w:lvlJc w:val="left"/>
      <w:lvlText w:val="%1."/>
      <w:numFmt w:val="decimal"/>
      <w:start w:val="2"/>
    </w:lvl>
    <w:lvl w:ilvl="1">
      <w:lvlJc w:val="left"/>
      <w:lvlText w:val="(%2)"/>
      <w:numFmt w:val="lowerLetter"/>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lowerLetter"/>
      <w:start w:val="3"/>
    </w:lvl>
  </w:abstractNum>
  <w:abstractNum w:abstractNumId="40">
    <w:nsid w:val="38437FDB"/>
    <w:multiLevelType w:val="hybridMultilevel"/>
    <w:lvl w:ilvl="0">
      <w:lvlJc w:val="left"/>
      <w:lvlText w:val="%1"/>
      <w:numFmt w:val="decimal"/>
      <w:start w:val="1"/>
    </w:lvl>
    <w:lvl w:ilvl="1">
      <w:lvlJc w:val="left"/>
      <w:lvlText w:val="(%2)"/>
      <w:numFmt w:val="lowerLetter"/>
      <w:start w:val="4"/>
    </w:lvl>
  </w:abstractNum>
  <w:abstractNum w:abstractNumId="41">
    <w:nsid w:val="7644A45C"/>
    <w:multiLevelType w:val="hybridMultilevel"/>
    <w:lvl w:ilvl="0">
      <w:lvlJc w:val="left"/>
      <w:lvlText w:val="%1."/>
      <w:numFmt w:val="decimal"/>
      <w:start w:val="3"/>
    </w:lvl>
    <w:lvl w:ilvl="1">
      <w:lvlJc w:val="left"/>
      <w:lvlText w:val="(%2)"/>
      <w:numFmt w:val="lowerLetter"/>
      <w:start w:val="1"/>
    </w:lvl>
  </w:abstractNum>
  <w:abstractNum w:abstractNumId="42">
    <w:nsid w:val="32FFF902"/>
    <w:multiLevelType w:val="hybridMultilevel"/>
    <w:lvl w:ilvl="0">
      <w:lvlJc w:val="left"/>
      <w:lvlText w:val="%1"/>
      <w:numFmt w:val="decimal"/>
      <w:start w:val="1"/>
    </w:lvl>
    <w:lvl w:ilvl="1">
      <w:lvlJc w:val="left"/>
      <w:lvlText w:val="(%2)"/>
      <w:numFmt w:val="lowerLetter"/>
      <w:start w:val="5"/>
    </w:lvl>
  </w:abstractNum>
  <w:abstractNum w:abstractNumId="43">
    <w:nsid w:val="684A481A"/>
    <w:multiLevelType w:val="hybridMultilevel"/>
    <w:lvl w:ilvl="0">
      <w:lvlJc w:val="left"/>
      <w:lvlText w:val="%1."/>
      <w:numFmt w:val="decimal"/>
      <w:start w:val="4"/>
    </w:lvl>
    <w:lvl w:ilvl="1">
      <w:lvlJc w:val="left"/>
      <w:lvlText w:val="(%2)"/>
      <w:numFmt w:val="lowerLetter"/>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decimal"/>
      <w:start w:val="1"/>
    </w:lvl>
    <w:lvl w:ilvl="1">
      <w:lvlJc w:val="left"/>
      <w:lvlText w:val="(%2)"/>
      <w:numFmt w:val="lowerLetter"/>
      <w:start w:val="2"/>
    </w:lvl>
  </w:abstractNum>
  <w:abstractNum w:abstractNumId="48">
    <w:nsid w:val="79A1DEAA"/>
    <w:multiLevelType w:val="hybridMultilevel"/>
    <w:lvl w:ilvl="0">
      <w:lvlJc w:val="left"/>
      <w:lvlText w:val="%1."/>
      <w:numFmt w:val="decimal"/>
      <w:start w:val="2"/>
    </w:lvl>
    <w:lvl w:ilvl="1">
      <w:lvlJc w:val="left"/>
      <w:lvlText w:val="%2"/>
      <w:numFmt w:val="lowerLetter"/>
      <w:start w:val="1"/>
    </w:lvl>
  </w:abstractNum>
  <w:abstractNum w:abstractNumId="49">
    <w:nsid w:val="75C6C33A"/>
    <w:multiLevelType w:val="hybridMultilevel"/>
    <w:lvl w:ilvl="0">
      <w:lvlJc w:val="left"/>
      <w:lvlText w:val="%1."/>
      <w:numFmt w:val="decimal"/>
      <w:start w:val="3"/>
    </w:lvl>
    <w:lvl w:ilvl="1">
      <w:lvlJc w:val="left"/>
      <w:lvlText w:val="(%2)"/>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2" Type="http://schemas.openxmlformats.org/officeDocument/2006/relationships/image" Target="media/image59.png"/><Relationship Id="rId89" Type="http://schemas.openxmlformats.org/officeDocument/2006/relationships/image" Target="media/image60.png"/><Relationship Id="rId107" Type="http://schemas.openxmlformats.org/officeDocument/2006/relationships/image" Target="media/image61.png"/><Relationship Id="rId118" Type="http://schemas.openxmlformats.org/officeDocument/2006/relationships/image" Target="media/image62.png"/><Relationship Id="rId131" Type="http://schemas.openxmlformats.org/officeDocument/2006/relationships/image" Target="media/image63.png"/><Relationship Id="rId133" Type="http://schemas.openxmlformats.org/officeDocument/2006/relationships/image" Target="media/image64.png"/><Relationship Id="rId134" Type="http://schemas.openxmlformats.org/officeDocument/2006/relationships/image" Target="media/image65.png"/><Relationship Id="rId135" Type="http://schemas.openxmlformats.org/officeDocument/2006/relationships/image" Target="media/image66.png"/><Relationship Id="rId136" Type="http://schemas.openxmlformats.org/officeDocument/2006/relationships/image" Target="media/image67.png"/><Relationship Id="rId137" Type="http://schemas.openxmlformats.org/officeDocument/2006/relationships/image" Target="media/image68.png"/><Relationship Id="rId138" Type="http://schemas.openxmlformats.org/officeDocument/2006/relationships/image" Target="media/image69.png"/><Relationship Id="rId139" Type="http://schemas.openxmlformats.org/officeDocument/2006/relationships/image" Target="media/image70.png"/><Relationship Id="rId140" Type="http://schemas.openxmlformats.org/officeDocument/2006/relationships/image" Target="media/image71.png"/><Relationship Id="rId141" Type="http://schemas.openxmlformats.org/officeDocument/2006/relationships/image" Target="media/image72.png"/><Relationship Id="rId142" Type="http://schemas.openxmlformats.org/officeDocument/2006/relationships/image" Target="media/image73.png"/><Relationship Id="rId143" Type="http://schemas.openxmlformats.org/officeDocument/2006/relationships/image" Target="media/image74.png"/><Relationship Id="rId144" Type="http://schemas.openxmlformats.org/officeDocument/2006/relationships/image" Target="media/image75.png"/><Relationship Id="rId145" Type="http://schemas.openxmlformats.org/officeDocument/2006/relationships/image" Target="media/image76.png"/><Relationship Id="rId146" Type="http://schemas.openxmlformats.org/officeDocument/2006/relationships/image" Target="media/image77.png"/><Relationship Id="rId147" Type="http://schemas.openxmlformats.org/officeDocument/2006/relationships/image" Target="media/image78.png"/><Relationship Id="rId148" Type="http://schemas.openxmlformats.org/officeDocument/2006/relationships/image" Target="media/image79.png"/><Relationship Id="rId149" Type="http://schemas.openxmlformats.org/officeDocument/2006/relationships/image" Target="media/image80.png"/><Relationship Id="rId150" Type="http://schemas.openxmlformats.org/officeDocument/2006/relationships/image" Target="media/image81.png"/><Relationship Id="rId151" Type="http://schemas.openxmlformats.org/officeDocument/2006/relationships/image" Target="media/image82.png"/><Relationship Id="rId152" Type="http://schemas.openxmlformats.org/officeDocument/2006/relationships/image" Target="media/image83.png"/><Relationship Id="rId153" Type="http://schemas.openxmlformats.org/officeDocument/2006/relationships/image" Target="media/image84.png"/><Relationship Id="rId154" Type="http://schemas.openxmlformats.org/officeDocument/2006/relationships/image" Target="media/image85.png"/><Relationship Id="rId155" Type="http://schemas.openxmlformats.org/officeDocument/2006/relationships/image" Target="media/image86.png"/><Relationship Id="rId156" Type="http://schemas.openxmlformats.org/officeDocument/2006/relationships/image" Target="media/image87.png"/><Relationship Id="rId157" Type="http://schemas.openxmlformats.org/officeDocument/2006/relationships/image" Target="media/image88.png"/><Relationship Id="rId158" Type="http://schemas.openxmlformats.org/officeDocument/2006/relationships/image" Target="media/image89.png"/><Relationship Id="rId159" Type="http://schemas.openxmlformats.org/officeDocument/2006/relationships/image" Target="media/image90.png"/><Relationship Id="rId160" Type="http://schemas.openxmlformats.org/officeDocument/2006/relationships/image" Target="media/image91.png"/><Relationship Id="rId161" Type="http://schemas.openxmlformats.org/officeDocument/2006/relationships/image" Target="media/image92.png"/><Relationship Id="rId162" Type="http://schemas.openxmlformats.org/officeDocument/2006/relationships/image" Target="media/image93.png"/><Relationship Id="rId163" Type="http://schemas.openxmlformats.org/officeDocument/2006/relationships/image" Target="media/image94.png"/><Relationship Id="rId164" Type="http://schemas.openxmlformats.org/officeDocument/2006/relationships/image" Target="media/image95.png"/><Relationship Id="rId165" Type="http://schemas.openxmlformats.org/officeDocument/2006/relationships/image" Target="media/image96.png"/><Relationship Id="rId166" Type="http://schemas.openxmlformats.org/officeDocument/2006/relationships/image" Target="media/image97.png"/><Relationship Id="rId167" Type="http://schemas.openxmlformats.org/officeDocument/2006/relationships/image" Target="media/image98.png"/><Relationship Id="rId168" Type="http://schemas.openxmlformats.org/officeDocument/2006/relationships/image" Target="media/image99.png"/><Relationship Id="rId169" Type="http://schemas.openxmlformats.org/officeDocument/2006/relationships/image" Target="media/image100.png"/><Relationship Id="rId170" Type="http://schemas.openxmlformats.org/officeDocument/2006/relationships/image" Target="media/image101.png"/><Relationship Id="rId171" Type="http://schemas.openxmlformats.org/officeDocument/2006/relationships/image" Target="media/image102.png"/><Relationship Id="rId172" Type="http://schemas.openxmlformats.org/officeDocument/2006/relationships/image" Target="media/image103.png"/><Relationship Id="rId173" Type="http://schemas.openxmlformats.org/officeDocument/2006/relationships/image" Target="media/image104.png"/><Relationship Id="rId174" Type="http://schemas.openxmlformats.org/officeDocument/2006/relationships/image" Target="media/image105.png"/><Relationship Id="rId175" Type="http://schemas.openxmlformats.org/officeDocument/2006/relationships/image" Target="media/image106.png"/><Relationship Id="rId176" Type="http://schemas.openxmlformats.org/officeDocument/2006/relationships/image" Target="media/image107.png"/><Relationship Id="rId177" Type="http://schemas.openxmlformats.org/officeDocument/2006/relationships/image" Target="media/image108.png"/><Relationship Id="rId178" Type="http://schemas.openxmlformats.org/officeDocument/2006/relationships/image" Target="media/image109.png"/><Relationship Id="rId179" Type="http://schemas.openxmlformats.org/officeDocument/2006/relationships/image" Target="media/image110.png"/><Relationship Id="rId180" Type="http://schemas.openxmlformats.org/officeDocument/2006/relationships/image" Target="media/image111.png"/><Relationship Id="rId181" Type="http://schemas.openxmlformats.org/officeDocument/2006/relationships/image" Target="media/image112.png"/><Relationship Id="rId182" Type="http://schemas.openxmlformats.org/officeDocument/2006/relationships/image" Target="media/image113.png"/><Relationship Id="rId183" Type="http://schemas.openxmlformats.org/officeDocument/2006/relationships/image" Target="media/image114.png"/><Relationship Id="rId184" Type="http://schemas.openxmlformats.org/officeDocument/2006/relationships/image" Target="media/image115.png"/><Relationship Id="rId185" Type="http://schemas.openxmlformats.org/officeDocument/2006/relationships/image" Target="media/image116.png"/><Relationship Id="rId186" Type="http://schemas.openxmlformats.org/officeDocument/2006/relationships/image" Target="media/image117.png"/><Relationship Id="rId187" Type="http://schemas.openxmlformats.org/officeDocument/2006/relationships/image" Target="media/image118.png"/><Relationship Id="rId188" Type="http://schemas.openxmlformats.org/officeDocument/2006/relationships/image" Target="media/image119.png"/><Relationship Id="rId189" Type="http://schemas.openxmlformats.org/officeDocument/2006/relationships/image" Target="media/image120.png"/><Relationship Id="rId190" Type="http://schemas.openxmlformats.org/officeDocument/2006/relationships/image" Target="media/image121.png"/><Relationship Id="rId191" Type="http://schemas.openxmlformats.org/officeDocument/2006/relationships/image" Target="media/image122.png"/><Relationship Id="rId192" Type="http://schemas.openxmlformats.org/officeDocument/2006/relationships/image" Target="media/image123.png"/><Relationship Id="rId193" Type="http://schemas.openxmlformats.org/officeDocument/2006/relationships/image" Target="media/image124.png"/><Relationship Id="rId194" Type="http://schemas.openxmlformats.org/officeDocument/2006/relationships/image" Target="media/image125.png"/><Relationship Id="rId195" Type="http://schemas.openxmlformats.org/officeDocument/2006/relationships/image" Target="media/image126.png"/><Relationship Id="rId196" Type="http://schemas.openxmlformats.org/officeDocument/2006/relationships/image" Target="media/image127.png"/><Relationship Id="rId197" Type="http://schemas.openxmlformats.org/officeDocument/2006/relationships/image" Target="media/image128.png"/><Relationship Id="rId198" Type="http://schemas.openxmlformats.org/officeDocument/2006/relationships/image" Target="media/image129.png"/><Relationship Id="rId199" Type="http://schemas.openxmlformats.org/officeDocument/2006/relationships/image" Target="media/image130.png"/><Relationship Id="rId200" Type="http://schemas.openxmlformats.org/officeDocument/2006/relationships/image" Target="media/image131.png"/><Relationship Id="rId201" Type="http://schemas.openxmlformats.org/officeDocument/2006/relationships/image" Target="media/image132.png"/><Relationship Id="rId202" Type="http://schemas.openxmlformats.org/officeDocument/2006/relationships/image" Target="media/image133.png"/><Relationship Id="rId203" Type="http://schemas.openxmlformats.org/officeDocument/2006/relationships/image" Target="media/image134.png"/><Relationship Id="rId204" Type="http://schemas.openxmlformats.org/officeDocument/2006/relationships/image" Target="media/image135.png"/><Relationship Id="rId205" Type="http://schemas.openxmlformats.org/officeDocument/2006/relationships/image" Target="media/image136.png"/><Relationship Id="rId206" Type="http://schemas.openxmlformats.org/officeDocument/2006/relationships/image" Target="media/image137.png"/><Relationship Id="rId207" Type="http://schemas.openxmlformats.org/officeDocument/2006/relationships/image" Target="media/image138.png"/><Relationship Id="rId208" Type="http://schemas.openxmlformats.org/officeDocument/2006/relationships/image" Target="media/image139.png"/><Relationship Id="rId209" Type="http://schemas.openxmlformats.org/officeDocument/2006/relationships/image" Target="media/image140.png"/><Relationship Id="rId66" Type="http://schemas.openxmlformats.org/officeDocument/2006/relationships/hyperlink" Target="https://www.sec.gov/Archives/edgar/data/917520/000091752021000018/iart-20201231xexx21b.htm" TargetMode="External"/><Relationship Id="rId67" Type="http://schemas.openxmlformats.org/officeDocument/2006/relationships/hyperlink" Target="https://www.sec.gov/Archives/edgar/data/917520/000091752024000022/iart-20231231xexx21c.htm" TargetMode="External"/><Relationship Id="rId68" Type="http://schemas.openxmlformats.org/officeDocument/2006/relationships/hyperlink" Target="https://www.sec.gov/Archives/edgar/data/917520/000091752006000066/ex3-1aform10k031406.txt" TargetMode="External"/><Relationship Id="rId69" Type="http://schemas.openxmlformats.org/officeDocument/2006/relationships/hyperlink" Target="https://www.sec.gov/Archives/edgar/data/917520/0000889812-99-001063.txt" TargetMode="External"/><Relationship Id="rId70" Type="http://schemas.openxmlformats.org/officeDocument/2006/relationships/hyperlink" Target="https://www.sec.gov/Archives/edgar/data/917520/000095012305003217/y06769exv3w1wc.txt" TargetMode="External"/><Relationship Id="rId71" Type="http://schemas.openxmlformats.org/officeDocument/2006/relationships/hyperlink" Target="https://www.sec.gov/Archives/edgar/data/917520/000091752016000107/ex_3x1xfileddecember22x2016.htm" TargetMode="External"/><Relationship Id="rId73" Type="http://schemas.openxmlformats.org/officeDocument/2006/relationships/hyperlink" Target="https://www.sec.gov/Archives/edgar/data/917520/000091752024000108/iart-20240930xexx31e.htm" TargetMode="External"/><Relationship Id="rId74" Type="http://schemas.openxmlformats.org/officeDocument/2006/relationships/hyperlink" Target="https://www.sec.gov/Archives/edgar/data/917520/000091752023000015/iart-20221231xexx33.htm" TargetMode="External"/><Relationship Id="rId75" Type="http://schemas.openxmlformats.org/officeDocument/2006/relationships/hyperlink" Target="https://www.sec.gov/Archives/edgar/data/917520/000119312520028314/d862844dex41.htm" TargetMode="External"/><Relationship Id="rId76" Type="http://schemas.openxmlformats.org/officeDocument/2006/relationships/hyperlink" Target="https://www.sec.gov/Archives/edgar/data/917520/000091752020000051/exhibit41.htm" TargetMode="External"/><Relationship Id="rId77" Type="http://schemas.openxmlformats.org/officeDocument/2006/relationships/hyperlink" Target="https://www.sec.gov/Archives/edgar/data/917520/000119312519155388/d752260dex44.htm" TargetMode="External"/><Relationship Id="rId78" Type="http://schemas.openxmlformats.org/officeDocument/2006/relationships/hyperlink" Target="https://www.sec.gov/Archives/edgar/data/917520/000129993311000711/exhibit1.htm" TargetMode="External"/><Relationship Id="rId79" Type="http://schemas.openxmlformats.org/officeDocument/2006/relationships/hyperlink" Target="https://www.sec.gov/Archives/edgar/data/917520/000091752017000017/exhibit101_leasemodificati.htm" TargetMode="External"/><Relationship Id="rId80" Type="http://schemas.openxmlformats.org/officeDocument/2006/relationships/hyperlink" Target="https://www.sec.gov/Archives/edgar/data/917520/000091752005000099/ex4-1forms8081205.txt" TargetMode="External"/><Relationship Id="rId81" Type="http://schemas.openxmlformats.org/officeDocument/2006/relationships/hyperlink" Target="https://www.sec.gov/Archives/edgar/data/917520/000091752005000110/ex10-1form8k102705.txt" TargetMode="External"/><Relationship Id="rId82" Type="http://schemas.openxmlformats.org/officeDocument/2006/relationships/hyperlink" Target="https://www.sec.gov/Archives/edgar/data/917520/000129993310002081/exhibit1.htm" TargetMode="External"/><Relationship Id="rId83" Type="http://schemas.openxmlformats.org/officeDocument/2006/relationships/hyperlink" Target="https://www.sec.gov/Archives/edgar/data/917520/000119312512326115/d364710dex109.htm" TargetMode="External"/><Relationship Id="rId84" Type="http://schemas.openxmlformats.org/officeDocument/2006/relationships/hyperlink" Target="https://www.sec.gov/Archives/edgar/data/917520/000091752013000041/exhibit104amendmenttosecon.htm" TargetMode="External"/><Relationship Id="rId85" Type="http://schemas.openxmlformats.org/officeDocument/2006/relationships/hyperlink" Target="https://www.sec.gov/Archives/edgar/data/917520/000091752015000025/exhibit101-thirdamendedand.htm" TargetMode="External"/><Relationship Id="rId86" Type="http://schemas.openxmlformats.org/officeDocument/2006/relationships/hyperlink" Target="https://www.sec.gov/Archives/edgar/data/917520/000091752017000025/exhibit_10x1.htm" TargetMode="External"/><Relationship Id="rId87" Type="http://schemas.openxmlformats.org/officeDocument/2006/relationships/hyperlink" Target="https://www.sec.gov/Archives/edgar/data/917520/000091752020000037/iart-20200630xexx101.htm" TargetMode="External"/><Relationship Id="rId88" Type="http://schemas.openxmlformats.org/officeDocument/2006/relationships/hyperlink" Target="https://www.sec.gov/Archives/edgar/data/917520/000091752021000029/ex101.htm" TargetMode="External"/><Relationship Id="rId90" Type="http://schemas.openxmlformats.org/officeDocument/2006/relationships/hyperlink" Target="https://www.sec.gov/Archives/edgar/data/917520/000091752023000015/iart-20221231xexx103h.htm" TargetMode="External"/><Relationship Id="rId91" Type="http://schemas.openxmlformats.org/officeDocument/2006/relationships/hyperlink" Target="https://www.sec.gov/Archives/edgar/data/917520/000091752023000015/iart-20221231xexx103i.htm" TargetMode="External"/><Relationship Id="rId92" Type="http://schemas.openxmlformats.org/officeDocument/2006/relationships/hyperlink" Target="https://www.sec.gov/Archives/edgar/data/917520/000091752023000015/iart-20221231xexx103j.htm" TargetMode="External"/><Relationship Id="rId93" Type="http://schemas.openxmlformats.org/officeDocument/2006/relationships/hyperlink" Target="https://www.sec.gov/Archives/edgar/data/917520/000091752023000015/iart-20221231xexx103k.htm" TargetMode="External"/><Relationship Id="rId94" Type="http://schemas.openxmlformats.org/officeDocument/2006/relationships/hyperlink" Target="https://www.sec.gov/Archives/edgar/data/917520/000091752023000015/iart-20221231xexx103l.htm" TargetMode="External"/><Relationship Id="rId95" Type="http://schemas.openxmlformats.org/officeDocument/2006/relationships/hyperlink" Target="https://www.sec.gov/Archives/edgar/data/917520/000091752024000108/iart-20240930xexx101.htm" TargetMode="External"/><Relationship Id="rId96" Type="http://schemas.openxmlformats.org/officeDocument/2006/relationships/hyperlink" Target="https://www.sec.gov/Archives/edgar/data/917520/000091752024000061/iart-20240331xexx102.htm" TargetMode="External"/><Relationship Id="rId97" Type="http://schemas.openxmlformats.org/officeDocument/2006/relationships/hyperlink" Target="https://www.sec.gov/Archives/edgar/data/917520/000091752022000029/ex101indemnificationagreem.htm" TargetMode="External"/><Relationship Id="rId98" Type="http://schemas.openxmlformats.org/officeDocument/2006/relationships/hyperlink" Target="https://www.sec.gov/Archives/edgar/data/917520/000091752013000060/exhibit102-summaryofexecut.htm" TargetMode="External"/><Relationship Id="rId99" Type="http://schemas.openxmlformats.org/officeDocument/2006/relationships/hyperlink" Target="https://www.sec.gov/Archives/edgar/data/917520/000091752017000025/exhibit_10x2.htm" TargetMode="External"/><Relationship Id="rId100" Type="http://schemas.openxmlformats.org/officeDocument/2006/relationships/hyperlink" Target="https://www.sec.gov/Archives/edgar/data/917520/000091752024000121/december17_exhibit101xcic.htm" TargetMode="External"/><Relationship Id="rId101" Type="http://schemas.openxmlformats.org/officeDocument/2006/relationships/hyperlink" Target="https://www.sec.gov/Archives/edgar/data/917520/000095012308005803/y51439exv10w43wc.htm" TargetMode="External"/><Relationship Id="rId102" Type="http://schemas.openxmlformats.org/officeDocument/2006/relationships/hyperlink" Target="https://www.sec.gov/Archives/edgar/data/917520/000091752024000105/exhibit101_projecteaglex.htm" TargetMode="External"/><Relationship Id="rId103" Type="http://schemas.openxmlformats.org/officeDocument/2006/relationships/hyperlink" Target="https://www.sec.gov/Archives/edgar/data/917520/000091752016000104/exhibit_10x2xdecemberx5x20.htm" TargetMode="External"/><Relationship Id="rId104" Type="http://schemas.openxmlformats.org/officeDocument/2006/relationships/hyperlink" Target="https://www.sec.gov/Archives/edgar/data/917520/000091752021000043/ex10_1xintegraemployment.htm" TargetMode="External"/><Relationship Id="rId105" Type="http://schemas.openxmlformats.org/officeDocument/2006/relationships/hyperlink" Target="https://www.sec.gov/Archives/edgar/data/917520/000091752024000018/exhibit101_integraxlette.htm" TargetMode="External"/><Relationship Id="rId106" Type="http://schemas.openxmlformats.org/officeDocument/2006/relationships/hyperlink" Target="https://www.sec.gov/Archives/edgar/data/917520/000092963818001000/exhibit10-1.htm" TargetMode="External"/><Relationship Id="rId108" Type="http://schemas.openxmlformats.org/officeDocument/2006/relationships/hyperlink" Target="https://www.sec.gov/Archives/edgar/data/917520/000091752021000039/iart-20210630xexx101.htm" TargetMode="External"/><Relationship Id="rId109" Type="http://schemas.openxmlformats.org/officeDocument/2006/relationships/hyperlink" Target="https://www.sec.gov/Archives/edgar/data/917520/000091752023000030/iart-20230331xexx104.htm" TargetMode="External"/><Relationship Id="rId110" Type="http://schemas.openxmlformats.org/officeDocument/2006/relationships/hyperlink" Target="https://www.sec.gov/Archives/edgar/data/917520/000091752024000022/iart-20231231xexx1012f.htm" TargetMode="External"/><Relationship Id="rId111" Type="http://schemas.openxmlformats.org/officeDocument/2006/relationships/hyperlink" Target="https://www.sec.gov/Archives/edgar/data/917520/000092963818001000/exhibit10-2.htm" TargetMode="External"/><Relationship Id="rId112" Type="http://schemas.openxmlformats.org/officeDocument/2006/relationships/hyperlink" Target="https://www.sec.gov/Archives/edgar/data/917520/000091752023000017/integra-7tharcreditagree.htm" TargetMode="External"/><Relationship Id="rId113" Type="http://schemas.openxmlformats.org/officeDocument/2006/relationships/hyperlink" Target="https://www.sec.gov/Archives/edgar/data/917520/000119312520028314/d862844dex101.htm" TargetMode="External"/><Relationship Id="rId114" Type="http://schemas.openxmlformats.org/officeDocument/2006/relationships/hyperlink" Target="https://www.sec.gov/Archives/edgar/data/917520/000091752023000017/integraratificationagree.htm" TargetMode="External"/><Relationship Id="rId115" Type="http://schemas.openxmlformats.org/officeDocument/2006/relationships/hyperlink" Target="https://www.sec.gov/Archives/edgar/data/917520/000119312520028314/d862844dex103.htm" TargetMode="External"/><Relationship Id="rId116" Type="http://schemas.openxmlformats.org/officeDocument/2006/relationships/hyperlink" Target="https://www.sec.gov/Archives/edgar/data/917520/000119312520028314/d862844dex104.htm" TargetMode="External"/><Relationship Id="rId117" Type="http://schemas.openxmlformats.org/officeDocument/2006/relationships/hyperlink" Target="https://www.sec.gov/Archives/edgar/data/917520/000119312520028314/d862844dex105.htm" TargetMode="External"/><Relationship Id="rId119" Type="http://schemas.openxmlformats.org/officeDocument/2006/relationships/hyperlink" Target="https://www.sec.gov/Archives/edgar/data/917520/000119312520028314/d862844dex106.htm" TargetMode="External"/><Relationship Id="rId120" Type="http://schemas.openxmlformats.org/officeDocument/2006/relationships/hyperlink" Target="https://www.sec.gov/Archives/edgar/data/917520/000119312520028314/d862844dex107.htm" TargetMode="External"/><Relationship Id="rId121" Type="http://schemas.openxmlformats.org/officeDocument/2006/relationships/hyperlink" Target="https://www.sec.gov/Archives/edgar/data/917520/000119312520028314/d862844dex108.htm" TargetMode="External"/><Relationship Id="rId122" Type="http://schemas.openxmlformats.org/officeDocument/2006/relationships/hyperlink" Target="https://www.sec.gov/Archives/edgar/data/917520/000119312520028314/d862844dex109.htm" TargetMode="External"/><Relationship Id="rId123" Type="http://schemas.openxmlformats.org/officeDocument/2006/relationships/hyperlink" Target="https://www.sec.gov/Archives/edgar/data/917520/000119312520028314/d862844dex1010.htm" TargetMode="External"/><Relationship Id="rId124" Type="http://schemas.openxmlformats.org/officeDocument/2006/relationships/hyperlink" Target="https://www.sec.gov/Archives/edgar/data/917520/000119312520028314/d862844dex1011.htm" TargetMode="External"/><Relationship Id="rId125" Type="http://schemas.openxmlformats.org/officeDocument/2006/relationships/hyperlink" Target="https://www.sec.gov/Archives/edgar/data/917520/000119312520028314/d862844dex1012.htm" TargetMode="External"/><Relationship Id="rId126" Type="http://schemas.openxmlformats.org/officeDocument/2006/relationships/hyperlink" Target="https://www.sec.gov/Archives/edgar/data/917520/000119312520028314/d862844dex1013.htm" TargetMode="External"/><Relationship Id="rId127" Type="http://schemas.openxmlformats.org/officeDocument/2006/relationships/hyperlink" Target="https://www.sec.gov/Archives/edgar/data/917520/000119312520028314/d862844dex1014.htm" TargetMode="External"/><Relationship Id="rId128" Type="http://schemas.openxmlformats.org/officeDocument/2006/relationships/hyperlink" Target="https://www.sec.gov/Archives/edgar/data/917520/000119312520028314/d862844dex1015.htm" TargetMode="External"/><Relationship Id="rId129" Type="http://schemas.openxmlformats.org/officeDocument/2006/relationships/hyperlink" Target="https://www.sec.gov/Archives/edgar/data/917520/000119312520028314/d862844dex1016.htm" TargetMode="External"/><Relationship Id="rId130" Type="http://schemas.openxmlformats.org/officeDocument/2006/relationships/hyperlink" Target="https://www.sec.gov/Archives/edgar/data/917520/000119312520028314/d862844dex1017.htm" TargetMode="External"/><Relationship Id="rId132" Type="http://schemas.openxmlformats.org/officeDocument/2006/relationships/hyperlink" Target="https://www.sec.gov/Archives/edgar/data/917520/000091752024000022/iart-20231231x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2025-02-25T17:17:37Z</dcterms:created>
  <dcterms:modified xsi:type="dcterms:W3CDTF">2025-02-25T17:17:37Z</dcterms:modified>
</cp:coreProperties>
</file>