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24" w:lineRule="exact"/>
        <w:rPr>
          <w:sz w:val="24"/>
          <w:szCs w:val="24"/>
          <w:color w:val="auto"/>
        </w:rPr>
      </w:pPr>
    </w:p>
    <w:p>
      <w:pPr>
        <w:ind w:left="680" w:hanging="438"/>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2022</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13" w:lineRule="exact"/>
        <w:rPr>
          <w:sz w:val="24"/>
          <w:szCs w:val="24"/>
          <w:color w:val="auto"/>
        </w:rPr>
      </w:pPr>
    </w:p>
    <w:p>
      <w:pPr>
        <w:ind w:left="680" w:hanging="438"/>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63" w:lineRule="exact"/>
        <w:rPr>
          <w:sz w:val="24"/>
          <w:szCs w:val="24"/>
          <w:color w:val="auto"/>
        </w:rPr>
      </w:pPr>
    </w:p>
    <w:p>
      <w:pPr>
        <w:ind w:left="402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COMMISSION FILE NO. 0-26224</w:t>
      </w:r>
    </w:p>
    <w:p>
      <w:pPr>
        <w:spacing w:after="0" w:line="2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INTEGRA LIFESCIENCES HOLDINGS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329" w:lineRule="exact"/>
        <w:rPr>
          <w:sz w:val="24"/>
          <w:szCs w:val="24"/>
          <w:color w:val="auto"/>
        </w:rPr>
      </w:pPr>
    </w:p>
    <w:tbl>
      <w:tblPr>
        <w:tblLayout w:type="fixed"/>
        <w:tblInd w:w="1100" w:type="dxa"/>
        <w:tblCellMar>
          <w:top w:w="0" w:type="dxa"/>
          <w:left w:w="0" w:type="dxa"/>
          <w:bottom w:w="0" w:type="dxa"/>
          <w:right w:w="0" w:type="dxa"/>
        </w:tblCellMar>
      </w:tblPr>
      <w:tr>
        <w:trPr>
          <w:trHeight w:val="215"/>
        </w:trPr>
        <w:tc>
          <w:tcPr>
            <w:tcW w:w="4880" w:type="dxa"/>
            <w:vAlign w:val="bottom"/>
          </w:tcPr>
          <w:p>
            <w:pPr>
              <w:jc w:val="center"/>
              <w:ind w:right="1563"/>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160" w:type="dxa"/>
            <w:vAlign w:val="bottom"/>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51-0317849</w:t>
            </w:r>
          </w:p>
        </w:tc>
        <w:tc>
          <w:tcPr>
            <w:tcW w:w="0" w:type="dxa"/>
            <w:vAlign w:val="bottom"/>
          </w:tcPr>
          <w:p>
            <w:pPr>
              <w:spacing w:after="0"/>
              <w:rPr>
                <w:sz w:val="1"/>
                <w:szCs w:val="1"/>
                <w:color w:val="auto"/>
              </w:rPr>
            </w:pPr>
          </w:p>
        </w:tc>
      </w:tr>
      <w:tr>
        <w:trPr>
          <w:trHeight w:val="142"/>
        </w:trPr>
        <w:tc>
          <w:tcPr>
            <w:tcW w:w="4880" w:type="dxa"/>
            <w:vAlign w:val="bottom"/>
          </w:tcPr>
          <w:p>
            <w:pPr>
              <w:jc w:val="center"/>
              <w:ind w:right="1563"/>
              <w:spacing w:after="0" w:line="142"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160" w:type="dxa"/>
            <w:vAlign w:val="bottom"/>
          </w:tcPr>
          <w:p>
            <w:pPr>
              <w:jc w:val="center"/>
              <w:ind w:left="1584"/>
              <w:spacing w:after="0" w:line="142" w:lineRule="exact"/>
              <w:rPr>
                <w:sz w:val="20"/>
                <w:szCs w:val="20"/>
                <w:color w:val="auto"/>
              </w:rPr>
            </w:pPr>
            <w:r>
              <w:rPr>
                <w:rFonts w:ascii="Times New Roman" w:cs="Times New Roman" w:eastAsia="Times New Roman" w:hAnsi="Times New Roman"/>
                <w:sz w:val="14"/>
                <w:szCs w:val="14"/>
                <w:b w:val="1"/>
                <w:bCs w:val="1"/>
                <w:color w:val="auto"/>
                <w:w w:val="99"/>
              </w:rPr>
              <w:t>(I.R.S. EMPLOYER</w:t>
            </w:r>
          </w:p>
        </w:tc>
        <w:tc>
          <w:tcPr>
            <w:tcW w:w="0" w:type="dxa"/>
            <w:vAlign w:val="bottom"/>
          </w:tcPr>
          <w:p>
            <w:pPr>
              <w:spacing w:after="0"/>
              <w:rPr>
                <w:sz w:val="1"/>
                <w:szCs w:val="1"/>
                <w:color w:val="auto"/>
              </w:rPr>
            </w:pPr>
          </w:p>
        </w:tc>
      </w:tr>
      <w:tr>
        <w:trPr>
          <w:trHeight w:val="182"/>
        </w:trPr>
        <w:tc>
          <w:tcPr>
            <w:tcW w:w="4880" w:type="dxa"/>
            <w:vAlign w:val="bottom"/>
          </w:tcPr>
          <w:p>
            <w:pPr>
              <w:jc w:val="center"/>
              <w:ind w:right="1563"/>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160" w:type="dxa"/>
            <w:vAlign w:val="bottom"/>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479"/>
        </w:trPr>
        <w:tc>
          <w:tcPr>
            <w:tcW w:w="4880" w:type="dxa"/>
            <w:vAlign w:val="bottom"/>
          </w:tcPr>
          <w:p>
            <w:pPr>
              <w:jc w:val="center"/>
              <w:ind w:right="1583"/>
              <w:spacing w:after="0"/>
              <w:rPr>
                <w:sz w:val="20"/>
                <w:szCs w:val="20"/>
                <w:color w:val="auto"/>
              </w:rPr>
            </w:pPr>
            <w:r>
              <w:rPr>
                <w:rFonts w:ascii="Times New Roman" w:cs="Times New Roman" w:eastAsia="Times New Roman" w:hAnsi="Times New Roman"/>
                <w:sz w:val="17"/>
                <w:szCs w:val="17"/>
                <w:b w:val="1"/>
                <w:bCs w:val="1"/>
                <w:color w:val="auto"/>
              </w:rPr>
              <w:t>1100 Campus Road</w:t>
            </w:r>
          </w:p>
        </w:tc>
        <w:tc>
          <w:tcPr>
            <w:tcW w:w="3160" w:type="dxa"/>
            <w:vAlign w:val="bottom"/>
          </w:tcPr>
          <w:p>
            <w:pPr>
              <w:jc w:val="right"/>
              <w:ind w:right="464"/>
              <w:spacing w:after="0"/>
              <w:rPr>
                <w:sz w:val="20"/>
                <w:szCs w:val="20"/>
                <w:color w:val="auto"/>
              </w:rPr>
            </w:pPr>
            <w:r>
              <w:rPr>
                <w:rFonts w:ascii="Times New Roman" w:cs="Times New Roman" w:eastAsia="Times New Roman" w:hAnsi="Times New Roman"/>
                <w:sz w:val="17"/>
                <w:szCs w:val="17"/>
                <w:b w:val="1"/>
                <w:bCs w:val="1"/>
                <w:color w:val="auto"/>
              </w:rPr>
              <w:t>08540</w:t>
            </w:r>
          </w:p>
        </w:tc>
        <w:tc>
          <w:tcPr>
            <w:tcW w:w="0" w:type="dxa"/>
            <w:vAlign w:val="bottom"/>
          </w:tcPr>
          <w:p>
            <w:pPr>
              <w:spacing w:after="0"/>
              <w:rPr>
                <w:sz w:val="1"/>
                <w:szCs w:val="1"/>
                <w:color w:val="auto"/>
              </w:rPr>
            </w:pPr>
          </w:p>
        </w:tc>
      </w:tr>
      <w:tr>
        <w:trPr>
          <w:trHeight w:val="215"/>
        </w:trPr>
        <w:tc>
          <w:tcPr>
            <w:tcW w:w="4880" w:type="dxa"/>
            <w:vAlign w:val="bottom"/>
          </w:tcPr>
          <w:p>
            <w:pPr>
              <w:jc w:val="center"/>
              <w:ind w:right="1583"/>
              <w:spacing w:after="0"/>
              <w:rPr>
                <w:sz w:val="20"/>
                <w:szCs w:val="20"/>
                <w:color w:val="auto"/>
              </w:rPr>
            </w:pPr>
            <w:r>
              <w:rPr>
                <w:rFonts w:ascii="Times New Roman" w:cs="Times New Roman" w:eastAsia="Times New Roman" w:hAnsi="Times New Roman"/>
                <w:sz w:val="17"/>
                <w:szCs w:val="17"/>
                <w:b w:val="1"/>
                <w:bCs w:val="1"/>
                <w:color w:val="auto"/>
              </w:rPr>
              <w:t>Princeton ,  New Jersey</w:t>
            </w:r>
          </w:p>
        </w:tc>
        <w:tc>
          <w:tcPr>
            <w:tcW w:w="3160" w:type="dxa"/>
            <w:vAlign w:val="bottom"/>
            <w:vMerge w:val="restart"/>
          </w:tcPr>
          <w:p>
            <w:pPr>
              <w:jc w:val="center"/>
              <w:ind w:left="1584"/>
              <w:spacing w:after="0"/>
              <w:rPr>
                <w:sz w:val="20"/>
                <w:szCs w:val="20"/>
                <w:color w:val="auto"/>
              </w:rPr>
            </w:pPr>
            <w:r>
              <w:rPr>
                <w:rFonts w:ascii="Times New Roman" w:cs="Times New Roman" w:eastAsia="Times New Roman" w:hAnsi="Times New Roman"/>
                <w:sz w:val="14"/>
                <w:szCs w:val="14"/>
                <w:b w:val="1"/>
                <w:bCs w:val="1"/>
                <w:color w:val="auto"/>
                <w:w w:val="96"/>
              </w:rPr>
              <w:t>(ZIP CODE)</w:t>
            </w:r>
          </w:p>
        </w:tc>
        <w:tc>
          <w:tcPr>
            <w:tcW w:w="0" w:type="dxa"/>
            <w:vAlign w:val="bottom"/>
          </w:tcPr>
          <w:p>
            <w:pPr>
              <w:spacing w:after="0"/>
              <w:rPr>
                <w:sz w:val="1"/>
                <w:szCs w:val="1"/>
                <w:color w:val="auto"/>
              </w:rPr>
            </w:pPr>
          </w:p>
        </w:tc>
      </w:tr>
      <w:tr>
        <w:trPr>
          <w:trHeight w:val="79"/>
        </w:trPr>
        <w:tc>
          <w:tcPr>
            <w:tcW w:w="4880" w:type="dxa"/>
            <w:vAlign w:val="bottom"/>
            <w:vMerge w:val="restart"/>
          </w:tcPr>
          <w:p>
            <w:pPr>
              <w:jc w:val="center"/>
              <w:ind w:right="1563"/>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488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(609) 275-0500</w:t>
      </w:r>
    </w:p>
    <w:p>
      <w:pPr>
        <w:spacing w:after="0" w:line="1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Former Name, Former Address and Former Fiscal Year, if Changed Since Last Report:</w:t>
      </w:r>
    </w:p>
    <w:p>
      <w:pPr>
        <w:spacing w:after="0" w:line="1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180"/>
          </w:cols>
          <w:pgMar w:left="320" w:top="993" w:right="399" w:bottom="1440" w:gutter="0" w:footer="0" w:header="0"/>
        </w:sectPr>
      </w:pPr>
    </w:p>
    <w:p>
      <w:pPr>
        <w:spacing w:after="0" w:line="163"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38" w:lineRule="exact"/>
        <w:rPr>
          <w:sz w:val="24"/>
          <w:szCs w:val="24"/>
          <w:color w:val="auto"/>
        </w:rPr>
      </w:pPr>
    </w:p>
    <w:p>
      <w:pPr>
        <w:sectPr>
          <w:pgSz w:w="11900" w:h="16838" w:orient="portrait"/>
          <w:cols w:equalWidth="0" w:num="3">
            <w:col w:w="3260" w:space="720"/>
            <w:col w:w="1780" w:space="720"/>
            <w:col w:w="4700"/>
          </w:cols>
          <w:pgMar w:left="320" w:top="993" w:right="39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5"/>
          <w:szCs w:val="15"/>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Nasdaq Global Select Market</w:t>
      </w:r>
    </w:p>
    <w:p>
      <w:pPr>
        <w:spacing w:after="0" w:line="200" w:lineRule="exact"/>
        <w:rPr>
          <w:sz w:val="24"/>
          <w:szCs w:val="24"/>
          <w:color w:val="auto"/>
        </w:rPr>
      </w:pPr>
    </w:p>
    <w:p>
      <w:pPr>
        <w:sectPr>
          <w:pgSz w:w="11900" w:h="16838" w:orient="portrait"/>
          <w:cols w:equalWidth="0" w:num="3">
            <w:col w:w="3800" w:space="720"/>
            <w:col w:w="2360" w:space="720"/>
            <w:col w:w="3580"/>
          </w:cols>
          <w:pgMar w:left="320" w:top="993" w:right="399" w:bottom="1440" w:gutter="0" w:footer="0" w:header="0"/>
          <w:type w:val="continuous"/>
        </w:sectPr>
      </w:pPr>
    </w:p>
    <w:p>
      <w:pPr>
        <w:spacing w:after="0" w:line="105" w:lineRule="exact"/>
        <w:rPr>
          <w:sz w:val="24"/>
          <w:szCs w:val="24"/>
          <w:color w:val="auto"/>
        </w:rPr>
      </w:pPr>
    </w:p>
    <w:p>
      <w:pPr>
        <w:ind w:right="14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5"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923290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93" w:right="39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620"/>
              <w:spacing w:after="0"/>
              <w:rPr>
                <w:sz w:val="20"/>
                <w:szCs w:val="20"/>
                <w:color w:val="auto"/>
              </w:rPr>
            </w:pPr>
            <w:r>
              <w:rPr>
                <w:rFonts w:ascii="Times New Roman" w:cs="Times New Roman" w:eastAsia="Times New Roman" w:hAnsi="Times New Roman"/>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ind w:left="26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2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85" w:lineRule="exact"/>
        <w:rPr>
          <w:sz w:val="20"/>
          <w:szCs w:val="20"/>
          <w:color w:val="auto"/>
        </w:rPr>
      </w:pPr>
    </w:p>
    <w:p>
      <w:pPr>
        <w:ind w:right="8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0"/>
          <w:szCs w:val="20"/>
          <w:color w:val="auto"/>
        </w:rPr>
      </w:pPr>
    </w:p>
    <w:p>
      <w:pPr>
        <w:spacing w:after="0" w:line="173" w:lineRule="exact"/>
        <w:tabs>
          <w:tab w:leader="none" w:pos="6520" w:val="left"/>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the registrant’s Common Stock, $0.01 par value, outstanding as of July 25, 2022 was 83,504,470.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753110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966"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Number</w:t>
            </w:r>
          </w:p>
        </w:tc>
      </w:tr>
      <w:tr>
        <w:trPr>
          <w:trHeight w:val="150"/>
        </w:trPr>
        <w:tc>
          <w:tcPr>
            <w:tcW w:w="20" w:type="dxa"/>
            <w:vAlign w:val="bottom"/>
          </w:tcPr>
          <w:p>
            <w:pPr>
              <w:spacing w:after="0"/>
              <w:rPr>
                <w:sz w:val="13"/>
                <w:szCs w:val="13"/>
                <w:color w:val="auto"/>
              </w:rPr>
            </w:pPr>
          </w:p>
        </w:tc>
        <w:tc>
          <w:tcPr>
            <w:tcW w:w="9940" w:type="dxa"/>
            <w:vAlign w:val="bottom"/>
            <w:gridSpan w:val="16"/>
          </w:tcPr>
          <w:p>
            <w:pPr>
              <w:spacing w:after="0" w:line="150" w:lineRule="exact"/>
              <w:rPr>
                <w:sz w:val="20"/>
                <w:szCs w:val="20"/>
                <w:color w:val="auto"/>
              </w:rPr>
            </w:pPr>
            <w:r>
              <w:rPr>
                <w:rFonts w:ascii="Times New Roman" w:cs="Times New Roman" w:eastAsia="Times New Roman" w:hAnsi="Times New Roman"/>
                <w:sz w:val="15"/>
                <w:szCs w:val="15"/>
                <w:color w:val="0000FF"/>
              </w:rPr>
              <w:t>PART I. FINANCIAL INFORMATION</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8"/>
        </w:trPr>
        <w:tc>
          <w:tcPr>
            <w:tcW w:w="20" w:type="dxa"/>
            <w:vAlign w:val="bottom"/>
          </w:tcPr>
          <w:p>
            <w:pPr>
              <w:spacing w:after="0"/>
              <w:rPr>
                <w:sz w:val="20"/>
                <w:szCs w:val="20"/>
                <w:color w:val="auto"/>
              </w:rPr>
            </w:pPr>
          </w:p>
        </w:tc>
        <w:tc>
          <w:tcPr>
            <w:tcW w:w="17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rPr>
              <w:t>Item 1. Financial Statements</w:t>
            </w:r>
          </w:p>
        </w:tc>
        <w:tc>
          <w:tcPr>
            <w:tcW w:w="680" w:type="dxa"/>
            <w:vAlign w:val="bottom"/>
            <w:tcBorders>
              <w:top w:val="single" w:sz="8" w:color="0000FF"/>
            </w:tcBorders>
            <w:gridSpan w:val="3"/>
          </w:tcPr>
          <w:p>
            <w:pPr>
              <w:spacing w:after="0"/>
              <w:rPr>
                <w:sz w:val="20"/>
                <w:szCs w:val="20"/>
                <w:color w:val="auto"/>
              </w:rPr>
            </w:pPr>
          </w:p>
        </w:tc>
        <w:tc>
          <w:tcPr>
            <w:tcW w:w="7480" w:type="dxa"/>
            <w:vAlign w:val="bottom"/>
            <w:gridSpan w:val="9"/>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52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Condensed Consolidated Statements of Operations and Comprehensive Income for the Three and Six Months Ended June 30, 2022 and 2021 (Unaudited)</w:t>
            </w:r>
          </w:p>
        </w:tc>
        <w:tc>
          <w:tcPr>
            <w:tcW w:w="42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120" w:type="dxa"/>
            <w:vAlign w:val="bottom"/>
            <w:gridSpan w:val="13"/>
          </w:tcPr>
          <w:p>
            <w:pPr>
              <w:spacing w:after="0"/>
              <w:rPr>
                <w:sz w:val="20"/>
                <w:szCs w:val="20"/>
                <w:color w:val="auto"/>
              </w:rPr>
            </w:pPr>
            <w:r>
              <w:rPr>
                <w:rFonts w:ascii="Times New Roman" w:cs="Times New Roman" w:eastAsia="Times New Roman" w:hAnsi="Times New Roman"/>
                <w:sz w:val="15"/>
                <w:szCs w:val="15"/>
                <w:color w:val="0000FF"/>
              </w:rPr>
              <w:t>Condensed Consolidated Balance Sheets as of June 30, 2022 and December 31, 2021 (Unaudited)</w:t>
            </w:r>
          </w:p>
        </w:tc>
        <w:tc>
          <w:tcPr>
            <w:tcW w:w="240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5</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4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Condensed Consolidated Statements of Cash Flows for the Six Months Ended June 30, 2022 and 2021 (Unaudited)</w:t>
            </w:r>
          </w:p>
        </w:tc>
        <w:tc>
          <w:tcPr>
            <w:tcW w:w="1520" w:type="dxa"/>
            <w:vAlign w:val="bottom"/>
            <w:gridSpan w:val="2"/>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Condensed Consolidated Statements of Changes in Shareholders' Equity for the Six Months Ended June 30, 2022 and 2021 (Unaudited)</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7</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Notes to Unaudited Condensed Consolidated Financial Statements</w:t>
            </w:r>
          </w:p>
        </w:tc>
        <w:tc>
          <w:tcPr>
            <w:tcW w:w="4300" w:type="dxa"/>
            <w:vAlign w:val="bottom"/>
            <w:gridSpan w:val="6"/>
          </w:tcPr>
          <w:p>
            <w:pPr>
              <w:spacing w:after="0"/>
              <w:rPr>
                <w:sz w:val="20"/>
                <w:szCs w:val="20"/>
                <w:color w:val="auto"/>
              </w:rPr>
            </w:pPr>
          </w:p>
        </w:tc>
        <w:tc>
          <w:tcPr>
            <w:tcW w:w="1520" w:type="dxa"/>
            <w:vAlign w:val="bottom"/>
            <w:gridSpan w:val="2"/>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8</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Item 2. Management’s Discussion and Analysis of Financial Condition and Results of Operations</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32</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00" w:type="dxa"/>
            <w:vAlign w:val="bottom"/>
            <w:gridSpan w:val="6"/>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24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Item 3. Quantitative and Qualitative Disclosures About Market Risk</w:t>
            </w:r>
          </w:p>
        </w:tc>
        <w:tc>
          <w:tcPr>
            <w:tcW w:w="5700" w:type="dxa"/>
            <w:vAlign w:val="bottom"/>
            <w:gridSpan w:val="6"/>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45</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Item 4. Controls and Procedures</w:t>
            </w:r>
          </w:p>
        </w:tc>
        <w:tc>
          <w:tcPr>
            <w:tcW w:w="2240" w:type="dxa"/>
            <w:vAlign w:val="bottom"/>
            <w:gridSpan w:val="5"/>
          </w:tcPr>
          <w:p>
            <w:pPr>
              <w:spacing w:after="0"/>
              <w:rPr>
                <w:sz w:val="20"/>
                <w:szCs w:val="20"/>
                <w:color w:val="auto"/>
              </w:rPr>
            </w:pPr>
          </w:p>
        </w:tc>
        <w:tc>
          <w:tcPr>
            <w:tcW w:w="5700" w:type="dxa"/>
            <w:vAlign w:val="bottom"/>
            <w:gridSpan w:val="6"/>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45</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PART II. OTHER INFORMATION</w:t>
            </w:r>
          </w:p>
        </w:tc>
        <w:tc>
          <w:tcPr>
            <w:tcW w:w="7720" w:type="dxa"/>
            <w:vAlign w:val="bottom"/>
            <w:gridSpan w:val="10"/>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Item 1. Legal Proceedings</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Item 1A. Risk Factors</w:t>
            </w:r>
          </w:p>
        </w:tc>
        <w:tc>
          <w:tcPr>
            <w:tcW w:w="8340" w:type="dxa"/>
            <w:vAlign w:val="bottom"/>
            <w:gridSpan w:val="13"/>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Item 2. Unregistered Sales of Equity Securities and Use of Proceeds</w:t>
            </w:r>
          </w:p>
        </w:tc>
        <w:tc>
          <w:tcPr>
            <w:tcW w:w="5720" w:type="dxa"/>
            <w:vAlign w:val="bottom"/>
            <w:gridSpan w:val="7"/>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Item 4. Mine Safety Disclosures</w:t>
            </w:r>
          </w:p>
        </w:tc>
        <w:tc>
          <w:tcPr>
            <w:tcW w:w="5720" w:type="dxa"/>
            <w:vAlign w:val="bottom"/>
            <w:gridSpan w:val="7"/>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340" w:type="dxa"/>
            <w:vAlign w:val="bottom"/>
            <w:tcBorders>
              <w:left w:val="single" w:sz="8" w:color="0000FF"/>
            </w:tcBorders>
            <w:gridSpan w:val="1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Item 5. Other Information</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Item 6. Exhibits</w:t>
            </w:r>
          </w:p>
        </w:tc>
        <w:tc>
          <w:tcPr>
            <w:tcW w:w="600" w:type="dxa"/>
            <w:vAlign w:val="bottom"/>
            <w:gridSpan w:val="2"/>
          </w:tcPr>
          <w:p>
            <w:pPr>
              <w:spacing w:after="0"/>
              <w:rPr>
                <w:sz w:val="20"/>
                <w:szCs w:val="20"/>
                <w:color w:val="auto"/>
              </w:rPr>
            </w:pPr>
          </w:p>
        </w:tc>
        <w:tc>
          <w:tcPr>
            <w:tcW w:w="8340" w:type="dxa"/>
            <w:vAlign w:val="bottom"/>
            <w:gridSpan w:val="13"/>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46</w:t>
            </w:r>
          </w:p>
        </w:tc>
      </w:tr>
      <w:tr>
        <w:trPr>
          <w:trHeight w:val="20"/>
        </w:trPr>
        <w:tc>
          <w:tcPr>
            <w:tcW w:w="20" w:type="dxa"/>
            <w:vAlign w:val="bottom"/>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940" w:type="dxa"/>
            <w:vAlign w:val="bottom"/>
            <w:gridSpan w:val="1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8940" w:type="dxa"/>
            <w:vAlign w:val="bottom"/>
            <w:gridSpan w:val="15"/>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48</w:t>
            </w:r>
          </w:p>
        </w:tc>
      </w:tr>
      <w:tr>
        <w:trPr>
          <w:trHeight w:val="1185"/>
        </w:trPr>
        <w:tc>
          <w:tcPr>
            <w:tcW w:w="20" w:type="dxa"/>
            <w:vAlign w:val="bottom"/>
            <w:tcBorders>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84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397,815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774,453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750,063</w:t>
            </w:r>
          </w:p>
        </w:tc>
      </w:tr>
      <w:tr>
        <w:trPr>
          <w:trHeight w:val="206"/>
        </w:trPr>
        <w:tc>
          <w:tcPr>
            <w:tcW w:w="5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148,404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151,267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290,973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297,090</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42,495</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160,651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162,552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320,577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319,185</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8,725</w:t>
            </w:r>
          </w:p>
        </w:tc>
      </w:tr>
      <w:tr>
        <w:trPr>
          <w:trHeight w:val="196"/>
        </w:trPr>
        <w:tc>
          <w:tcPr>
            <w:tcW w:w="5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Total costs and expenses</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337,948</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338,138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668,422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667,495</w:t>
            </w:r>
          </w:p>
        </w:tc>
      </w:tr>
      <w:tr>
        <w:trPr>
          <w:trHeight w:val="20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59,867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82,568</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3,512</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(26,078)</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from the sale of business</w:t>
            </w:r>
          </w:p>
        </w:tc>
        <w:tc>
          <w:tcPr>
            <w:tcW w:w="8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42,197</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9,903</w:t>
            </w: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51,575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112,102</w:t>
            </w:r>
          </w:p>
        </w:tc>
      </w:tr>
      <w:tr>
        <w:trPr>
          <w:trHeight w:val="20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6,787</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31,640</w:t>
            </w: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8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44,788</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35,068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77,689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80,462</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per share</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Basic</w:t>
            </w:r>
          </w:p>
        </w:tc>
        <w:tc>
          <w:tcPr>
            <w:tcW w:w="84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r>
      <w:tr>
        <w:trPr>
          <w:trHeight w:val="203"/>
        </w:trPr>
        <w:tc>
          <w:tcPr>
            <w:tcW w:w="5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Diluted</w:t>
            </w:r>
          </w:p>
        </w:tc>
        <w:tc>
          <w:tcPr>
            <w:tcW w:w="840" w:type="dxa"/>
            <w:vAlign w:val="bottom"/>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tcPr>
          <w:p>
            <w:pPr>
              <w:spacing w:after="0"/>
              <w:rPr>
                <w:sz w:val="17"/>
                <w:szCs w:val="17"/>
                <w:color w:val="auto"/>
              </w:rPr>
            </w:pP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w:t>
            </w:r>
          </w:p>
        </w:tc>
      </w:tr>
      <w:tr>
        <w:trPr>
          <w:trHeight w:val="261"/>
        </w:trPr>
        <w:tc>
          <w:tcPr>
            <w:tcW w:w="5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05"/>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 (See Note 14):</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83,168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84,593</w:t>
            </w:r>
          </w:p>
        </w:tc>
      </w:tr>
      <w:tr>
        <w:trPr>
          <w:trHeight w:val="203"/>
        </w:trPr>
        <w:tc>
          <w:tcPr>
            <w:tcW w:w="5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83,622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85,340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83,979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85,324</w:t>
            </w:r>
          </w:p>
        </w:tc>
      </w:tr>
      <w:tr>
        <w:trPr>
          <w:trHeight w:val="22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 (See Note 15)</w:t>
            </w: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52,598</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104,558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447,152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513,448</w:t>
            </w:r>
          </w:p>
        </w:tc>
        <w:tc>
          <w:tcPr>
            <w:tcW w:w="0" w:type="dxa"/>
            <w:vAlign w:val="bottom"/>
          </w:tcPr>
          <w:p>
            <w:pPr>
              <w:spacing w:after="0"/>
              <w:rPr>
                <w:sz w:val="1"/>
                <w:szCs w:val="1"/>
                <w:color w:val="auto"/>
              </w:rPr>
            </w:pPr>
          </w:p>
        </w:tc>
      </w:tr>
      <w:tr>
        <w:trPr>
          <w:trHeight w:val="203"/>
        </w:trPr>
        <w:tc>
          <w:tcPr>
            <w:tcW w:w="78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Trade accounts receivable, net of allowances of $3,995 and $4,735</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237,361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231,831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320,208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317,386</w:t>
            </w: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102,168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91,051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Assets held for sale</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8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1,137,414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1,153,716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302,423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311,703</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 - operating leases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145,135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84,543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1,082,275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1,145,573</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990,406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1,013,458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56,950</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48,227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16,440</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3,752,862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3,782,383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Current portion of borrowings under senior credit facility</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50,625</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lease liability - operating leases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14,775</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 trade</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69,498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61,837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Contract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5,295</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69,599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92,656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85,403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120,458</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Liabilities held for sale</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295,596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340,021</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 under senior credit facility</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819,654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824,257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under securitization facility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112,500</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convertible securities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565,883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564,426</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liability - operating leases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154,029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90,329</w:t>
            </w: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61,287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45,788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82,996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120,258</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2,091,945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2,097,579</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Preferred stock; no par value; 15,000 authorized shares; none outstanding</w:t>
            </w:r>
          </w:p>
        </w:tc>
        <w:tc>
          <w:tcPr>
            <w:tcW w:w="26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784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5"/>
                <w:szCs w:val="15"/>
                <w:color w:val="auto"/>
              </w:rPr>
              <w:t>Common stock; $0.01 par value; 240,000 authorized shares; 90,334 and 89,600 issued at June 30, 2022 and</w:t>
            </w:r>
          </w:p>
        </w:tc>
        <w:tc>
          <w:tcPr>
            <w:tcW w:w="2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0" w:type="dxa"/>
            <w:vAlign w:val="bottom"/>
          </w:tcPr>
          <w:p>
            <w:pPr>
              <w:spacing w:after="0"/>
              <w:rPr>
                <w:sz w:val="1"/>
                <w:szCs w:val="1"/>
                <w:color w:val="auto"/>
              </w:rPr>
            </w:pPr>
          </w:p>
        </w:tc>
      </w:tr>
      <w:tr>
        <w:trPr>
          <w:trHeight w:val="205"/>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December 31, 2021, respectively</w:t>
            </w:r>
          </w:p>
        </w:tc>
        <w:tc>
          <w:tcPr>
            <w:tcW w:w="2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1,259,852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1,264,943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Treasury stock, at cost; 6,823 shares and 4,899 shares at June 30, 2022 and December 31, 2021, respectively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(234,448)</w:t>
            </w:r>
          </w:p>
        </w:tc>
        <w:tc>
          <w:tcPr>
            <w:tcW w:w="0" w:type="dxa"/>
            <w:vAlign w:val="bottom"/>
          </w:tcPr>
          <w:p>
            <w:pPr>
              <w:spacing w:after="0"/>
              <w:rPr>
                <w:sz w:val="1"/>
                <w:szCs w:val="1"/>
                <w:color w:val="auto"/>
              </w:rPr>
            </w:pP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(45,155)</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776,257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698,568</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1,660,917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1,684,804</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3,752,862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3,782,383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2720" w:type="dxa"/>
            <w:vAlign w:val="bottom"/>
            <w:gridSpan w:val="4"/>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5"/>
                <w:szCs w:val="15"/>
                <w:color w:val="auto"/>
              </w:rPr>
            </w:pPr>
          </w:p>
        </w:tc>
      </w:tr>
      <w:tr>
        <w:trPr>
          <w:trHeight w:val="22"/>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8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r>
      <w:tr>
        <w:trPr>
          <w:trHeight w:val="19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77,689</w:t>
            </w:r>
          </w:p>
        </w:tc>
        <w:tc>
          <w:tcPr>
            <w:tcW w:w="100" w:type="dxa"/>
            <w:vAlign w:val="bottom"/>
          </w:tcPr>
          <w:p>
            <w:pPr>
              <w:spacing w:after="0"/>
              <w:rPr>
                <w:sz w:val="17"/>
                <w:szCs w:val="17"/>
                <w:color w:val="auto"/>
              </w:rPr>
            </w:pPr>
          </w:p>
        </w:tc>
        <w:tc>
          <w:tcPr>
            <w:tcW w:w="980" w:type="dxa"/>
            <w:vAlign w:val="bottom"/>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80,462</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59,336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58,968</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Non-cash impairment charges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2,754</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income tax provision (benefit)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(4,907)</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Share-based compensation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22,033</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debt issuance costs and expenses associated with debt refinancing</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3,569</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Non-cash lease expense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disposal of property and equipment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9"/>
        </w:trPr>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Gain from the sale of business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(42,197)</w:t>
            </w:r>
          </w:p>
        </w:tc>
      </w:tr>
      <w:tr>
        <w:trPr>
          <w:trHeight w:val="203"/>
        </w:trPr>
        <w:tc>
          <w:tcPr>
            <w:tcW w:w="7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 in fair value of contingent consideration and others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78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10,802</w:t>
            </w:r>
          </w:p>
        </w:tc>
      </w:tr>
      <w:tr>
        <w:trPr>
          <w:trHeight w:val="209"/>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Inventories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2,893</w:t>
            </w:r>
          </w:p>
        </w:tc>
      </w:tr>
      <w:tr>
        <w:trPr>
          <w:trHeight w:val="203"/>
        </w:trPr>
        <w:tc>
          <w:tcPr>
            <w:tcW w:w="78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(8,061)</w:t>
            </w:r>
          </w:p>
        </w:tc>
      </w:tr>
      <w:tr>
        <w:trPr>
          <w:trHeight w:val="209"/>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Other non-current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4,067</w:t>
            </w:r>
          </w:p>
        </w:tc>
      </w:tr>
      <w:tr>
        <w:trPr>
          <w:trHeight w:val="203"/>
        </w:trPr>
        <w:tc>
          <w:tcPr>
            <w:tcW w:w="78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 accrued expenses and other current liabilities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(14,556)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27,277</w:t>
            </w:r>
          </w:p>
        </w:tc>
      </w:tr>
      <w:tr>
        <w:trPr>
          <w:trHeight w:val="209"/>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Contract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110,822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160,371</w:t>
            </w:r>
          </w:p>
        </w:tc>
      </w:tr>
      <w:tr>
        <w:trPr>
          <w:trHeight w:val="205"/>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(13,309)</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sale of Extremity Orthopedics business</w:t>
            </w:r>
          </w:p>
        </w:tc>
        <w:tc>
          <w:tcPr>
            <w:tcW w:w="9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191,736</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in-process research and development milestone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proceeds from swaps designated as net investment hedges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business acquisitions, net of cash acquired</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(303,910)</w:t>
            </w: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(18,565)</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(125,483)</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borrowings of long-term indebtedness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debt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(102,200)</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9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exercised stock options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3,603</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taxes paid in net equity settlement</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(23,204)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(3,844)</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(146,612)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(100,490)</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(7,150)</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(66,296)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(72,752)</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513,448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470,166</w:t>
            </w:r>
          </w:p>
        </w:tc>
      </w:tr>
      <w:tr>
        <w:trPr>
          <w:trHeight w:val="196"/>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98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447,152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397,414</w:t>
            </w:r>
          </w:p>
        </w:tc>
      </w:tr>
      <w:tr>
        <w:trPr>
          <w:trHeight w:val="21"/>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9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27940</wp:posOffset>
            </wp:positionV>
            <wp:extent cx="5149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215"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January 1, 2022</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p>
      <w:pPr>
        <w:spacing w:after="0" w:line="32" w:lineRule="exact"/>
        <w:rPr>
          <w:sz w:val="20"/>
          <w:szCs w:val="20"/>
          <w:color w:val="auto"/>
        </w:rPr>
      </w:pPr>
    </w:p>
    <w:p>
      <w:pPr>
        <w:ind w:left="20" w:right="80"/>
        <w:spacing w:after="0" w:line="238" w:lineRule="auto"/>
        <w:rPr>
          <w:sz w:val="20"/>
          <w:szCs w:val="20"/>
          <w:color w:val="auto"/>
        </w:rPr>
      </w:pPr>
      <w:r>
        <w:rPr>
          <w:rFonts w:ascii="Times New Roman" w:cs="Times New Roman" w:eastAsia="Times New Roman" w:hAnsi="Times New Roman"/>
          <w:sz w:val="14"/>
          <w:szCs w:val="14"/>
          <w:color w:val="auto"/>
        </w:rPr>
        <w:t>Issuance of common stock through employee stock purchase plan</w:t>
      </w:r>
    </w:p>
    <w:p>
      <w:pPr>
        <w:spacing w:after="0" w:line="3"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3" w:lineRule="exact"/>
        <w:rPr>
          <w:sz w:val="20"/>
          <w:szCs w:val="20"/>
          <w:color w:val="auto"/>
        </w:rPr>
      </w:pPr>
    </w:p>
    <w:p>
      <w:pPr>
        <w:ind w:left="20" w:right="1160"/>
        <w:spacing w:after="0" w:line="316" w:lineRule="auto"/>
        <w:rPr>
          <w:sz w:val="20"/>
          <w:szCs w:val="20"/>
          <w:color w:val="auto"/>
        </w:rPr>
      </w:pPr>
      <w:r>
        <w:rPr>
          <w:rFonts w:ascii="Times New Roman" w:cs="Times New Roman" w:eastAsia="Times New Roman" w:hAnsi="Times New Roman"/>
          <w:sz w:val="13"/>
          <w:szCs w:val="13"/>
          <w:color w:val="auto"/>
        </w:rPr>
        <w:t>Share-based compensation Accelerated shares repurchased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 Stock</w:t>
            </w:r>
          </w:p>
        </w:tc>
        <w:tc>
          <w:tcPr>
            <w:tcW w:w="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In Capital</w:t>
            </w:r>
          </w:p>
        </w:tc>
        <w:tc>
          <w:tcPr>
            <w:tcW w:w="1360" w:type="dxa"/>
            <w:vAlign w:val="bottom"/>
            <w:gridSpan w:val="3"/>
            <w:vMerge w:val="restart"/>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100" w:type="dxa"/>
            <w:vAlign w:val="bottom"/>
          </w:tcPr>
          <w:p>
            <w:pPr>
              <w:spacing w:after="0"/>
              <w:rPr>
                <w:sz w:val="9"/>
                <w:szCs w:val="9"/>
                <w:color w:val="auto"/>
              </w:rPr>
            </w:pPr>
          </w:p>
        </w:tc>
        <w:tc>
          <w:tcPr>
            <w:tcW w:w="78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97"/>
              </w:rPr>
              <w:t>(4,899)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(234,448)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1,264,943</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(45,155)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698,568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1,684,804</w:t>
            </w:r>
          </w:p>
        </w:tc>
        <w:tc>
          <w:tcPr>
            <w:tcW w:w="0" w:type="dxa"/>
            <w:vAlign w:val="bottom"/>
          </w:tcPr>
          <w:p>
            <w:pPr>
              <w:spacing w:after="0"/>
              <w:rPr>
                <w:sz w:val="1"/>
                <w:szCs w:val="1"/>
                <w:color w:val="auto"/>
              </w:rPr>
            </w:pPr>
          </w:p>
        </w:tc>
      </w:tr>
      <w:tr>
        <w:trPr>
          <w:trHeight w:val="18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32,901</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24,130</w:t>
            </w:r>
          </w:p>
        </w:tc>
        <w:tc>
          <w:tcPr>
            <w:tcW w:w="0" w:type="dxa"/>
            <w:vAlign w:val="bottom"/>
          </w:tcPr>
          <w:p>
            <w:pPr>
              <w:spacing w:after="0"/>
              <w:rPr>
                <w:sz w:val="1"/>
                <w:szCs w:val="1"/>
                <w:color w:val="auto"/>
              </w:rPr>
            </w:pPr>
          </w:p>
        </w:tc>
      </w:tr>
      <w:tr>
        <w:trPr>
          <w:trHeight w:val="258"/>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322"/>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r>
        <w:trPr>
          <w:trHeight w:val="258"/>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7"/>
              </w:rPr>
              <w:t>(1,938)</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(129,152)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0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-1016635</wp:posOffset>
            </wp:positionV>
            <wp:extent cx="7138670" cy="130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-762635</wp:posOffset>
            </wp:positionV>
            <wp:extent cx="7138670"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-435610</wp:posOffset>
            </wp:positionV>
            <wp:extent cx="7138670" cy="20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-107950</wp:posOffset>
            </wp:positionV>
            <wp:extent cx="713867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2920" w:space="220"/>
            <w:col w:w="810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89,956</w:t>
            </w:r>
          </w:p>
        </w:tc>
        <w:tc>
          <w:tcPr>
            <w:tcW w:w="4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900</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(6,823)</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(362,886)</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1,266,739</w:t>
            </w: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(21,025)</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731,469</w:t>
            </w:r>
          </w:p>
        </w:tc>
        <w:tc>
          <w:tcPr>
            <w:tcW w:w="3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1,615,197</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44,788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44,788</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7,810</w:t>
            </w:r>
          </w:p>
        </w:tc>
        <w:tc>
          <w:tcPr>
            <w:tcW w:w="2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378</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c>
          <w:tcPr>
            <w:tcW w:w="4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(13,646)</w:t>
            </w:r>
          </w:p>
        </w:tc>
        <w:tc>
          <w:tcPr>
            <w:tcW w:w="0" w:type="dxa"/>
            <w:vAlign w:val="bottom"/>
          </w:tcPr>
          <w:p>
            <w:pPr>
              <w:spacing w:after="0"/>
              <w:rPr>
                <w:sz w:val="1"/>
                <w:szCs w:val="1"/>
                <w:color w:val="auto"/>
              </w:rPr>
            </w:pPr>
          </w:p>
        </w:tc>
      </w:tr>
      <w:tr>
        <w:trPr>
          <w:trHeight w:val="101"/>
        </w:trPr>
        <w:tc>
          <w:tcPr>
            <w:tcW w:w="3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6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4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6,768</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90,334</w:t>
            </w:r>
          </w:p>
        </w:tc>
        <w:tc>
          <w:tcPr>
            <w:tcW w:w="44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903</w:t>
            </w:r>
          </w:p>
        </w:tc>
        <w:tc>
          <w:tcPr>
            <w:tcW w:w="7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(6,823)</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(362,880)</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1,259,852</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776,257</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1,660,917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27940</wp:posOffset>
            </wp:positionV>
            <wp:extent cx="5149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9215"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January 1, 2021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p>
      <w:pPr>
        <w:spacing w:after="0" w:line="32" w:lineRule="exact"/>
        <w:rPr>
          <w:sz w:val="20"/>
          <w:szCs w:val="20"/>
          <w:color w:val="auto"/>
        </w:rPr>
      </w:pPr>
    </w:p>
    <w:p>
      <w:pPr>
        <w:ind w:left="20" w:right="80"/>
        <w:spacing w:after="0" w:line="229" w:lineRule="auto"/>
        <w:rPr>
          <w:sz w:val="20"/>
          <w:szCs w:val="20"/>
          <w:color w:val="auto"/>
        </w:rPr>
      </w:pPr>
      <w:r>
        <w:rPr>
          <w:rFonts w:ascii="Times New Roman" w:cs="Times New Roman" w:eastAsia="Times New Roman" w:hAnsi="Times New Roman"/>
          <w:sz w:val="14"/>
          <w:szCs w:val="14"/>
          <w:color w:val="auto"/>
        </w:rPr>
        <w:t>Issuance of common stock through employee stock purchase plan</w:t>
      </w:r>
    </w:p>
    <w:p>
      <w:pPr>
        <w:spacing w:after="0" w:line="15"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15" w:lineRule="exact"/>
        <w:rPr>
          <w:sz w:val="20"/>
          <w:szCs w:val="20"/>
          <w:color w:val="auto"/>
        </w:rPr>
      </w:pPr>
    </w:p>
    <w:p>
      <w:pPr>
        <w:ind w:left="20" w:right="1080"/>
        <w:spacing w:after="0" w:line="316" w:lineRule="auto"/>
        <w:rPr>
          <w:sz w:val="20"/>
          <w:szCs w:val="20"/>
          <w:color w:val="auto"/>
        </w:rPr>
      </w:pPr>
      <w:r>
        <w:rPr>
          <w:rFonts w:ascii="Times New Roman" w:cs="Times New Roman" w:eastAsia="Times New Roman" w:hAnsi="Times New Roman"/>
          <w:sz w:val="13"/>
          <w:szCs w:val="13"/>
          <w:color w:val="auto"/>
        </w:rPr>
        <w:t>Share-based compensation Adoption of Update No. 2020-06</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8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 Stock</w:t>
            </w:r>
          </w:p>
        </w:tc>
        <w:tc>
          <w:tcPr>
            <w:tcW w:w="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06"/>
        </w:trPr>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In Capital</w:t>
            </w:r>
          </w:p>
        </w:tc>
        <w:tc>
          <w:tcPr>
            <w:tcW w:w="1360" w:type="dxa"/>
            <w:vAlign w:val="bottom"/>
            <w:gridSpan w:val="3"/>
            <w:vMerge w:val="restart"/>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9"/>
                <w:szCs w:val="9"/>
                <w:color w:val="auto"/>
              </w:rPr>
            </w:pPr>
          </w:p>
        </w:tc>
        <w:tc>
          <w:tcPr>
            <w:tcW w:w="780" w:type="dxa"/>
            <w:vAlign w:val="bottom"/>
            <w:gridSpan w:val="2"/>
            <w:vMerge w:val="restart"/>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89,251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97"/>
              </w:rPr>
              <w:t>(4,914)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(235,141)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1,290,909</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(74,059)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532,265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1,514,867</w:t>
            </w:r>
          </w:p>
        </w:tc>
        <w:tc>
          <w:tcPr>
            <w:tcW w:w="0" w:type="dxa"/>
            <w:vAlign w:val="bottom"/>
          </w:tcPr>
          <w:p>
            <w:pPr>
              <w:spacing w:after="0"/>
              <w:rPr>
                <w:sz w:val="1"/>
                <w:szCs w:val="1"/>
                <w:color w:val="auto"/>
              </w:rPr>
            </w:pPr>
          </w:p>
        </w:tc>
      </w:tr>
      <w:tr>
        <w:trPr>
          <w:trHeight w:val="186"/>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45,394</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w:t>
            </w:r>
          </w:p>
        </w:tc>
        <w:tc>
          <w:tcPr>
            <w:tcW w:w="0" w:type="dxa"/>
            <w:vAlign w:val="bottom"/>
          </w:tcPr>
          <w:p>
            <w:pPr>
              <w:spacing w:after="0"/>
              <w:rPr>
                <w:sz w:val="1"/>
                <w:szCs w:val="1"/>
                <w:color w:val="auto"/>
              </w:rPr>
            </w:pPr>
          </w:p>
        </w:tc>
      </w:tr>
      <w:tr>
        <w:trPr>
          <w:trHeight w:val="258"/>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322"/>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258"/>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0" w:type="dxa"/>
            <w:vAlign w:val="bottom"/>
          </w:tcPr>
          <w:p>
            <w:pPr>
              <w:spacing w:after="0"/>
              <w:rPr>
                <w:sz w:val="1"/>
                <w:szCs w:val="1"/>
                <w:color w:val="auto"/>
              </w:rPr>
            </w:pPr>
          </w:p>
        </w:tc>
      </w:tr>
      <w:tr>
        <w:trPr>
          <w:trHeight w:val="19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-1016635</wp:posOffset>
            </wp:positionV>
            <wp:extent cx="7138670" cy="130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-762635</wp:posOffset>
            </wp:positionV>
            <wp:extent cx="7138670" cy="122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-435610</wp:posOffset>
            </wp:positionV>
            <wp:extent cx="7138670" cy="20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-107950</wp:posOffset>
            </wp:positionV>
            <wp:extent cx="7138670" cy="122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2920" w:space="220"/>
            <w:col w:w="810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89,406</w:t>
            </w:r>
          </w:p>
        </w:tc>
        <w:tc>
          <w:tcPr>
            <w:tcW w:w="4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894</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(4,899)</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(234,461)</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1,231,638</w:t>
            </w:r>
          </w:p>
        </w:tc>
        <w:tc>
          <w:tcPr>
            <w:tcW w:w="5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(43,627)</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574,887</w:t>
            </w:r>
          </w:p>
        </w:tc>
        <w:tc>
          <w:tcPr>
            <w:tcW w:w="3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1,529,331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35,068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35,068</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24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w:t>
            </w:r>
          </w:p>
        </w:tc>
        <w:tc>
          <w:tcPr>
            <w:tcW w:w="4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1,175</w:t>
            </w:r>
          </w:p>
        </w:tc>
        <w:tc>
          <w:tcPr>
            <w:tcW w:w="5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06"/>
        </w:trPr>
        <w:tc>
          <w:tcPr>
            <w:tcW w:w="3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60" w:type="dxa"/>
            <w:vAlign w:val="bottom"/>
            <w:vMerge w:val="continue"/>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14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15,742</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89,474</w:t>
            </w:r>
          </w:p>
        </w:tc>
        <w:tc>
          <w:tcPr>
            <w:tcW w:w="44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895</w:t>
            </w:r>
          </w:p>
        </w:tc>
        <w:tc>
          <w:tcPr>
            <w:tcW w:w="7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(4,899)</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(234,461)</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1,248,555</w:t>
            </w:r>
          </w:p>
        </w:tc>
        <w:tc>
          <w:tcPr>
            <w:tcW w:w="50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(49,963)</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609,955</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1,574,981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terms “we,” “our,” “us,” “Company” and “Integra” refer to Integra LifeSciences Holdings Corporation, a Delaware corporation, and its subsidiaries unless the context suggests otherwise.</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opinion of management, the June 30, 2022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2021 included in the Company’s Annual Report on Form 10-K. The December 31, 2021 consolidated balance sheet was derived from audited financial statements, but does not include all disclosures required by accounting principles generally accepted in the United States. Operating results for the three and six-month period ended June 30, 2022 are not necessarily indicative of the results to be expected for the entire year.</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is subject to risks and uncertainties as a result of the COVID-19 pandemic, including reductions in capital and overall spending by our customers, increased freight costs, decreased availability of certain raw materials used in certain of our products and labor constraints. The COVID-19 pandemic has had, and may continue to have, an adverse effect on the Company’s business, results of operations, financial condition, and cash flows, and its future impacts remain highly uncertain and unpredictable. Although there was not a material impact to the Company’s consolidated financial statements as of and for the six months ended June 30, 2022, changes in the Company’s assessment about the length and severity of the pandemic, as well as other factors, could result in actual results differing from estimates. The severity of the impact of the COVID-19 pandemic on the Company's business will depend on a number of factors, including, but not limited to, duration of the pandemic, including resurgences, new variants or strains, impact of government regulations, the speed and effectiveness of vaccine distribution, vaccine adoption rates and the duration of direct and indirect economic effects of the pandemic, containment measures and other macroeconomic factors which could cause a local/or global economic recession. Even after the COVID-19 pandemic and government responses thereto have subsided, residual economic and other effects may have an impact on the demand for post-pandemic surgery levels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Termination Benefits</w:t>
      </w:r>
    </w:p>
    <w:p>
      <w:pPr>
        <w:spacing w:after="0" w:line="12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The Company incurred restructuring costs related to employee terminations associated with a plant closure and future outsourcing plans for select transactional back office activities in the consolidated statement of operations for the six months ended June 30, 2022. The following table summarizes our restructuring related accrual balances included within accrued expenses and other current liabilities in the consolidated balance sheet for the six months ended June 30, 2022. All balances are expected to be paid within the current fiscal year.</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89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31,2021</w:t>
            </w:r>
          </w:p>
        </w:tc>
        <w:tc>
          <w:tcPr>
            <w:tcW w:w="1780" w:type="dxa"/>
            <w:vAlign w:val="bottom"/>
            <w:shd w:val="clear" w:color="auto" w:fill="CCEEFF"/>
          </w:tcPr>
          <w:p>
            <w:pPr>
              <w:jc w:val="right"/>
              <w:ind w:right="160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Charges:</w:t>
            </w:r>
          </w:p>
        </w:tc>
        <w:tc>
          <w:tcPr>
            <w:tcW w:w="1780" w:type="dxa"/>
            <w:vAlign w:val="bottom"/>
          </w:tcPr>
          <w:p>
            <w:pPr>
              <w:spacing w:after="0"/>
              <w:rPr>
                <w:sz w:val="17"/>
                <w:szCs w:val="17"/>
                <w:color w:val="auto"/>
              </w:rPr>
            </w:pPr>
          </w:p>
        </w:tc>
      </w:tr>
      <w:tr>
        <w:trPr>
          <w:trHeight w:val="209"/>
        </w:trPr>
        <w:tc>
          <w:tcPr>
            <w:tcW w:w="8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Cost of Goods Sold</w:t>
            </w:r>
          </w:p>
        </w:tc>
        <w:tc>
          <w:tcPr>
            <w:tcW w:w="1780" w:type="dxa"/>
            <w:vAlign w:val="bottom"/>
            <w:shd w:val="clear" w:color="auto" w:fill="CCEEFF"/>
          </w:tcPr>
          <w:p>
            <w:pPr>
              <w:jc w:val="right"/>
              <w:ind w:right="160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780" w:type="dxa"/>
            <w:vAlign w:val="bottom"/>
          </w:tcPr>
          <w:p>
            <w:pPr>
              <w:spacing w:after="0"/>
              <w:rPr>
                <w:sz w:val="17"/>
                <w:szCs w:val="17"/>
                <w:color w:val="auto"/>
              </w:rPr>
            </w:pPr>
          </w:p>
        </w:tc>
      </w:tr>
      <w:tr>
        <w:trPr>
          <w:trHeight w:val="209"/>
        </w:trPr>
        <w:tc>
          <w:tcPr>
            <w:tcW w:w="8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780" w:type="dxa"/>
            <w:vAlign w:val="bottom"/>
            <w:shd w:val="clear" w:color="auto" w:fill="CCEEFF"/>
          </w:tcPr>
          <w:p>
            <w:pPr>
              <w:spacing w:after="0"/>
              <w:rPr>
                <w:sz w:val="18"/>
                <w:szCs w:val="18"/>
                <w:color w:val="auto"/>
              </w:rPr>
            </w:pPr>
          </w:p>
        </w:tc>
      </w:tr>
      <w:tr>
        <w:trPr>
          <w:trHeight w:val="203"/>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Payments and other adjustments</w:t>
            </w:r>
          </w:p>
        </w:tc>
        <w:tc>
          <w:tcPr>
            <w:tcW w:w="1780" w:type="dxa"/>
            <w:vAlign w:val="bottom"/>
            <w:tcBorders>
              <w:bottom w:val="single" w:sz="8" w:color="auto"/>
            </w:tcBorders>
          </w:tcPr>
          <w:p>
            <w:pPr>
              <w:jc w:val="right"/>
              <w:ind w:right="1604"/>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30,2022</w:t>
            </w:r>
          </w:p>
        </w:tc>
        <w:tc>
          <w:tcPr>
            <w:tcW w:w="1780" w:type="dxa"/>
            <w:vAlign w:val="bottom"/>
            <w:tcBorders>
              <w:bottom w:val="single" w:sz="8" w:color="auto"/>
            </w:tcBorders>
            <w:shd w:val="clear" w:color="auto" w:fill="CCEEFF"/>
          </w:tcPr>
          <w:p>
            <w:pPr>
              <w:jc w:val="right"/>
              <w:ind w:right="1604"/>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6"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2019-12 as of January 1, 2021. Adoption of the standard requires certain changes to be made prospectively, with some changes to be made retrospectively. The adoption of this guidance did not have a significant impact on the Company's consolidated financial statements and related disclosures.</w:t>
      </w:r>
    </w:p>
    <w:p>
      <w:pPr>
        <w:spacing w:after="0" w:line="7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xml:space="preserve">,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w:t>
      </w:r>
      <w:r>
        <w:rPr>
          <w:rFonts w:ascii="Times New Roman" w:cs="Times New Roman" w:eastAsia="Times New Roman" w:hAnsi="Times New Roman"/>
          <w:sz w:val="17"/>
          <w:szCs w:val="17"/>
          <w:i w:val="1"/>
          <w:iCs w:val="1"/>
          <w:color w:val="auto"/>
        </w:rPr>
        <w:t>Reference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Reform- Scope </w:t>
      </w:r>
      <w:r>
        <w:rPr>
          <w:rFonts w:ascii="Times New Roman" w:cs="Times New Roman" w:eastAsia="Times New Roman" w:hAnsi="Times New Roman"/>
          <w:sz w:val="17"/>
          <w:szCs w:val="17"/>
          <w:color w:val="auto"/>
        </w:rPr>
        <w:t>which clarified certain optional expedients and exceptions to entities that are affected because of the reference rate reform. The amendments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ASU affect the guidance in ASU 2020-04 and are effective in the same timeframe as ASU 2020-04. The Company currently has contracts that are indexed to LIBOR and are continuing to evaluate the scope of impacted contracts and potential risk. The Company is also monitoring the developments regarding alternative rates and may amend certain contracts to accommodate those rates if the contract does not already specify a replacement rate. While the notional value of agreements potentially indexed to LIBOR is material, the Company does not expect a material impact to the consolidated financial statements and related disclosures associated with this transition.</w:t>
      </w:r>
    </w:p>
    <w:p>
      <w:pPr>
        <w:spacing w:after="0" w:line="6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 Debt with Conversion and Other Options (Subtopic 470-20) and Derivatives and Hedging-Contracts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Entity's Own Equity (Subtopic 815-40):Accounting for Convertible Instruments and Contracts in an Entity's Own Equity</w:t>
      </w:r>
      <w:r>
        <w:rPr>
          <w:rFonts w:ascii="Times New Roman" w:cs="Times New Roman" w:eastAsia="Times New Roman" w:hAnsi="Times New Roman"/>
          <w:sz w:val="17"/>
          <w:szCs w:val="17"/>
          <w:color w:val="auto"/>
        </w:rPr>
        <w:t>. The guidance simplifies accounting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was effective for annual and interim periods beginning after December 15, 2021, and early adoption was permitted for fiscal years beginning after December 15, 2020, and interim periods within those fiscal years using either the modified retrospective or full retrospective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As detailed in Note 7,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ectPr>
          <w:pgSz w:w="11900" w:h="16838" w:orient="portrait"/>
          <w:cols w:equalWidth="0" w:num="1">
            <w:col w:w="11240"/>
          </w:cols>
          <w:pgMar w:left="320" w:top="119" w:right="3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r>
      <w:tr>
        <w:trPr>
          <w:trHeight w:val="22"/>
        </w:trPr>
        <w:tc>
          <w:tcPr>
            <w:tcW w:w="6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r>
        <w:trPr>
          <w:trHeight w:val="19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Deferred tax impact of cumulative-effect adjustment</w:t>
            </w: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r>
      <w:tr>
        <w:trPr>
          <w:trHeight w:val="2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Debt discount reclassification</w:t>
            </w: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convertible securities</w:t>
            </w:r>
          </w:p>
        </w:tc>
      </w:tr>
      <w:tr>
        <w:trPr>
          <w:trHeight w:val="2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issuance costs reclassification</w:t>
            </w: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convertible securities</w:t>
            </w:r>
          </w:p>
        </w:tc>
      </w:tr>
      <w:tr>
        <w:trPr>
          <w:trHeight w:val="2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Debt discount amortization and equity costs reclassification, net of tax</w:t>
            </w: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r>
      <w:tr>
        <w:trPr>
          <w:trHeight w:val="24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impact of cumulative-effect adjustment</w:t>
            </w: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138670" cy="130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7138670" cy="155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7" w:lineRule="exact"/>
        <w:rPr>
          <w:sz w:val="20"/>
          <w:szCs w:val="20"/>
          <w:color w:val="auto"/>
        </w:rPr>
      </w:pPr>
    </w:p>
    <w:p>
      <w:pPr>
        <w:ind w:left="740" w:hanging="738"/>
        <w:spacing w:after="0"/>
        <w:tabs>
          <w:tab w:leader="none" w:pos="7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(20.6)</w:t>
      </w:r>
    </w:p>
    <w:p>
      <w:pPr>
        <w:spacing w:after="0" w:line="33" w:lineRule="exact"/>
        <w:rPr>
          <w:rFonts w:ascii="Times New Roman" w:cs="Times New Roman" w:eastAsia="Times New Roman" w:hAnsi="Times New Roman"/>
          <w:sz w:val="15"/>
          <w:szCs w:val="15"/>
          <w:color w:val="auto"/>
        </w:rPr>
      </w:pPr>
    </w:p>
    <w:p>
      <w:pPr>
        <w:ind w:left="8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89.1</w:t>
      </w:r>
    </w:p>
    <w:p>
      <w:pPr>
        <w:spacing w:after="0" w:line="45" w:lineRule="exact"/>
        <w:rPr>
          <w:rFonts w:ascii="Times New Roman" w:cs="Times New Roman" w:eastAsia="Times New Roman" w:hAnsi="Times New Roman"/>
          <w:sz w:val="15"/>
          <w:szCs w:val="15"/>
          <w:color w:val="auto"/>
        </w:rPr>
      </w:pPr>
    </w:p>
    <w:p>
      <w:pPr>
        <w:ind w:left="8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(2.5)</w:t>
      </w:r>
    </w:p>
    <w:p>
      <w:pPr>
        <w:spacing w:after="0" w:line="45" w:lineRule="exact"/>
        <w:rPr>
          <w:rFonts w:ascii="Times New Roman" w:cs="Times New Roman" w:eastAsia="Times New Roman" w:hAnsi="Times New Roman"/>
          <w:sz w:val="15"/>
          <w:szCs w:val="15"/>
          <w:color w:val="auto"/>
        </w:rPr>
      </w:pPr>
    </w:p>
    <w:p>
      <w:pPr>
        <w:ind w:left="8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(2.8)</w:t>
      </w:r>
    </w:p>
    <w:p>
      <w:pPr>
        <w:spacing w:after="0" w:line="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36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10000" w:space="100"/>
            <w:col w:w="1140"/>
          </w:cols>
          <w:pgMar w:left="320" w:top="119" w:right="339" w:bottom="1440" w:gutter="0" w:footer="0" w:header="0"/>
          <w:type w:val="continuous"/>
        </w:sectPr>
      </w:pP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9, 2020, the Company made an irrevocable election under the indenture to require the principal portion of its 2025 Notes to be settled in cash and any excess in shares. Following the irrevocable notice, only the amounts settled in excess of the principal will be considered in diluted earnings per share under the “if-converted” method. Upon adoption of ASU 2020-06, the Company’s 2025 Notes were reflected entirely as a liability since the embedded conversion feature will no longer be separately presented within stockholders’ equity. Additionally, from January 1, 2021, the Company is no longer incurring non-cash interest expense for the amortization of debt discount.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October 2020, the FASB issued ASU 2020-10,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which updates various codification topics by clarifying or improving disclosure requirements to align with the regulations of the U.S. Securities and Exchange Commission (the "SEC"). The ASU has been effective for the Company for annual and interim periods beginning after January 1, 2021. The Company adopted this standard on the January 1, 2021. The adoption of this guidance did not have a significant impact on the Company's consolidated financial statements and related disclosures.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May 2021, the FASB issued ASU 2021-04, </w:t>
      </w:r>
      <w:r>
        <w:rPr>
          <w:rFonts w:ascii="Times New Roman" w:cs="Times New Roman" w:eastAsia="Times New Roman" w:hAnsi="Times New Roman"/>
          <w:sz w:val="17"/>
          <w:szCs w:val="17"/>
          <w:i w:val="1"/>
          <w:iCs w:val="1"/>
          <w:color w:val="auto"/>
        </w:rPr>
        <w:t>Earnings Per Share (Topic 260), Debt—Modifications and Extinguishments (Subtopic 470-50),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Stock Compensation (Topic 718), and Derivatives and Hedging—Contracts in Entity’s Own Equity (Subtopic 815-40): Issuer’s Accounting for Certain Modifications or Exchanges of Freestanding Equity-Classified Written Call Options </w:t>
      </w:r>
      <w:r>
        <w:rPr>
          <w:rFonts w:ascii="Times New Roman" w:cs="Times New Roman" w:eastAsia="Times New Roman" w:hAnsi="Times New Roman"/>
          <w:sz w:val="17"/>
          <w:szCs w:val="17"/>
          <w:color w:val="auto"/>
        </w:rPr>
        <w:t>which provides guidance to clarify and reduce diversity in an issuer’s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for modifications or exchanges of freestanding equity-classified written call options (for example, warrants) that remain equity classified after modification or exchange. The amendments in this ASU No. 2021-04 are effective for all entities for fiscal years beginning after December 15, 2021, and interim periods within those fiscal years, with early adoption permitted, including interim periods within those fiscal years. The amendment had no impact to the Company as the effect will largely depend on the terms of written call options or financings issued or modified in the future.</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are no other recently issued accounting pronouncements that are expected to have any significant effect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ASSETS AND LIABILITIES HELD FOR SALE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20 2022, the Company and certain of its subsidiaries, entered into an agreement to sell its non-core traditional wound care ("TWC") business to Gentell, LLC for $28.8 million, which consists of $27.8 million in cash plus $1.0 million in contingent consideration which may be received upon achieving certain revenue-based performance milestones. The transaction includes the sale of the Company's TWC products, such as sponges, gauze and conforming bandages, and certain advanced wound care dressings, such as supportive, calcium alginate, hydrogel, and foam dressings. This transaction is expected to close during the third quarter of 2022, subject to the satisfaction of customary conditions.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considered the assets and liabilities associated with the TWC business to be accounted as held-for-sale as the six criteria under ASC 260 were met during the second quarter of 2022. Upon designation of the assets and liabilities as held for sale, the Company recorded the assets at the lower of their carrying value or their estimated fair value, less estimated costs to sell. Goodwill was allocated to the assets and liabilities held for sale using the relative fair value method of the TWC business to the Company's Tissue Technologies reporting unit. The fair value of the business less costs to sell exceeded the related carrying value.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TWC business was treated as a single disposal group and presented separately in the condensed consolidated balance sheet as assets and liabilities held for sale as of June 30, 2022. These balances are presented as current assets and liabilities as they are expected to be sold within twelve months. The sale of the TWC business does not represent a strategic shift that will have a major effect on the Company's operations and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major classes of assets and liabilities classified as a held for sale consisted of the following as of June 30, 2022 (dollar amounts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474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3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 - operating leases</w:t>
            </w:r>
          </w:p>
        </w:tc>
        <w:tc>
          <w:tcPr>
            <w:tcW w:w="3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5,083</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3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w:t>
            </w:r>
          </w:p>
        </w:tc>
      </w:tr>
      <w:tr>
        <w:trPr>
          <w:trHeight w:val="21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8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10,530</w:t>
            </w:r>
          </w:p>
        </w:tc>
      </w:tr>
      <w:tr>
        <w:trPr>
          <w:trHeight w:val="219"/>
        </w:trPr>
        <w:tc>
          <w:tcPr>
            <w:tcW w:w="516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jc w:val="right"/>
              <w:ind w:right="694"/>
              <w:spacing w:after="0"/>
              <w:rPr>
                <w:sz w:val="20"/>
                <w:szCs w:val="20"/>
                <w:color w:val="auto"/>
              </w:rPr>
            </w:pPr>
            <w:r>
              <w:rPr>
                <w:rFonts w:ascii="Times New Roman" w:cs="Times New Roman" w:eastAsia="Times New Roman" w:hAnsi="Times New Roman"/>
                <w:sz w:val="15"/>
                <w:szCs w:val="15"/>
                <w:b w:val="1"/>
                <w:bCs w:val="1"/>
                <w:color w:val="auto"/>
              </w:rPr>
              <w:t xml:space="preserve">Total assets held for sale </w:t>
            </w: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860" w:type="dxa"/>
            <w:vAlign w:val="bottom"/>
          </w:tcPr>
          <w:p>
            <w:pPr>
              <w:spacing w:after="0"/>
              <w:rPr>
                <w:sz w:val="16"/>
                <w:szCs w:val="16"/>
                <w:color w:val="auto"/>
              </w:rPr>
            </w:pPr>
          </w:p>
        </w:tc>
        <w:tc>
          <w:tcPr>
            <w:tcW w:w="880" w:type="dxa"/>
            <w:vAlign w:val="bottom"/>
          </w:tcPr>
          <w:p>
            <w:pPr>
              <w:jc w:val="right"/>
              <w:ind w:right="6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lease liability - operating leases</w:t>
            </w:r>
          </w:p>
        </w:tc>
        <w:tc>
          <w:tcPr>
            <w:tcW w:w="3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liability - operating leases</w:t>
            </w:r>
          </w:p>
        </w:tc>
        <w:tc>
          <w:tcPr>
            <w:tcW w:w="3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38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r>
      <w:tr>
        <w:trPr>
          <w:trHeight w:val="199"/>
        </w:trPr>
        <w:tc>
          <w:tcPr>
            <w:tcW w:w="5160" w:type="dxa"/>
            <w:vAlign w:val="bottom"/>
          </w:tcPr>
          <w:p>
            <w:pPr>
              <w:spacing w:after="0"/>
              <w:rPr>
                <w:sz w:val="17"/>
                <w:szCs w:val="17"/>
                <w:color w:val="auto"/>
              </w:rPr>
            </w:pPr>
          </w:p>
        </w:tc>
        <w:tc>
          <w:tcPr>
            <w:tcW w:w="4740" w:type="dxa"/>
            <w:vAlign w:val="bottom"/>
            <w:gridSpan w:val="2"/>
          </w:tcPr>
          <w:p>
            <w:pPr>
              <w:jc w:val="right"/>
              <w:ind w:right="694"/>
              <w:spacing w:after="0"/>
              <w:rPr>
                <w:sz w:val="20"/>
                <w:szCs w:val="20"/>
                <w:color w:val="auto"/>
              </w:rPr>
            </w:pPr>
            <w:r>
              <w:rPr>
                <w:rFonts w:ascii="Times New Roman" w:cs="Times New Roman" w:eastAsia="Times New Roman" w:hAnsi="Times New Roman"/>
                <w:sz w:val="15"/>
                <w:szCs w:val="15"/>
                <w:b w:val="1"/>
                <w:bCs w:val="1"/>
                <w:color w:val="auto"/>
              </w:rPr>
              <w:t xml:space="preserve">Total liabilities held for sale </w:t>
            </w: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r>
      <w:tr>
        <w:trPr>
          <w:trHeight w:val="20"/>
        </w:trPr>
        <w:tc>
          <w:tcPr>
            <w:tcW w:w="5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ACQUISITIONS AND DIVESTITURES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Extremity Orthopedics Business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4, 2021, the Company completed the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the CFO relating to the development of shoulder arthroplasty products.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Extremity Orthopedics business to the Company's Tissue Technologies reportable business segment. In connection with the sale, the Company recognized a $41.8 million as Gain from the sale of business in the consolidated statement of operations for the year ended December 31, 2021. The Company finalized the net working capital and paid an additional $1.3 million to Smith &amp; Nephew as of December 31, 2021.</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also entered into a transition services agreement ("TSA") with Smith &amp; Nephew which requires the Company to provide certain services on behalf of Smith &amp; Nephew for the duration of the period subsequent to the sale of the business as defined in the TSA. The Company recognized a payable due to Smith &amp; Nephew of $6.5 million as of June 30, 2022, which is included in the consolidated balance sheets within accrued expenses and other current liabilities. The TSA includes services such as invoicing and cash collections from customers on behalf of Smith &amp; Nephew. As of June 30, 2022, the Company has concluded the majority of the transition services agreement, pending final payment.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ACell, Inc. Acquisition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20, 2021, the Company acquired ACell, Inc. (the "ACell Acquisition") for a total purchase price of $306.9 million plus contingent consideration of up to $100 million, which may be payable upon the Company achieving certain revenue-based performance milestones in 2022, 2023 and 2025. The final working capital adjustments of $1.3 million was finalized and paid as of June 30, 2021. Prior to the acquisition, ACell was a privately-held company that offered a portfolio of regenerative products for complex wound management, including developing and commercializing products based on MatriStem Urinary Bladder Matrix, a technology platform derived from porcine urinary bladder extracellular matrix.</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Acquired and Liabilities Assumed at Fair Value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ACell Acquisition has been accounted for using the acquisition method of accounting. This method requires that assets acquired and liabilities assumed in a business combination are recognized at their fair values as of the acquisition date.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final fair values of the assets acquired and liabilities assumed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Final Valuation</w:t>
            </w:r>
          </w:p>
        </w:tc>
        <w:tc>
          <w:tcPr>
            <w:tcW w:w="100" w:type="dxa"/>
            <w:vAlign w:val="bottom"/>
          </w:tcPr>
          <w:p>
            <w:pPr>
              <w:spacing w:after="0"/>
              <w:rPr>
                <w:sz w:val="15"/>
                <w:szCs w:val="15"/>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22"/>
        </w:trPr>
        <w:tc>
          <w:tcPr>
            <w:tcW w:w="7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03"/>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Trade accounts receivable, net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Inventories, net</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18,299</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6"/>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38,992</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245,000</w:t>
            </w:r>
          </w:p>
        </w:tc>
        <w:tc>
          <w:tcPr>
            <w:tcW w:w="100" w:type="dxa"/>
            <w:vAlign w:val="bottom"/>
          </w:tcPr>
          <w:p>
            <w:pPr>
              <w:spacing w:after="0"/>
              <w:rPr>
                <w:sz w:val="17"/>
                <w:szCs w:val="17"/>
                <w:color w:val="auto"/>
              </w:rPr>
            </w:pPr>
          </w:p>
        </w:tc>
        <w:tc>
          <w:tcPr>
            <w:tcW w:w="174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13-14 years</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94,147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 - operating leases</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9,259</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r>
      <w:tr>
        <w:trPr>
          <w:trHeight w:val="20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 acquired</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408,780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6"/>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3"/>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expenses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Current portion of lease liability - operating leases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r>
      <w:tr>
        <w:trPr>
          <w:trHeight w:val="202"/>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long-term liability</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liability - operating leases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3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61,724</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8"/>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assumed</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101,842</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7"/>
        </w:trPr>
        <w:tc>
          <w:tcPr>
            <w:tcW w:w="7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8"/>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306,938</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the appropriate discount rate to select in order to measure the risk inherent in each future cash flow stream, the assessment of each asset’s life cycle, and competitive trends impacting the asset and each cash flow stream.</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allocated goodwill related to the ACell acquisition to the Tissue Technologies reportable business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Consideration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part of the ACell Acquisition, the Company is required to make payments to the former shareholders of ACell up to $100 million based on the achievement by the Company of certain revenue-based performance milestones in 2022,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June 30, 2022 was $18.1 million. The Company recorded $18.1 million and $23.5 million in other liabilities at June 30, 2022 and June 30, 2021, respectively, in the consolidated balance sheets of the Company. The change in the fair value of the contingent obligation was primarily as a result of changes in estimates related to the timing of achieving these revenue-based performance milestones for each given year.</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determined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obligations are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Tax Liabilities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Accounting Policies on Revenue Recognition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Obligations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Judgments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estimates returns, price concessions, and discount allowances using the expected value method based on historical trends and other known factors.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Rebate allowances are estimated using the most likely method based on each customer contract.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return policy, as set forth in its product catalogs and sales invoices, requires review and authorization in advance prior to the return of product.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authorization, a credit will be issued for the goods returned within a set amount of days from the shipment, which is generally ninety days.</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Asset and Liability</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summarized the changes in the contract asset and liability balances for the six months ended June 30, 2022:</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00" w:type="dxa"/>
            <w:vAlign w:val="bottom"/>
          </w:tcPr>
          <w:p>
            <w:pPr>
              <w:spacing w:after="0"/>
              <w:rPr>
                <w:sz w:val="15"/>
                <w:szCs w:val="15"/>
                <w:color w:val="auto"/>
              </w:rPr>
            </w:pPr>
          </w:p>
        </w:tc>
        <w:tc>
          <w:tcPr>
            <w:tcW w:w="164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940" w:type="dxa"/>
            <w:vAlign w:val="bottom"/>
            <w:tcBorders>
              <w:left w:val="single" w:sz="8" w:color="CCEEFF"/>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Contract Asset</w:t>
            </w:r>
          </w:p>
        </w:tc>
        <w:tc>
          <w:tcPr>
            <w:tcW w:w="816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r>
      <w:tr>
        <w:trPr>
          <w:trHeight w:val="203"/>
        </w:trPr>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Contract asset, January 1, 2022</w:t>
            </w: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11,412</w:t>
            </w:r>
          </w:p>
        </w:tc>
      </w:tr>
      <w:tr>
        <w:trPr>
          <w:trHeight w:val="209"/>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Transferred to trade receivable of contract asset included in beginning of the year contract asset</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(11,412)</w:t>
            </w:r>
          </w:p>
        </w:tc>
      </w:tr>
      <w:tr>
        <w:trPr>
          <w:trHeight w:val="203"/>
        </w:trPr>
        <w:tc>
          <w:tcPr>
            <w:tcW w:w="910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5"/>
                <w:szCs w:val="15"/>
                <w:color w:val="auto"/>
              </w:rPr>
              <w:t>Contract asset, net of transferred to trade receivables on contracts during the period</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10,568</w:t>
            </w:r>
          </w:p>
        </w:tc>
      </w:tr>
      <w:tr>
        <w:trPr>
          <w:trHeight w:val="227"/>
        </w:trPr>
        <w:tc>
          <w:tcPr>
            <w:tcW w:w="910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Contract asset, June 30, 2022</w:t>
            </w: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10,568</w:t>
            </w: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68"/>
        </w:trPr>
        <w:tc>
          <w:tcPr>
            <w:tcW w:w="9100" w:type="dxa"/>
            <w:vAlign w:val="bottom"/>
            <w:tcBorders>
              <w:left w:val="single" w:sz="8" w:color="CCEEFF"/>
            </w:tcBorders>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Contract Liability</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39"/>
        </w:trPr>
        <w:tc>
          <w:tcPr>
            <w:tcW w:w="940" w:type="dxa"/>
            <w:vAlign w:val="bottom"/>
            <w:tcBorders>
              <w:left w:val="single" w:sz="8" w:color="CCEEFF"/>
            </w:tcBorders>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9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03"/>
        </w:trPr>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Contract liability, January 1, 2022</w:t>
            </w: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11,946</w:t>
            </w:r>
          </w:p>
        </w:tc>
      </w:tr>
      <w:tr>
        <w:trPr>
          <w:trHeight w:val="209"/>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Recognition of revenue included in beginning of year contract liability</w:t>
            </w: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(3,591)</w:t>
            </w:r>
          </w:p>
        </w:tc>
      </w:tr>
      <w:tr>
        <w:trPr>
          <w:trHeight w:val="203"/>
        </w:trPr>
        <w:tc>
          <w:tcPr>
            <w:tcW w:w="9100" w:type="dxa"/>
            <w:vAlign w:val="bottom"/>
            <w:gridSpan w:val="3"/>
          </w:tcPr>
          <w:p>
            <w:pPr>
              <w:ind w:left="440"/>
              <w:spacing w:after="0"/>
              <w:rPr>
                <w:sz w:val="20"/>
                <w:szCs w:val="20"/>
                <w:color w:val="auto"/>
              </w:rPr>
            </w:pPr>
            <w:r>
              <w:rPr>
                <w:rFonts w:ascii="Times New Roman" w:cs="Times New Roman" w:eastAsia="Times New Roman" w:hAnsi="Times New Roman"/>
                <w:sz w:val="15"/>
                <w:szCs w:val="15"/>
                <w:color w:val="auto"/>
              </w:rPr>
              <w:t>Contract liability, net of revenue recognized on contracts during the period</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4,347</w:t>
            </w:r>
          </w:p>
        </w:tc>
      </w:tr>
      <w:tr>
        <w:trPr>
          <w:trHeight w:val="206"/>
        </w:trPr>
        <w:tc>
          <w:tcPr>
            <w:tcW w:w="9100" w:type="dxa"/>
            <w:vAlign w:val="bottom"/>
            <w:tcBorders>
              <w:left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5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202"/>
        </w:trPr>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Contract liability, June 30, 2022</w:t>
            </w:r>
          </w:p>
        </w:tc>
        <w:tc>
          <w:tcPr>
            <w:tcW w:w="5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12,642</w:t>
            </w: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2022, the short-term portion of the contract liability of $5.4 million and the long-term portion of $7.2 million is included in current liabilities and other liabilities, respectively, in the consolidated balance sheets.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2022, the Company is expected to recognize revenue of approximately 43% of unsatisfied (or partially unsatisfied) performance obligations as revenue within twelve months, with the remaining balance to be recognized thereafter.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Shipping and Handling Fees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Warranties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Taxes Collected from Customers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Disaggregated Revenue</w:t>
      </w:r>
    </w:p>
    <w:p>
      <w:pPr>
        <w:spacing w:after="0" w:line="12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presents revenues disaggregated by the major sources of revenues for the three and six months ended June 30, 2022 and 2021 (dollar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3"/>
                <w:szCs w:val="13"/>
                <w:color w:val="auto"/>
              </w:rPr>
            </w:pPr>
          </w:p>
        </w:tc>
        <w:tc>
          <w:tcPr>
            <w:tcW w:w="18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187"/>
        </w:trPr>
        <w:tc>
          <w:tcPr>
            <w:tcW w:w="3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Neurosurgery</w:t>
            </w:r>
          </w:p>
        </w:tc>
        <w:tc>
          <w:tcPr>
            <w:tcW w:w="48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200,295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202,600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394,970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391,854</w:t>
            </w:r>
          </w:p>
        </w:tc>
      </w:tr>
      <w:tr>
        <w:trPr>
          <w:trHeight w:val="20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57,568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54,237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106,224</w:t>
            </w:r>
          </w:p>
        </w:tc>
      </w:tr>
      <w:tr>
        <w:trPr>
          <w:trHeight w:val="202"/>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Codman Specialty Surgical</w:t>
            </w: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257,863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256,837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498,078</w:t>
            </w:r>
          </w:p>
        </w:tc>
      </w:tr>
      <w:tr>
        <w:trPr>
          <w:trHeight w:val="206"/>
        </w:trPr>
        <w:tc>
          <w:tcPr>
            <w:tcW w:w="3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Wound Reconstruction and Care</w:t>
            </w: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104,894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102,616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191,314</w:t>
            </w:r>
          </w:p>
        </w:tc>
      </w:tr>
      <w:tr>
        <w:trPr>
          <w:trHeight w:val="20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Private Label</w:t>
            </w: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35,058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30,539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60,671</w:t>
            </w:r>
          </w:p>
        </w:tc>
      </w:tr>
      <w:tr>
        <w:trPr>
          <w:trHeight w:val="19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Tissue Technologies</w:t>
            </w:r>
          </w:p>
        </w:tc>
        <w:tc>
          <w:tcPr>
            <w:tcW w:w="4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139,952</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133,155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269,282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251,985</w:t>
            </w:r>
          </w:p>
        </w:tc>
      </w:tr>
      <w:tr>
        <w:trPr>
          <w:trHeight w:val="202"/>
        </w:trPr>
        <w:tc>
          <w:tcPr>
            <w:tcW w:w="3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revenue</w:t>
            </w:r>
          </w:p>
        </w:tc>
        <w:tc>
          <w:tcPr>
            <w:tcW w:w="4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397,815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389,992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774,453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750,063</w:t>
            </w:r>
          </w:p>
        </w:tc>
      </w:tr>
      <w:tr>
        <w:trPr>
          <w:trHeight w:val="20"/>
        </w:trPr>
        <w:tc>
          <w:tcPr>
            <w:tcW w:w="3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On May 20 2022, the Company and certain of its subsidiaries, entered into an agreement to sell its non-core traditional wound care ("TWC") business. See </w:t>
      </w:r>
      <w:r>
        <w:rPr>
          <w:rFonts w:ascii="Times New Roman" w:cs="Times New Roman" w:eastAsia="Times New Roman" w:hAnsi="Times New Roman"/>
          <w:sz w:val="17"/>
          <w:szCs w:val="17"/>
          <w:i w:val="1"/>
          <w:iCs w:val="1"/>
          <w:color w:val="auto"/>
        </w:rPr>
        <w:t>Note 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Held for Sale.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16, </w:t>
      </w:r>
      <w:r>
        <w:rPr>
          <w:rFonts w:ascii="Times New Roman" w:cs="Times New Roman" w:eastAsia="Times New Roman" w:hAnsi="Times New Roman"/>
          <w:sz w:val="17"/>
          <w:szCs w:val="17"/>
          <w:i w:val="1"/>
          <w:iCs w:val="1"/>
          <w:color w:val="auto"/>
        </w:rPr>
        <w:t>Segment and Geographical Information</w:t>
      </w:r>
      <w:r>
        <w:rPr>
          <w:rFonts w:ascii="Times New Roman" w:cs="Times New Roman" w:eastAsia="Times New Roman" w:hAnsi="Times New Roman"/>
          <w:sz w:val="17"/>
          <w:szCs w:val="17"/>
          <w:color w:val="auto"/>
        </w:rPr>
        <w:t>, for details of revenues based on the location of the customer.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INVENTORIES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5"/>
                <w:szCs w:val="15"/>
                <w:color w:val="auto"/>
              </w:rPr>
            </w:pPr>
          </w:p>
        </w:tc>
        <w:tc>
          <w:tcPr>
            <w:tcW w:w="15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164,277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162,528</w:t>
            </w: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 in process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65,323</w:t>
            </w: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89,535</w:t>
            </w: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inventories, net</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320,208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317,386</w:t>
            </w: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At June 30, 2022, $9.3 million of inventories, net were presented separately as "assets held for sale" in conjunction with the sale of the TWC business. </w:t>
      </w:r>
      <w:r>
        <w:rPr>
          <w:rFonts w:ascii="Times New Roman" w:cs="Times New Roman" w:eastAsia="Times New Roman" w:hAnsi="Times New Roman"/>
          <w:sz w:val="15"/>
          <w:szCs w:val="15"/>
          <w:color w:val="auto"/>
        </w:rPr>
        <w:t>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i w:val="1"/>
          <w:iCs w:val="1"/>
          <w:color w:val="auto"/>
        </w:rPr>
        <w:t>Note 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Assets and Liabilities Held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GOODWILL AND OTHER INTANGIBLE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carrying amount of goodwill for the six-month period ended June 30, 2022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Codman Specialty</w:t>
            </w:r>
          </w:p>
        </w:tc>
        <w:tc>
          <w:tcPr>
            <w:tcW w:w="16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Pr>
          <w:p>
            <w:pPr>
              <w:spacing w:after="0"/>
              <w:rPr>
                <w:sz w:val="13"/>
                <w:szCs w:val="13"/>
                <w:color w:val="auto"/>
              </w:rPr>
            </w:pPr>
          </w:p>
        </w:tc>
        <w:tc>
          <w:tcPr>
            <w:tcW w:w="120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Surgical</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663,428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350,030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1,013,458</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Transfer to assets held for sale</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(5,083)</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(17,969)</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 at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651,606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338,800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990,406</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40" w:hanging="137"/>
        <w:spacing w:after="0"/>
        <w:tabs>
          <w:tab w:leader="none" w:pos="14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Note 2. Assets and Liabilities Held for Sale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Company’s identifiable intangible assets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3"/>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3"/>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40" w:type="dxa"/>
            <w:vAlign w:val="bottom"/>
          </w:tcPr>
          <w:p>
            <w:pPr>
              <w:spacing w:after="0"/>
              <w:rPr>
                <w:sz w:val="12"/>
                <w:szCs w:val="12"/>
                <w:color w:val="auto"/>
              </w:rPr>
            </w:pPr>
          </w:p>
        </w:tc>
        <w:tc>
          <w:tcPr>
            <w:tcW w:w="104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gridSpan w:val="2"/>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Completed technology</w:t>
            </w:r>
          </w:p>
        </w:tc>
        <w:tc>
          <w:tcPr>
            <w:tcW w:w="15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18 years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1,122,233</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(336,288)</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785,945</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color w:val="auto"/>
              </w:rPr>
              <w:t>12 years</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192,929</w:t>
            </w:r>
          </w:p>
        </w:tc>
        <w:tc>
          <w:tcPr>
            <w:tcW w:w="22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(140,184)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52,745</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Trademarks/brand names</w:t>
            </w:r>
          </w:p>
        </w:tc>
        <w:tc>
          <w:tcPr>
            <w:tcW w:w="15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28 years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96,745</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63,898</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Codman tradename</w:t>
            </w: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color w:val="auto"/>
              </w:rPr>
              <w:t>Indefinite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164,150</w:t>
            </w:r>
          </w:p>
        </w:tc>
        <w:tc>
          <w:tcPr>
            <w:tcW w:w="220" w:type="dxa"/>
            <w:vAlign w:val="bottom"/>
          </w:tcPr>
          <w:p>
            <w:pPr>
              <w:spacing w:after="0"/>
              <w:rPr>
                <w:sz w:val="17"/>
                <w:szCs w:val="17"/>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164,150</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Supplier relationships</w:t>
            </w:r>
          </w:p>
        </w:tc>
        <w:tc>
          <w:tcPr>
            <w:tcW w:w="15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30 years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1560" w:type="dxa"/>
            <w:vAlign w:val="bottom"/>
            <w:tcBorders>
              <w:bottom w:val="single" w:sz="8" w:color="CCEEFF"/>
            </w:tcBorders>
            <w:gridSpan w:val="3"/>
          </w:tcPr>
          <w:p>
            <w:pPr>
              <w:jc w:val="center"/>
              <w:ind w:right="200"/>
              <w:spacing w:after="0"/>
              <w:rPr>
                <w:sz w:val="20"/>
                <w:szCs w:val="20"/>
                <w:color w:val="auto"/>
              </w:rPr>
            </w:pPr>
            <w:r>
              <w:rPr>
                <w:rFonts w:ascii="Times New Roman" w:cs="Times New Roman" w:eastAsia="Times New Roman" w:hAnsi="Times New Roman"/>
                <w:sz w:val="15"/>
                <w:szCs w:val="15"/>
                <w:color w:val="auto"/>
              </w:rPr>
              <w:t>11 years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(3,852)</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1,612,127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(529,852)</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1,082,275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5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vMerge w:val="restart"/>
          </w:tcPr>
          <w:p>
            <w:pPr>
              <w:spacing w:after="0"/>
              <w:rPr>
                <w:sz w:val="12"/>
                <w:szCs w:val="12"/>
                <w:color w:val="auto"/>
              </w:rPr>
            </w:pPr>
          </w:p>
        </w:tc>
        <w:tc>
          <w:tcPr>
            <w:tcW w:w="156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40" w:type="dxa"/>
            <w:vAlign w:val="bottom"/>
          </w:tcPr>
          <w:p>
            <w:pPr>
              <w:spacing w:after="0"/>
              <w:rPr>
                <w:sz w:val="12"/>
                <w:szCs w:val="12"/>
                <w:color w:val="auto"/>
              </w:rPr>
            </w:pPr>
          </w:p>
        </w:tc>
        <w:tc>
          <w:tcPr>
            <w:tcW w:w="104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Borders>
              <w:bottom w:val="single" w:sz="8" w:color="CCEEFF"/>
            </w:tcBorders>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Completed technology</w:t>
            </w:r>
          </w:p>
        </w:tc>
        <w:tc>
          <w:tcPr>
            <w:tcW w:w="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5"/>
                <w:szCs w:val="15"/>
                <w:color w:val="auto"/>
              </w:rPr>
              <w:t>18 years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1,132,954</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(307,013)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825,941</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rPr>
              <w:t>12 years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(142,755)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68,589</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Trademarks/brand names</w:t>
            </w:r>
          </w:p>
        </w:tc>
        <w:tc>
          <w:tcPr>
            <w:tcW w:w="15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5"/>
                <w:szCs w:val="15"/>
                <w:color w:val="auto"/>
              </w:rPr>
              <w:t>28 years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66,899</w:t>
            </w:r>
          </w:p>
        </w:tc>
        <w:tc>
          <w:tcPr>
            <w:tcW w:w="0" w:type="dxa"/>
            <w:vAlign w:val="bottom"/>
          </w:tcPr>
          <w:p>
            <w:pPr>
              <w:spacing w:after="0"/>
              <w:rPr>
                <w:sz w:val="1"/>
                <w:szCs w:val="1"/>
                <w:color w:val="auto"/>
              </w:rPr>
            </w:pPr>
          </w:p>
        </w:tc>
      </w:tr>
      <w:tr>
        <w:trPr>
          <w:trHeight w:val="20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Codman tradename</w:t>
            </w: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color w:val="auto"/>
              </w:rPr>
              <w:t>Indefinite</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167,758</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Supplier relationships</w:t>
            </w:r>
          </w:p>
        </w:tc>
        <w:tc>
          <w:tcPr>
            <w:tcW w:w="15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5"/>
                <w:szCs w:val="15"/>
                <w:color w:val="auto"/>
              </w:rPr>
              <w:t>30 years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14,019</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All other</w:t>
            </w:r>
          </w:p>
        </w:tc>
        <w:tc>
          <w:tcPr>
            <w:tcW w:w="1560" w:type="dxa"/>
            <w:vAlign w:val="bottom"/>
            <w:tcBorders>
              <w:bottom w:val="single" w:sz="8" w:color="CCEEFF"/>
            </w:tcBorders>
            <w:gridSpan w:val="3"/>
          </w:tcPr>
          <w:p>
            <w:pPr>
              <w:jc w:val="center"/>
              <w:ind w:right="280"/>
              <w:spacing w:after="0"/>
              <w:rPr>
                <w:sz w:val="20"/>
                <w:szCs w:val="20"/>
                <w:color w:val="auto"/>
              </w:rPr>
            </w:pPr>
            <w:r>
              <w:rPr>
                <w:rFonts w:ascii="Times New Roman" w:cs="Times New Roman" w:eastAsia="Times New Roman" w:hAnsi="Times New Roman"/>
                <w:sz w:val="15"/>
                <w:szCs w:val="15"/>
                <w:color w:val="auto"/>
              </w:rPr>
              <w:t>11 years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1,646,892</w:t>
            </w:r>
          </w:p>
        </w:tc>
        <w:tc>
          <w:tcPr>
            <w:tcW w:w="2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(501,319)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1,145,573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2022, $10.5 million of customer relationships, net were presented separately as "assets held for sale" in conjunction with the sale of the TWC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Note 2. Assets and Liabilities Held for Sale.</w:t>
      </w:r>
    </w:p>
    <w:p>
      <w:pPr>
        <w:spacing w:after="0" w:line="1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Based on quarter-end exchange rates, amortization expense (including amounts reported in cost of goods sold) is expected to be approximately $38.4 million for the remainder of 2022, $76.5 million in 2023, $75.8 million in 2024, $75.8 million in 2025, $75.7 million in 2026, $73.7 million in 2027 and $499.8 million thereafter.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the Sixth Amended and Restated Senior Credit Agreement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maximum consolidated total leverage ratio in the financial covenants (as defined in the Senior Credit Facility) is the following:</w:t>
      </w:r>
    </w:p>
    <w:p>
      <w:pPr>
        <w:spacing w:after="0" w:line="26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w:t>
            </w:r>
          </w:p>
        </w:tc>
        <w:tc>
          <w:tcPr>
            <w:tcW w:w="120" w:type="dxa"/>
            <w:vAlign w:val="bottom"/>
            <w:vMerge w:val="restart"/>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Maximum Consolidated Total</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Leverage Ratio</w:t>
            </w:r>
          </w:p>
        </w:tc>
        <w:tc>
          <w:tcPr>
            <w:tcW w:w="0" w:type="dxa"/>
            <w:vAlign w:val="bottom"/>
          </w:tcPr>
          <w:p>
            <w:pPr>
              <w:spacing w:after="0"/>
              <w:rPr>
                <w:sz w:val="1"/>
                <w:szCs w:val="1"/>
                <w:color w:val="auto"/>
              </w:rPr>
            </w:pPr>
          </w:p>
        </w:tc>
      </w:tr>
      <w:tr>
        <w:trPr>
          <w:trHeight w:val="205"/>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30, 2021 through June 30,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5.00 to 1.00</w:t>
            </w: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September 30, 2022 through June 30, 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4.50 to 1.00</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30, 2023 and the last day of each fiscal quarter thereafter</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4.00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under the Senior Credit Facility bear interest, at the Company’s option, at a rate equal to the following:</w:t>
      </w:r>
    </w:p>
    <w:p>
      <w:pPr>
        <w:spacing w:after="0" w:line="114" w:lineRule="exact"/>
        <w:rPr>
          <w:sz w:val="20"/>
          <w:szCs w:val="20"/>
          <w:color w:val="auto"/>
        </w:rPr>
      </w:pPr>
    </w:p>
    <w:p>
      <w:pPr>
        <w:ind w:left="600" w:hanging="28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Eurodollar Rate (as defined in the amendment and restatement) in effect from time to time plus the applicable rate (ranging from 1.00% to 2.25%), or</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highest of:</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overnight Federal funds rate, as published by the Federal Reserve Bank of New York, plus 0.50%</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prime lending rate of Bank of America, N.A. or</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one-month Eurodollar Rate plus 1.00%</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for the period of four consecutive fiscal quarters ending on such date).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will pay an annual commitment fee (ranging from 0.15% to 0.30%), based on the Company's consolidated total leverage ratio, on the amount available for borrowing under the revolving credit facility.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Senior Credit Facility is collateralized by substantially all of the assets of the Company’s U.S. subsidiaries, excluding intangible assets. The Senior Credit Facility is subject to various financial and negative covenants and at June 30, 2022, the Company was in compliance with all such covenants.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June 30, 2022 and December 31, 2021, there was $53.8 million and $31.3 million, respectively, outstanding under the revolving portion of the Senior Credit Facility at weighted average interest rates of 3.0% and 1.4%, respectively. At June 30, 2022 and December 31, 2021, there was $821.3 million and $843.8 million, respectively, outstanding under the Term Loan component of the Senior Credit Facility at a weighted average interest rate of 3.0% and 1.4%, respectively. At June 30, 2022 and December 31, 2021, there was $50.6 million and $45.0 million, respectively of the Term Loan component of the Senior Credit Facility classified as current on the consolidated balance sheets.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outstanding borrowings of the Senior Credit Facility's revolving credit and Term Loan components at June 30, 2022 were $52.5 million and $803.6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Letters of credit outstanding as of June 30, 2022 and December 31, 2021 totaled $1.6 million. There were no amounts drawn as of June 30,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Contractual repayments of the Term Loan component of the Senior Credit Facility are due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6900" w:type="dxa"/>
            <w:vAlign w:val="bottom"/>
            <w:gridSpan w:val="3"/>
          </w:tcPr>
          <w:p>
            <w:pPr>
              <w:jc w:val="right"/>
              <w:ind w:right="3903"/>
              <w:spacing w:after="0"/>
              <w:rPr>
                <w:sz w:val="20"/>
                <w:szCs w:val="20"/>
                <w:color w:val="auto"/>
              </w:rPr>
            </w:pPr>
            <w:r>
              <w:rPr>
                <w:rFonts w:ascii="Times New Roman" w:cs="Times New Roman" w:eastAsia="Times New Roman" w:hAnsi="Times New Roman"/>
                <w:sz w:val="14"/>
                <w:szCs w:val="14"/>
                <w:b w:val="1"/>
                <w:bCs w:val="1"/>
                <w:color w:val="auto"/>
              </w:rPr>
              <w:t>Quarter Ended June 30, 2022</w:t>
            </w:r>
          </w:p>
        </w:tc>
        <w:tc>
          <w:tcPr>
            <w:tcW w:w="1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2"/>
        </w:trPr>
        <w:tc>
          <w:tcPr>
            <w:tcW w:w="240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Remainder of 2022</w:t>
            </w:r>
          </w:p>
        </w:tc>
        <w:tc>
          <w:tcPr>
            <w:tcW w:w="690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22,500</w:t>
            </w:r>
          </w:p>
        </w:tc>
      </w:tr>
      <w:tr>
        <w:trPr>
          <w:trHeight w:val="203"/>
        </w:trPr>
        <w:tc>
          <w:tcPr>
            <w:tcW w:w="2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690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61,875</w:t>
            </w:r>
          </w:p>
        </w:tc>
      </w:tr>
      <w:tr>
        <w:trPr>
          <w:trHeight w:val="20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690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67,500</w:t>
            </w:r>
          </w:p>
        </w:tc>
      </w:tr>
      <w:tr>
        <w:trPr>
          <w:trHeight w:val="203"/>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662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669,375</w:t>
            </w:r>
          </w:p>
        </w:tc>
      </w:tr>
      <w:tr>
        <w:trPr>
          <w:trHeight w:val="219"/>
        </w:trPr>
        <w:tc>
          <w:tcPr>
            <w:tcW w:w="2400" w:type="dxa"/>
            <w:vAlign w:val="bottom"/>
            <w:shd w:val="clear" w:color="auto" w:fill="CCEEFF"/>
          </w:tcPr>
          <w:p>
            <w:pPr>
              <w:spacing w:after="0"/>
              <w:rPr>
                <w:sz w:val="19"/>
                <w:szCs w:val="19"/>
                <w:color w:val="auto"/>
              </w:rPr>
            </w:pPr>
          </w:p>
        </w:tc>
        <w:tc>
          <w:tcPr>
            <w:tcW w:w="690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821,250</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interest payments on the term loan component of the Senior Credit Facility based on current interest rates are expected to approximate $12.2 million for remainder of 2022, $23.2 million in 2023, $21.1 million in 2024, and $1.9 million in 2025. Interest is calculated on the term loan portion of the Senior Credit Facility based on LIBOR plus the certain amounts set forth in the Sixth Amended and Restated Credit Agreement. As the revolving credit facility and Securitization Facility can be repaid at any time, no interest has been included in the calculation.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outstanding balance of the revolving credit component of the Senior Credit Facility is due on February 3,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June 30, 2022, none of these conditions existed with respect to the 2025 Notes and as a result the 2025 Notes are classified as long term.</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for further details. At June 30, 2022, the carrying amount of the liability was $575.0 million. The fair value of the 2025 Notes at June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was $542.1 million. Factors that the Company considered when estimating the fair value of the 2025 Notes included recent quoted market prices or dealer quote. The level of the 2025 Notes is considered as Level 1.</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a result of the adoption of ASU 2020-06, the Company recognized only cash interest related to the contractual interest coupon of $1.4 million on the 2025 Notes for both the six months ended June 30, 2022 and June 30, 2021.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Securitization Facility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2022, the Company was in compliance with the covenants and none of the termination events had occurred.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28, 2021, the Company entered into an amendment (the "May 2021 Amendment") of the Securitization Facility which extended the maturity date from December 21, 2021 to May 28, 2024. The May 2021 Amendment does not increase the Company’s total indebtedness.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June 30, 2022 and December 31, 2021, the Company had $112.5 million of outstanding borrowings under its Securitization Facility at a weighted average interest rate of 2.1% and 1.1%, respectively. The fair value of the outstanding borrowing of the Securitization Facility at June 30, 2022 was $110.0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DERIVATIVE INSTRUMENTS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Hedging</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held the following interest rate swaps as of June 30, 2022 and December 31, 2021 (dollar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3"/>
                <w:szCs w:val="1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160" w:type="dxa"/>
            <w:vAlign w:val="bottom"/>
          </w:tcPr>
          <w:p>
            <w:pPr>
              <w:spacing w:after="0"/>
              <w:rPr>
                <w:sz w:val="13"/>
                <w:szCs w:val="1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82"/>
        </w:trPr>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98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Designation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Termination Date</w:t>
            </w: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Fixed Interest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3"/>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5"/>
        </w:trPr>
        <w:tc>
          <w:tcPr>
            <w:tcW w:w="1340" w:type="dxa"/>
            <w:vAlign w:val="bottom"/>
            <w:gridSpan w:val="3"/>
            <w:vMerge w:val="continue"/>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gridSpan w:val="3"/>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2"/>
              </w:rPr>
              <w:t>Rate</w:t>
            </w: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1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20"/>
        </w:trPr>
        <w:tc>
          <w:tcPr>
            <w:tcW w:w="1340" w:type="dxa"/>
            <w:vAlign w:val="bottom"/>
            <w:gridSpan w:val="3"/>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1-month USD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13, 2017</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681</w:t>
            </w: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40" w:type="dxa"/>
            <w:vAlign w:val="bottom"/>
            <w:gridSpan w:val="3"/>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13, 2017</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1, 2019</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2.423 %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1,937</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13, 2017</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January 1,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3,322</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w:t>
            </w: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40" w:type="dxa"/>
            <w:vAlign w:val="bottom"/>
            <w:gridSpan w:val="3"/>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October 10,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1, 2020</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October 10,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1, 2020</w:t>
            </w: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40" w:type="dxa"/>
            <w:vAlign w:val="bottom"/>
            <w:gridSpan w:val="3"/>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October 10,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1, 2020</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30, 2025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18, 2018</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30, 2022</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40" w:type="dxa"/>
            <w:vAlign w:val="bottom"/>
            <w:gridSpan w:val="3"/>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18,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30, 2022</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15, 2020</w:t>
            </w: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July 31, 2025</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17,938</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0" w:type="dxa"/>
            <w:vAlign w:val="bottom"/>
          </w:tcPr>
          <w:p>
            <w:pPr>
              <w:spacing w:after="0"/>
              <w:rPr>
                <w:sz w:val="1"/>
                <w:szCs w:val="1"/>
                <w:color w:val="auto"/>
              </w:rPr>
            </w:pPr>
          </w:p>
        </w:tc>
      </w:tr>
      <w:tr>
        <w:trPr>
          <w:trHeight w:val="101"/>
        </w:trPr>
        <w:tc>
          <w:tcPr>
            <w:tcW w:w="1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40" w:type="dxa"/>
            <w:vAlign w:val="bottom"/>
            <w:gridSpan w:val="3"/>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1-month USD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December 15,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July 1, 2025</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December 31, 2027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4,295</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LIBOR Loan</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26,939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(43,957)</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Hedging</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fourth quarter of 2020, the Company entered into foreign currency forward contracts, with a notional amount of $4.2 million, to mitigate the foreign exchange risk related to certain intercompany loans denominated in Canadian Dollar ("CAD"). During the second quarter of 2022, the Company entered into foreign currency forward contract, with a notional amount of $4.2 million, to mitigate the foreign exchange risk related to certain intercompany receivables denominated in Japanese Yen ("JPY"). The contracts are not designated as hedging instruments. The Company recognized $0.1 million and $0.3 million losses from the change in fair value of such contracts, which was included in other income, net in the consolidated statement of operations as of June 30, 2022 and June 30, 2021, respectively. The fair value of the foreign currency forward contracts was less than $0.1 million and $0.2 million as of June 30, 2022 and December 31, 2021, respectively.</w:t>
      </w: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second quarter of 2021, the Company entered into a foreign currency swap, with a notional amount of $7.3 million to mitigate the risk from fluctuations in foreign currency exchange rates associated with certain intercompany loan denominated in 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$6.4 million. The change in fair value of the foreign currency swap was $1.6 million as of June 30, 2022.</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Cross-Currency Rate Swaps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October 2, 2017, the Company entered into cross-currency swap agreements to convert a notional amount of $300.0 million equivalent to 291.2 million of Swiss Francs ("CHF") denominated intercompany loans into U.S. dollars. The CHF-denominated intercompany loans were the result of the purchase of intellectual property by a subsidiary in Switzerland as part of an acquisition.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held the following cross-currency rate swaps as of June 30, 2022 and December 31, 2021 (dollar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2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 Date</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680" w:type="dxa"/>
            <w:vAlign w:val="bottom"/>
          </w:tcPr>
          <w:p>
            <w:pPr>
              <w:spacing w:after="0"/>
              <w:rPr>
                <w:sz w:val="10"/>
                <w:szCs w:val="10"/>
                <w:color w:val="auto"/>
              </w:rPr>
            </w:pPr>
          </w:p>
        </w:tc>
        <w:tc>
          <w:tcPr>
            <w:tcW w:w="2700" w:type="dxa"/>
            <w:vAlign w:val="bottom"/>
            <w:gridSpan w:val="4"/>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7"/>
              </w:rPr>
              <w:t>Aggregate Notional Amount</w:t>
            </w:r>
          </w:p>
        </w:tc>
        <w:tc>
          <w:tcPr>
            <w:tcW w:w="1760" w:type="dxa"/>
            <w:vAlign w:val="bottom"/>
            <w:gridSpan w:val="2"/>
          </w:tcPr>
          <w:p>
            <w:pPr>
              <w:jc w:val="center"/>
              <w:ind w:left="427"/>
              <w:spacing w:after="0" w:line="123"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2700" w:type="dxa"/>
            <w:vAlign w:val="bottom"/>
            <w:gridSpan w:val="4"/>
            <w:vMerge w:val="continue"/>
          </w:tcPr>
          <w:p>
            <w:pPr>
              <w:spacing w:after="0"/>
              <w:rPr>
                <w:sz w:val="9"/>
                <w:szCs w:val="9"/>
                <w:color w:val="auto"/>
              </w:rPr>
            </w:pPr>
          </w:p>
        </w:tc>
        <w:tc>
          <w:tcPr>
            <w:tcW w:w="1760" w:type="dxa"/>
            <w:vAlign w:val="bottom"/>
            <w:gridSpan w:val="2"/>
            <w:vMerge w:val="restart"/>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w w:val="97"/>
              </w:rPr>
              <w:t>Asset (Liability)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CHF</w:t>
            </w:r>
          </w:p>
        </w:tc>
        <w:tc>
          <w:tcPr>
            <w:tcW w:w="80" w:type="dxa"/>
            <w:vAlign w:val="bottom"/>
            <w:shd w:val="clear" w:color="auto" w:fill="CCEEFF"/>
          </w:tcPr>
          <w:p>
            <w:pPr>
              <w:spacing w:after="0"/>
              <w:rPr>
                <w:sz w:val="21"/>
                <w:szCs w:val="21"/>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October 2, 2017</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October 2, 2022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CHF</w:t>
            </w:r>
          </w:p>
        </w:tc>
        <w:tc>
          <w:tcPr>
            <w:tcW w:w="1220" w:type="dxa"/>
            <w:vAlign w:val="bottom"/>
            <w:shd w:val="clear" w:color="auto" w:fill="CCEEFF"/>
          </w:tcPr>
          <w:p>
            <w:pPr>
              <w:jc w:val="center"/>
              <w:ind w:left="486"/>
              <w:spacing w:after="0"/>
              <w:rPr>
                <w:sz w:val="20"/>
                <w:szCs w:val="20"/>
                <w:color w:val="auto"/>
              </w:rPr>
            </w:pPr>
            <w:r>
              <w:rPr>
                <w:rFonts w:ascii="Times New Roman" w:cs="Times New Roman" w:eastAsia="Times New Roman" w:hAnsi="Times New Roman"/>
                <w:sz w:val="15"/>
                <w:szCs w:val="15"/>
                <w:color w:val="auto"/>
              </w:rPr>
              <w:t>145,598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640" w:type="dxa"/>
            <w:vAlign w:val="bottom"/>
            <w:shd w:val="clear" w:color="auto" w:fill="CCEEFF"/>
          </w:tcPr>
          <w:p>
            <w:pPr>
              <w:spacing w:after="0"/>
              <w:rPr>
                <w:sz w:val="21"/>
                <w:szCs w:val="2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(8,283)</w:t>
            </w:r>
          </w:p>
        </w:tc>
        <w:tc>
          <w:tcPr>
            <w:tcW w:w="0" w:type="dxa"/>
            <w:vAlign w:val="bottom"/>
          </w:tcPr>
          <w:p>
            <w:pPr>
              <w:spacing w:after="0"/>
              <w:rPr>
                <w:sz w:val="1"/>
                <w:szCs w:val="1"/>
                <w:color w:val="auto"/>
              </w:rPr>
            </w:pPr>
          </w:p>
        </w:tc>
      </w:tr>
      <w:tr>
        <w:trPr>
          <w:trHeight w:val="77"/>
        </w:trPr>
        <w:tc>
          <w:tcPr>
            <w:tcW w:w="1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8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shd w:val="clear" w:color="auto" w:fill="CCEEFF"/>
          </w:tcPr>
          <w:p>
            <w:pPr>
              <w:jc w:val="center"/>
              <w:ind w:left="486"/>
              <w:spacing w:after="0"/>
              <w:rPr>
                <w:sz w:val="20"/>
                <w:szCs w:val="20"/>
                <w:color w:val="auto"/>
              </w:rPr>
            </w:pPr>
            <w:r>
              <w:rPr>
                <w:rFonts w:ascii="Times New Roman" w:cs="Times New Roman" w:eastAsia="Times New Roman" w:hAnsi="Times New Roman"/>
                <w:sz w:val="15"/>
                <w:szCs w:val="15"/>
                <w:color w:val="auto"/>
              </w:rPr>
              <w:t>150,000</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3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44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CHF</w:t>
            </w:r>
          </w:p>
        </w:tc>
        <w:tc>
          <w:tcPr>
            <w:tcW w:w="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22, 2025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CHF</w:t>
            </w:r>
          </w:p>
        </w:tc>
        <w:tc>
          <w:tcPr>
            <w:tcW w:w="1220" w:type="dxa"/>
            <w:vAlign w:val="bottom"/>
            <w:shd w:val="clear" w:color="auto" w:fill="CCEEFF"/>
          </w:tcPr>
          <w:p>
            <w:pPr>
              <w:jc w:val="center"/>
              <w:ind w:left="486"/>
              <w:spacing w:after="0"/>
              <w:rPr>
                <w:sz w:val="20"/>
                <w:szCs w:val="20"/>
                <w:color w:val="auto"/>
              </w:rPr>
            </w:pPr>
            <w:r>
              <w:rPr>
                <w:rFonts w:ascii="Times New Roman" w:cs="Times New Roman" w:eastAsia="Times New Roman" w:hAnsi="Times New Roman"/>
                <w:sz w:val="15"/>
                <w:szCs w:val="15"/>
                <w:color w:val="auto"/>
              </w:rPr>
              <w:t>385,637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11,919</w:t>
            </w:r>
          </w:p>
        </w:tc>
        <w:tc>
          <w:tcPr>
            <w:tcW w:w="6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03"/>
        </w:trPr>
        <w:tc>
          <w:tcPr>
            <w:tcW w:w="1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8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vMerge w:val="restart"/>
            <w:shd w:val="clear" w:color="auto" w:fill="CCEEFF"/>
          </w:tcPr>
          <w:p>
            <w:pPr>
              <w:jc w:val="center"/>
              <w:ind w:left="506"/>
              <w:spacing w:after="0"/>
              <w:rPr>
                <w:sz w:val="20"/>
                <w:szCs w:val="20"/>
                <w:color w:val="auto"/>
              </w:rPr>
            </w:pPr>
            <w:r>
              <w:rPr>
                <w:rFonts w:ascii="Times New Roman" w:cs="Times New Roman" w:eastAsia="Times New Roman" w:hAnsi="Times New Roman"/>
                <w:sz w:val="15"/>
                <w:szCs w:val="15"/>
                <w:color w:val="auto"/>
                <w:w w:val="98"/>
              </w:rPr>
              <w:t>432,911</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445,821</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tcBorders>
              <w:bottom w:val="single" w:sz="8" w:color="CCEEFF"/>
            </w:tcBorders>
            <w:gridSpan w:val="2"/>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9,362</w:t>
            </w:r>
          </w:p>
        </w:tc>
        <w:tc>
          <w:tcPr>
            <w:tcW w:w="6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4, 2021 in accordance with the termination date, the Company settled a cross-currency swap designated as a cash flow hedge of an intercompany loan with an aggregate notional amount of $50.0 million. The gain recorded by the Company upon the settlement of the swap was not material for the period.</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cross-currency swaps are carried on the consolidated balance sheet at fair value, and changes in the fair values are recorded as unrealized gains or losses in AOCL. For the three and six months ended June 30, 2022, the Company recorded gains of $19.3 million and $25.8 million, respectively, in other income, net related to change in fair value related to the foreign currency rate translation to offset the losses recognized on the intercompany loans. For the three and six months ended June 30, 2021, the Company recorded a loss of $12.9 million and a gain of $30.0 million, respectively, in other income, net related to change in fair value related to the foreign currency rate translation to offset the gain or losses recognized on the intercompany loans.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recorded gains of $21.1 million and $21.5 million in AOCL, respectively, related to change in fair value of the cross-currency swaps. For the three and six months ended June 30, 2021, the Company recorded a loss of $11.0 million and a gain of $29.2 million in AOCL, respectively, related to change in fair value of the cross-currency swaps.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recorded gains of $2.0 million and $3.8 million, respectively, in other income, net included in the consolidated statements of operations related to the interest rate differential of the cross-currency swaps. For the three and six months ended June 30, 2021, the Company recorded gains of $1.3 million and $2.5 million, respectively, in other income, net included in the consolidated statements of operations related to the interest rate differential of the cross-currency swaps.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estimated gain that is expected to be reclassified to other income, net from AOCL as of June 30, 2022 within the next twelve months is $3.6 million. As of June 30, 2022, the Company does not expect any gains or losses will be reclassified into earnings as a result of the discontinuance of these cash flow hedges because the original forecasted transaction will not occur.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Hedges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December 16, 2020 and May 26, 2022, the Company entered into cross-currency swap agreements designated as net investment hedges to partially offset the effects of foreign currency on foreign subsidiaries.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 held the following cross-currency rate swaps designated as net investment hedges as of June 30, 2022 and December 31, 2021, respectively (dollar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5"/>
                <w:szCs w:val="15"/>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Effective Date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Termination Date</w:t>
            </w:r>
          </w:p>
        </w:tc>
        <w:tc>
          <w:tcPr>
            <w:tcW w:w="8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80" w:type="dxa"/>
            <w:vAlign w:val="bottom"/>
            <w:gridSpan w:val="2"/>
          </w:tcPr>
          <w:p>
            <w:pPr>
              <w:jc w:val="right"/>
              <w:ind w:right="183"/>
              <w:spacing w:after="0" w:line="123" w:lineRule="exact"/>
              <w:rPr>
                <w:sz w:val="20"/>
                <w:szCs w:val="20"/>
                <w:color w:val="auto"/>
              </w:rPr>
            </w:pPr>
            <w:r>
              <w:rPr>
                <w:rFonts w:ascii="Times New Roman" w:cs="Times New Roman" w:eastAsia="Times New Roman" w:hAnsi="Times New Roman"/>
                <w:sz w:val="14"/>
                <w:szCs w:val="14"/>
                <w:b w:val="1"/>
                <w:bCs w:val="1"/>
                <w:color w:val="auto"/>
              </w:rPr>
              <w:t>Aggregate Notional</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40" w:type="dxa"/>
            <w:vAlign w:val="bottom"/>
            <w:gridSpan w:val="4"/>
            <w:vMerge w:val="restart"/>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EUR</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October 3, 2018</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30, 2023</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EUR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51,760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2,503</w:t>
            </w:r>
          </w:p>
        </w:tc>
        <w:tc>
          <w:tcPr>
            <w:tcW w:w="0" w:type="dxa"/>
            <w:vAlign w:val="bottom"/>
          </w:tcPr>
          <w:p>
            <w:pPr>
              <w:spacing w:after="0"/>
              <w:rPr>
                <w:sz w:val="1"/>
                <w:szCs w:val="1"/>
                <w:color w:val="auto"/>
              </w:rPr>
            </w:pPr>
          </w:p>
        </w:tc>
      </w:tr>
      <w:tr>
        <w:trPr>
          <w:trHeight w:val="103"/>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100" w:type="dxa"/>
            <w:vAlign w:val="bottom"/>
            <w:shd w:val="clear" w:color="auto" w:fill="CCEEFF"/>
          </w:tcPr>
          <w:p>
            <w:pPr>
              <w:spacing w:after="0"/>
              <w:rPr>
                <w:sz w:val="8"/>
                <w:szCs w:val="8"/>
                <w:color w:val="auto"/>
              </w:rPr>
            </w:pPr>
          </w:p>
        </w:tc>
        <w:tc>
          <w:tcPr>
            <w:tcW w:w="1420" w:type="dxa"/>
            <w:vAlign w:val="bottom"/>
            <w:gridSpan w:val="2"/>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2.57%</w:t>
            </w:r>
          </w:p>
        </w:tc>
        <w:tc>
          <w:tcPr>
            <w:tcW w:w="8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0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EUR</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October 3, 2018</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30, 2025</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EUR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0" w:type="dxa"/>
            <w:vAlign w:val="bottom"/>
          </w:tcPr>
          <w:p>
            <w:pPr>
              <w:spacing w:after="0"/>
              <w:rPr>
                <w:sz w:val="1"/>
                <w:szCs w:val="1"/>
                <w:color w:val="auto"/>
              </w:rPr>
            </w:pPr>
          </w:p>
        </w:tc>
      </w:tr>
      <w:tr>
        <w:trPr>
          <w:trHeight w:val="103"/>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100" w:type="dxa"/>
            <w:vAlign w:val="bottom"/>
            <w:shd w:val="clear" w:color="auto" w:fill="CCEEFF"/>
          </w:tcPr>
          <w:p>
            <w:pPr>
              <w:spacing w:after="0"/>
              <w:rPr>
                <w:sz w:val="8"/>
                <w:szCs w:val="8"/>
                <w:color w:val="auto"/>
              </w:rPr>
            </w:pPr>
          </w:p>
        </w:tc>
        <w:tc>
          <w:tcPr>
            <w:tcW w:w="1420" w:type="dxa"/>
            <w:vAlign w:val="bottom"/>
            <w:gridSpan w:val="2"/>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0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Pay CHF</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December 16, 2020</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16, 2027</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CHF</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222,300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100" w:type="dxa"/>
            <w:vAlign w:val="bottom"/>
            <w:shd w:val="clear" w:color="auto" w:fill="CCEEFF"/>
          </w:tcPr>
          <w:p>
            <w:pPr>
              <w:spacing w:after="0"/>
              <w:rPr>
                <w:sz w:val="8"/>
                <w:szCs w:val="8"/>
                <w:color w:val="auto"/>
              </w:rPr>
            </w:pPr>
          </w:p>
        </w:tc>
        <w:tc>
          <w:tcPr>
            <w:tcW w:w="1420" w:type="dxa"/>
            <w:vAlign w:val="bottom"/>
            <w:gridSpan w:val="2"/>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0" w:type="dxa"/>
            <w:vAlign w:val="bottom"/>
          </w:tcPr>
          <w:p>
            <w:pPr>
              <w:spacing w:after="0"/>
              <w:rPr>
                <w:sz w:val="1"/>
                <w:szCs w:val="1"/>
                <w:color w:val="auto"/>
              </w:rPr>
            </w:pPr>
          </w:p>
        </w:tc>
      </w:tr>
      <w:tr>
        <w:trPr>
          <w:trHeight w:val="109"/>
        </w:trPr>
        <w:tc>
          <w:tcPr>
            <w:tcW w:w="1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0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CHF</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May 26, 2022</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16, 2028</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CHF</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Receive U.S.$</w:t>
            </w:r>
          </w:p>
        </w:tc>
        <w:tc>
          <w:tcPr>
            <w:tcW w:w="100" w:type="dxa"/>
            <w:vAlign w:val="bottom"/>
            <w:shd w:val="clear" w:color="auto" w:fill="CCEEFF"/>
          </w:tcPr>
          <w:p>
            <w:pPr>
              <w:spacing w:after="0"/>
              <w:rPr>
                <w:sz w:val="8"/>
                <w:szCs w:val="8"/>
                <w:color w:val="auto"/>
              </w:rPr>
            </w:pPr>
          </w:p>
        </w:tc>
        <w:tc>
          <w:tcPr>
            <w:tcW w:w="1420" w:type="dxa"/>
            <w:vAlign w:val="bottom"/>
            <w:gridSpan w:val="2"/>
            <w:vMerge w:val="continue"/>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1.94%</w:t>
            </w:r>
          </w:p>
        </w:tc>
        <w:tc>
          <w:tcPr>
            <w:tcW w:w="8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9"/>
        </w:trPr>
        <w:tc>
          <w:tcPr>
            <w:tcW w:w="1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00" w:type="dxa"/>
            <w:vAlign w:val="bottom"/>
            <w:tcBorders>
              <w:bottom w:val="single" w:sz="8" w:color="CCEEFF"/>
            </w:tcBorders>
            <w:gridSpan w:val="2"/>
          </w:tcPr>
          <w:p>
            <w:pPr>
              <w:spacing w:after="0"/>
              <w:rPr>
                <w:sz w:val="8"/>
                <w:szCs w:val="8"/>
                <w:color w:val="auto"/>
              </w:rPr>
            </w:pPr>
          </w:p>
        </w:tc>
        <w:tc>
          <w:tcPr>
            <w:tcW w:w="13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10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40" w:hanging="137"/>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following currency swaps designated as a net investment hedge were early settled during the three months ended June 30, 2022.</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2022, the Company early settled cross-currency swaps designated as net investment hedge with an aggregate notional amount of $250.0 million equivalent to 222.3 million Swiss Franc. The original settlement date was December 16, 2027. As a result of the settlement, the Company recorded a gain of $4.9 million in AOCL. On May 26, 2022, the Company entered into cross-currency swap agreements designated as net investment hedge to replace the following swaps of a notional amount of $300.0 million equivalent to 288.2 million Swiss Franc.</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30, 2021, in accordance with the termination date, the Company settled cross-currency swaps designated as net investment hedge with an aggregate notional amount of $52 million equivalent to 44.9 million Euros based on the termination date. As a result of the settlement, the Company recorded a gain of $0.1 million in AOCL.</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cross-currency swaps were carried on the consolidated balance sheet at fair value and changes in the fair values were recorded as unrealized gains or losses in AOCL. For the three and six months ended June 30, 2022, the Company recorded gains of $10.8 million and $12.1 million, respectively, in AOCL related to the change in fair value of the cross-currency swaps. For the three and six months ended June 30, 2021, the Company recorded gains of $0.1 million and $13.7 million, respectively, in AOCL related to the change in fair value of the cross-currency swaps.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recorded gains of $1.0 million and $2.3 million in interest income included in the consolidated statements of operations related to the interest rate differential of the cross-currency swaps. For the three and six months ended June 30, 2021, the Company recorded gains of $1.7 million and $3.4 million in interest income included in the consolidated statements of operations related to the interest rate differential of the cross-currency swaps.</w:t>
      </w:r>
    </w:p>
    <w:p>
      <w:pPr>
        <w:spacing w:after="0" w:line="68" w:lineRule="exact"/>
        <w:rPr>
          <w:sz w:val="20"/>
          <w:szCs w:val="20"/>
          <w:color w:val="auto"/>
        </w:rPr>
      </w:pPr>
    </w:p>
    <w:p>
      <w:pPr>
        <w:ind w:right="860"/>
        <w:spacing w:after="0" w:line="379" w:lineRule="auto"/>
        <w:rPr>
          <w:sz w:val="20"/>
          <w:szCs w:val="20"/>
          <w:color w:val="auto"/>
        </w:rPr>
      </w:pPr>
      <w:r>
        <w:rPr>
          <w:rFonts w:ascii="Times New Roman" w:cs="Times New Roman" w:eastAsia="Times New Roman" w:hAnsi="Times New Roman"/>
          <w:sz w:val="17"/>
          <w:szCs w:val="17"/>
          <w:color w:val="auto"/>
        </w:rPr>
        <w:t xml:space="preserve">The estimated gain that is expected to be reclassified to interest income from AOCL as of June 30, 2022 within the next twelve months is $8.5 million. </w:t>
      </w:r>
      <w:r>
        <w:rPr>
          <w:rFonts w:ascii="Times New Roman" w:cs="Times New Roman" w:eastAsia="Times New Roman" w:hAnsi="Times New Roman"/>
          <w:sz w:val="17"/>
          <w:szCs w:val="17"/>
          <w:b w:val="1"/>
          <w:bCs w:val="1"/>
          <w:i w:val="1"/>
          <w:iCs w:val="1"/>
          <w:color w:val="auto"/>
        </w:rPr>
        <w:t>Counterparty Credit Risk</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Derivative Instruments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fair value for derivatives designated as hedging instruments in the condensed consolidated balance sheets as of June 30, 2022 and December 31, 2021:</w:t>
      </w:r>
    </w:p>
    <w:p>
      <w:pPr>
        <w:sectPr>
          <w:pgSz w:w="11900" w:h="16838" w:orient="portrait"/>
          <w:cols w:equalWidth="0" w:num="1">
            <w:col w:w="11240"/>
          </w:cols>
          <w:pgMar w:left="320" w:top="119" w:right="339" w:bottom="1440" w:gutter="0" w:footer="0" w:header="0"/>
        </w:sect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Location on Balance Sheet</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821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hedges — Assets: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Cash Flow Hedges</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Interest rate swap</w:t>
      </w:r>
      <w:r>
        <w:rPr>
          <w:rFonts w:ascii="Times New Roman" w:cs="Times New Roman" w:eastAsia="Times New Roman" w:hAnsi="Times New Roman"/>
          <w:sz w:val="20"/>
          <w:szCs w:val="20"/>
          <w:color w:val="auto"/>
          <w:vertAlign w:val="superscript"/>
        </w:rPr>
        <w:t>(2)</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Net Investment Hedges</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assets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Cash Flow Hedges</w:t>
      </w:r>
    </w:p>
    <w:p>
      <w:pPr>
        <w:spacing w:after="0" w:line="26"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5"/>
          <w:szCs w:val="15"/>
          <w:color w:val="auto"/>
        </w:rPr>
        <w:t>Interest rate swap</w:t>
      </w:r>
      <w:r>
        <w:rPr>
          <w:rFonts w:ascii="Times New Roman" w:cs="Times New Roman" w:eastAsia="Times New Roman" w:hAnsi="Times New Roman"/>
          <w:sz w:val="20"/>
          <w:szCs w:val="20"/>
          <w:color w:val="auto"/>
          <w:vertAlign w:val="superscript"/>
        </w:rPr>
        <w:t>(2)</w:t>
      </w:r>
    </w:p>
    <w:p>
      <w:pPr>
        <w:jc w:val="center"/>
        <w:ind w:right="500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18"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5"/>
          <w:szCs w:val="15"/>
          <w:u w:val="single" w:color="auto"/>
          <w:color w:val="auto"/>
        </w:rPr>
        <w:t>Net Investment Hedges</w:t>
      </w:r>
    </w:p>
    <w:p>
      <w:pPr>
        <w:spacing w:after="0" w:line="34"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derivatives designated as hedges — Assets</w:t>
      </w: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hedges — Liabilities: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Cash Flow Hedges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Interest rate swap</w:t>
      </w:r>
      <w:r>
        <w:rPr>
          <w:rFonts w:ascii="Times New Roman" w:cs="Times New Roman" w:eastAsia="Times New Roman" w:hAnsi="Times New Roman"/>
          <w:sz w:val="20"/>
          <w:szCs w:val="20"/>
          <w:color w:val="auto"/>
          <w:vertAlign w:val="superscript"/>
        </w:rPr>
        <w:t>(2)</w:t>
      </w:r>
    </w:p>
    <w:p>
      <w:pPr>
        <w:ind w:left="32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Net Investment Hedges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liabilities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u w:val="single" w:color="auto"/>
          <w:color w:val="auto"/>
        </w:rPr>
        <w:t>Cash Flow Hedges</w:t>
      </w:r>
    </w:p>
    <w:p>
      <w:pPr>
        <w:spacing w:after="0" w:line="26"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5"/>
          <w:szCs w:val="15"/>
          <w:color w:val="auto"/>
        </w:rPr>
        <w:t>Interest rate swap</w:t>
      </w:r>
      <w:r>
        <w:rPr>
          <w:rFonts w:ascii="Times New Roman" w:cs="Times New Roman" w:eastAsia="Times New Roman" w:hAnsi="Times New Roman"/>
          <w:sz w:val="20"/>
          <w:szCs w:val="20"/>
          <w:color w:val="auto"/>
          <w:vertAlign w:val="superscript"/>
        </w:rPr>
        <w:t>(2)</w:t>
      </w:r>
    </w:p>
    <w:p>
      <w:pPr>
        <w:jc w:val="center"/>
        <w:ind w:right="500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18"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5"/>
          <w:szCs w:val="15"/>
          <w:u w:val="single" w:color="auto"/>
          <w:color w:val="auto"/>
        </w:rPr>
        <w:t>Net Investment Hedges</w:t>
      </w:r>
    </w:p>
    <w:p>
      <w:pPr>
        <w:spacing w:after="0" w:line="34"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5"/>
          <w:szCs w:val="15"/>
          <w:color w:val="auto"/>
        </w:rPr>
        <w:t>Cross-currency swap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226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5" w:lineRule="exact"/>
        <w:rPr>
          <w:sz w:val="20"/>
          <w:szCs w:val="20"/>
          <w:color w:val="auto"/>
        </w:rPr>
      </w:pPr>
    </w:p>
    <w:p>
      <w:pPr>
        <w:ind w:left="46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June 30, 2022</w:t>
      </w:r>
      <w:r>
        <w:rPr>
          <w:sz w:val="20"/>
          <w:szCs w:val="20"/>
          <w:color w:val="auto"/>
        </w:rPr>
        <w:tab/>
      </w:r>
      <w:r>
        <w:rPr>
          <w:rFonts w:ascii="Times New Roman" w:cs="Times New Roman" w:eastAsia="Times New Roman" w:hAnsi="Times New Roman"/>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158750</wp:posOffset>
            </wp:positionV>
            <wp:extent cx="7105650" cy="130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421005</wp:posOffset>
            </wp:positionV>
            <wp:extent cx="7105650" cy="130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2226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4,369</w:t>
            </w:r>
          </w:p>
        </w:tc>
        <w:tc>
          <w:tcPr>
            <w:tcW w:w="7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6,122</w:t>
            </w:r>
          </w:p>
        </w:tc>
        <w:tc>
          <w:tcPr>
            <w:tcW w:w="7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4,900</w:t>
            </w:r>
          </w:p>
        </w:tc>
      </w:tr>
      <w:tr>
        <w:trPr>
          <w:trHeight w:val="413"/>
        </w:trPr>
        <w:tc>
          <w:tcPr>
            <w:tcW w:w="6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8,472</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5,120</w:t>
            </w:r>
          </w:p>
        </w:tc>
      </w:tr>
      <w:tr>
        <w:trPr>
          <w:trHeight w:val="619"/>
        </w:trPr>
        <w:tc>
          <w:tcPr>
            <w:tcW w:w="6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24,619</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4,373</w:t>
            </w:r>
          </w:p>
        </w:tc>
      </w:tr>
      <w:tr>
        <w:trPr>
          <w:trHeight w:val="206"/>
        </w:trPr>
        <w:tc>
          <w:tcPr>
            <w:tcW w:w="66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5,797</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415"/>
        </w:trPr>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7,964</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2,104</w:t>
            </w:r>
          </w:p>
        </w:tc>
      </w:tr>
      <w:tr>
        <w:trPr>
          <w:trHeight w:val="199"/>
        </w:trPr>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57,343</w:t>
            </w:r>
          </w:p>
        </w:tc>
        <w:tc>
          <w:tcPr>
            <w:tcW w:w="7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16,497</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032"/>
        </w:trPr>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62</w:t>
            </w:r>
          </w:p>
        </w:tc>
        <w:tc>
          <w:tcPr>
            <w:tcW w:w="7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18,187</w:t>
            </w:r>
          </w:p>
        </w:tc>
      </w:tr>
      <w:tr>
        <w:trPr>
          <w:trHeight w:val="206"/>
        </w:trPr>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2,558</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8,283</w:t>
            </w:r>
          </w:p>
        </w:tc>
      </w:tr>
      <w:tr>
        <w:trPr>
          <w:trHeight w:val="825"/>
        </w:trPr>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1,987</w:t>
            </w:r>
          </w:p>
        </w:tc>
        <w:tc>
          <w:tcPr>
            <w:tcW w:w="74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30,143</w:t>
            </w:r>
          </w:p>
        </w:tc>
      </w:tr>
      <w:tr>
        <w:trPr>
          <w:trHeight w:val="206"/>
        </w:trPr>
        <w:tc>
          <w:tcPr>
            <w:tcW w:w="6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4,859</w:t>
            </w:r>
          </w:p>
        </w:tc>
      </w:tr>
      <w:tr>
        <w:trPr>
          <w:trHeight w:val="415"/>
        </w:trPr>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7,736</w:t>
            </w: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3,366</w:t>
            </w:r>
          </w:p>
        </w:tc>
      </w:tr>
      <w:tr>
        <w:trPr>
          <w:trHeight w:val="199"/>
        </w:trPr>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12,343</w:t>
            </w:r>
          </w:p>
        </w:tc>
        <w:tc>
          <w:tcPr>
            <w:tcW w:w="7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64,838</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-3232785</wp:posOffset>
            </wp:positionV>
            <wp:extent cx="7105650" cy="130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-2971165</wp:posOffset>
            </wp:positionV>
            <wp:extent cx="710565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-2708910</wp:posOffset>
            </wp:positionV>
            <wp:extent cx="7105650" cy="130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-2447290</wp:posOffset>
            </wp:positionV>
            <wp:extent cx="7105650" cy="130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-2185035</wp:posOffset>
            </wp:positionV>
            <wp:extent cx="7105650" cy="130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-1898650</wp:posOffset>
            </wp:positionV>
            <wp:extent cx="7105650" cy="155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15557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-1612265</wp:posOffset>
            </wp:positionV>
            <wp:extent cx="7105650"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-1350010</wp:posOffset>
            </wp:positionV>
            <wp:extent cx="710565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-1088390</wp:posOffset>
            </wp:positionV>
            <wp:extent cx="710565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-826135</wp:posOffset>
            </wp:positionV>
            <wp:extent cx="7105650" cy="13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-564515</wp:posOffset>
            </wp:positionV>
            <wp:extent cx="710565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-302260</wp:posOffset>
            </wp:positionV>
            <wp:extent cx="7105650" cy="130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6960" w:space="720"/>
            <w:col w:w="3560"/>
          </w:cols>
          <w:pgMar w:left="320" w:top="119" w:right="339" w:bottom="1440" w:gutter="0" w:footer="0" w:header="0"/>
          <w:type w:val="continuous"/>
        </w:sectPr>
      </w:pPr>
    </w:p>
    <w:p>
      <w:pPr>
        <w:ind w:left="140" w:hanging="137"/>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classifies derivative assets and liabilities as current based on the cash flows expected to be incurred within the following 12 months.</w:t>
      </w:r>
    </w:p>
    <w:p>
      <w:pPr>
        <w:spacing w:after="0" w:line="1" w:lineRule="exact"/>
        <w:rPr>
          <w:rFonts w:ascii="Times New Roman" w:cs="Times New Roman" w:eastAsia="Times New Roman" w:hAnsi="Times New Roman"/>
          <w:sz w:val="17"/>
          <w:szCs w:val="17"/>
          <w:color w:val="auto"/>
          <w:vertAlign w:val="superscript"/>
        </w:rPr>
      </w:pPr>
    </w:p>
    <w:p>
      <w:pPr>
        <w:ind w:left="160" w:hanging="157"/>
        <w:spacing w:after="0" w:line="191" w:lineRule="auto"/>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June 30, 2022 and December 31, 2021, the total notional amounts related to the Company’s interest rate swaps were both $1.8 billion,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presents the effect of derivative instruments designated as cash flow hedges and net investment hedges on the accompanying condensed consolidated statement of operations during the three and six months ended June 30,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Balance in AOCL</w:t>
            </w:r>
          </w:p>
        </w:tc>
        <w:tc>
          <w:tcPr>
            <w:tcW w:w="2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 Gain (Loss)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in</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Reclassified from</w:t>
            </w:r>
          </w:p>
        </w:tc>
        <w:tc>
          <w:tcPr>
            <w:tcW w:w="1080" w:type="dxa"/>
            <w:vAlign w:val="bottom"/>
            <w:gridSpan w:val="2"/>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Balance in AOCL</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AOCL into</w:t>
            </w:r>
          </w:p>
        </w:tc>
        <w:tc>
          <w:tcPr>
            <w:tcW w:w="1080" w:type="dxa"/>
            <w:vAlign w:val="bottom"/>
            <w:gridSpan w:val="2"/>
            <w:vMerge w:val="restart"/>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05"/>
        </w:trPr>
        <w:tc>
          <w:tcPr>
            <w:tcW w:w="3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AOCL</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1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June 30, 2022</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gridSpan w:val="4"/>
          </w:tcPr>
          <w:p>
            <w:pPr>
              <w:ind w:left="140"/>
              <w:spacing w:after="0" w:line="168" w:lineRule="exact"/>
              <w:rPr>
                <w:sz w:val="20"/>
                <w:szCs w:val="20"/>
                <w:color w:val="auto"/>
              </w:rPr>
            </w:pPr>
            <w:r>
              <w:rPr>
                <w:rFonts w:ascii="Times New Roman" w:cs="Times New Roman" w:eastAsia="Times New Roman" w:hAnsi="Times New Roman"/>
                <w:sz w:val="15"/>
                <w:szCs w:val="15"/>
                <w:color w:val="auto"/>
              </w:rPr>
              <w:t>Cash Flow Hedges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26,939</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(17,835)</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0" w:type="dxa"/>
            <w:vAlign w:val="bottom"/>
          </w:tcPr>
          <w:p>
            <w:pPr>
              <w:spacing w:after="0"/>
              <w:rPr>
                <w:sz w:val="1"/>
                <w:szCs w:val="1"/>
                <w:color w:val="auto"/>
              </w:rPr>
            </w:pPr>
          </w:p>
        </w:tc>
      </w:tr>
      <w:tr>
        <w:trPr>
          <w:trHeight w:val="189"/>
        </w:trPr>
        <w:tc>
          <w:tcPr>
            <w:tcW w:w="3120" w:type="dxa"/>
            <w:vAlign w:val="bottom"/>
            <w:gridSpan w:val="4"/>
            <w:shd w:val="clear" w:color="auto" w:fill="CCEEFF"/>
          </w:tcPr>
          <w:p>
            <w:pPr>
              <w:ind w:left="140"/>
              <w:spacing w:after="0" w:line="171" w:lineRule="exact"/>
              <w:rPr>
                <w:sz w:val="20"/>
                <w:szCs w:val="20"/>
                <w:color w:val="auto"/>
              </w:rPr>
            </w:pPr>
            <w:r>
              <w:rPr>
                <w:rFonts w:ascii="Times New Roman" w:cs="Times New Roman" w:eastAsia="Times New Roman" w:hAnsi="Times New Roman"/>
                <w:sz w:val="15"/>
                <w:szCs w:val="15"/>
                <w:color w:val="auto"/>
              </w:rPr>
              <w:t>Net Investment Hedges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top w:val="single" w:sz="8" w:color="CCEEFF"/>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5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(2,332)</w:t>
            </w: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10,816</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10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7,506</w:t>
            </w:r>
          </w:p>
        </w:tc>
        <w:tc>
          <w:tcPr>
            <w:tcW w:w="80" w:type="dxa"/>
            <w:vAlign w:val="bottom"/>
            <w:tcBorders>
              <w:top w:val="single" w:sz="8" w:color="CCEEFF"/>
              <w:bottom w:val="single" w:sz="8" w:color="CCEEFF"/>
            </w:tcBorders>
          </w:tcPr>
          <w:p>
            <w:pPr>
              <w:spacing w:after="0"/>
              <w:rPr>
                <w:sz w:val="17"/>
                <w:szCs w:val="17"/>
                <w:color w:val="auto"/>
              </w:rPr>
            </w:pPr>
          </w:p>
        </w:tc>
        <w:tc>
          <w:tcPr>
            <w:tcW w:w="236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224"/>
        </w:trPr>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16,610</w:t>
            </w:r>
          </w:p>
        </w:tc>
        <w:tc>
          <w:tcPr>
            <w:tcW w:w="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June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20" w:type="dxa"/>
            <w:vAlign w:val="bottom"/>
            <w:gridSpan w:val="4"/>
            <w:shd w:val="clear" w:color="auto" w:fill="CCEEFF"/>
          </w:tcPr>
          <w:p>
            <w:pPr>
              <w:ind w:left="140"/>
              <w:spacing w:after="0" w:line="169" w:lineRule="exact"/>
              <w:rPr>
                <w:sz w:val="20"/>
                <w:szCs w:val="20"/>
                <w:color w:val="auto"/>
              </w:rPr>
            </w:pPr>
            <w:r>
              <w:rPr>
                <w:rFonts w:ascii="Times New Roman" w:cs="Times New Roman" w:eastAsia="Times New Roman" w:hAnsi="Times New Roman"/>
                <w:sz w:val="15"/>
                <w:szCs w:val="15"/>
                <w:color w:val="auto"/>
              </w:rPr>
              <w:t>Cash Flow Hedges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(53,546)</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(5,823)</w:t>
            </w:r>
          </w:p>
        </w:tc>
        <w:tc>
          <w:tcPr>
            <w:tcW w:w="1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(62,736)</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(4,363)</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0" w:type="dxa"/>
            <w:vAlign w:val="bottom"/>
          </w:tcPr>
          <w:p>
            <w:pPr>
              <w:spacing w:after="0"/>
              <w:rPr>
                <w:sz w:val="1"/>
                <w:szCs w:val="1"/>
                <w:color w:val="auto"/>
              </w:rPr>
            </w:pPr>
          </w:p>
        </w:tc>
      </w:tr>
      <w:tr>
        <w:trPr>
          <w:trHeight w:val="177"/>
        </w:trPr>
        <w:tc>
          <w:tcPr>
            <w:tcW w:w="3120" w:type="dxa"/>
            <w:vAlign w:val="bottom"/>
            <w:gridSpan w:val="4"/>
          </w:tcPr>
          <w:p>
            <w:pPr>
              <w:ind w:left="140"/>
              <w:spacing w:after="0" w:line="168" w:lineRule="exact"/>
              <w:rPr>
                <w:sz w:val="20"/>
                <w:szCs w:val="20"/>
                <w:color w:val="auto"/>
              </w:rPr>
            </w:pPr>
            <w:r>
              <w:rPr>
                <w:rFonts w:ascii="Times New Roman" w:cs="Times New Roman" w:eastAsia="Times New Roman" w:hAnsi="Times New Roman"/>
                <w:sz w:val="15"/>
                <w:szCs w:val="15"/>
                <w:color w:val="auto"/>
              </w:rPr>
              <w:t>Net Investment Hedges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(59,004)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(69,177)</w:t>
            </w: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Balance in AOCL</w:t>
            </w:r>
          </w:p>
        </w:tc>
        <w:tc>
          <w:tcPr>
            <w:tcW w:w="20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 Gain (Loss)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in</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Reclassified from</w:t>
            </w:r>
          </w:p>
        </w:tc>
        <w:tc>
          <w:tcPr>
            <w:tcW w:w="1080" w:type="dxa"/>
            <w:vAlign w:val="bottom"/>
            <w:gridSpan w:val="2"/>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Balance in AOCL</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0" w:type="dxa"/>
            <w:vAlign w:val="bottom"/>
          </w:tcPr>
          <w:p>
            <w:pPr>
              <w:spacing w:after="0"/>
              <w:rPr>
                <w:sz w:val="1"/>
                <w:szCs w:val="1"/>
                <w:color w:val="auto"/>
              </w:rPr>
            </w:pPr>
          </w:p>
        </w:tc>
      </w:tr>
      <w:tr>
        <w:trPr>
          <w:trHeight w:val="64"/>
        </w:trPr>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AOCL into</w:t>
            </w:r>
          </w:p>
        </w:tc>
        <w:tc>
          <w:tcPr>
            <w:tcW w:w="1080" w:type="dxa"/>
            <w:vAlign w:val="bottom"/>
            <w:gridSpan w:val="2"/>
            <w:vMerge w:val="restart"/>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8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05"/>
        </w:trPr>
        <w:tc>
          <w:tcPr>
            <w:tcW w:w="3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AOCL</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1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2022</w:t>
            </w: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20" w:type="dxa"/>
            <w:vAlign w:val="bottom"/>
            <w:gridSpan w:val="4"/>
          </w:tcPr>
          <w:p>
            <w:pPr>
              <w:ind w:left="140"/>
              <w:spacing w:after="0" w:line="168" w:lineRule="exact"/>
              <w:rPr>
                <w:sz w:val="20"/>
                <w:szCs w:val="20"/>
                <w:color w:val="auto"/>
              </w:rPr>
            </w:pPr>
            <w:r>
              <w:rPr>
                <w:rFonts w:ascii="Times New Roman" w:cs="Times New Roman" w:eastAsia="Times New Roman" w:hAnsi="Times New Roman"/>
                <w:sz w:val="15"/>
                <w:szCs w:val="15"/>
                <w:color w:val="auto"/>
              </w:rPr>
              <w:t>Cash Flow Hedges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26,939</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(17,835)</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0" w:type="dxa"/>
            <w:vAlign w:val="bottom"/>
          </w:tcPr>
          <w:p>
            <w:pPr>
              <w:spacing w:after="0"/>
              <w:rPr>
                <w:sz w:val="1"/>
                <w:szCs w:val="1"/>
                <w:color w:val="auto"/>
              </w:rPr>
            </w:pPr>
          </w:p>
        </w:tc>
      </w:tr>
      <w:tr>
        <w:trPr>
          <w:trHeight w:val="189"/>
        </w:trPr>
        <w:tc>
          <w:tcPr>
            <w:tcW w:w="3120" w:type="dxa"/>
            <w:vAlign w:val="bottom"/>
            <w:gridSpan w:val="4"/>
            <w:shd w:val="clear" w:color="auto" w:fill="CCEEFF"/>
          </w:tcPr>
          <w:p>
            <w:pPr>
              <w:ind w:left="140"/>
              <w:spacing w:after="0" w:line="171" w:lineRule="exact"/>
              <w:rPr>
                <w:sz w:val="20"/>
                <w:szCs w:val="20"/>
                <w:color w:val="auto"/>
              </w:rPr>
            </w:pPr>
            <w:r>
              <w:rPr>
                <w:rFonts w:ascii="Times New Roman" w:cs="Times New Roman" w:eastAsia="Times New Roman" w:hAnsi="Times New Roman"/>
                <w:sz w:val="15"/>
                <w:szCs w:val="15"/>
                <w:color w:val="auto"/>
              </w:rPr>
              <w:t>Net Investment Hedges</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top w:val="single" w:sz="8" w:color="CCEEFF"/>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gridSpan w:val="2"/>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5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12,125</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2,298</w:t>
            </w:r>
          </w:p>
        </w:tc>
        <w:tc>
          <w:tcPr>
            <w:tcW w:w="10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7,506</w:t>
            </w:r>
          </w:p>
        </w:tc>
        <w:tc>
          <w:tcPr>
            <w:tcW w:w="80" w:type="dxa"/>
            <w:vAlign w:val="bottom"/>
            <w:tcBorders>
              <w:top w:val="single" w:sz="8" w:color="CCEEFF"/>
              <w:bottom w:val="single" w:sz="8" w:color="CCEEFF"/>
            </w:tcBorders>
          </w:tcPr>
          <w:p>
            <w:pPr>
              <w:spacing w:after="0"/>
              <w:rPr>
                <w:sz w:val="17"/>
                <w:szCs w:val="17"/>
                <w:color w:val="auto"/>
              </w:rPr>
            </w:pPr>
          </w:p>
        </w:tc>
        <w:tc>
          <w:tcPr>
            <w:tcW w:w="236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224"/>
        </w:trPr>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(55,965)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16,610</w:t>
            </w:r>
          </w:p>
        </w:tc>
        <w:tc>
          <w:tcPr>
            <w:tcW w:w="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20" w:type="dxa"/>
            <w:vAlign w:val="bottom"/>
            <w:gridSpan w:val="4"/>
            <w:shd w:val="clear" w:color="auto" w:fill="CCEEFF"/>
          </w:tcPr>
          <w:p>
            <w:pPr>
              <w:ind w:left="140"/>
              <w:spacing w:after="0" w:line="169" w:lineRule="exact"/>
              <w:rPr>
                <w:sz w:val="20"/>
                <w:szCs w:val="20"/>
                <w:color w:val="auto"/>
              </w:rPr>
            </w:pPr>
            <w:r>
              <w:rPr>
                <w:rFonts w:ascii="Times New Roman" w:cs="Times New Roman" w:eastAsia="Times New Roman" w:hAnsi="Times New Roman"/>
                <w:sz w:val="15"/>
                <w:szCs w:val="15"/>
                <w:color w:val="auto"/>
              </w:rPr>
              <w:t>Cash Flow Hedges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(93,769)</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(11,528)</w:t>
            </w:r>
          </w:p>
        </w:tc>
        <w:tc>
          <w:tcPr>
            <w:tcW w:w="1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(62,736)</w:t>
            </w:r>
          </w:p>
        </w:tc>
        <w:tc>
          <w:tcPr>
            <w:tcW w:w="8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(4,363)</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0" w:type="dxa"/>
            <w:vAlign w:val="bottom"/>
          </w:tcPr>
          <w:p>
            <w:pPr>
              <w:spacing w:after="0"/>
              <w:rPr>
                <w:sz w:val="1"/>
                <w:szCs w:val="1"/>
                <w:color w:val="auto"/>
              </w:rPr>
            </w:pPr>
          </w:p>
        </w:tc>
      </w:tr>
      <w:tr>
        <w:trPr>
          <w:trHeight w:val="177"/>
        </w:trPr>
        <w:tc>
          <w:tcPr>
            <w:tcW w:w="3120" w:type="dxa"/>
            <w:vAlign w:val="bottom"/>
            <w:gridSpan w:val="4"/>
          </w:tcPr>
          <w:p>
            <w:pPr>
              <w:ind w:left="140"/>
              <w:spacing w:after="0" w:line="168" w:lineRule="exact"/>
              <w:rPr>
                <w:sz w:val="20"/>
                <w:szCs w:val="20"/>
                <w:color w:val="auto"/>
              </w:rPr>
            </w:pPr>
            <w:r>
              <w:rPr>
                <w:rFonts w:ascii="Times New Roman" w:cs="Times New Roman" w:eastAsia="Times New Roman" w:hAnsi="Times New Roman"/>
                <w:sz w:val="15"/>
                <w:szCs w:val="15"/>
                <w:color w:val="auto"/>
              </w:rPr>
              <w:t>Net Investment Hedges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Cross-currency swap</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(107,133)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(69,177)</w:t>
            </w: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2022,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June 30, 2022, there were approximately $5.3 million of total unrecognized compensation costs related to unvested stock options. These costs are expected to be recognized over a weighted-average period of approximately three years. There were 145,565 stock options granted during the six months ended June 30, 2022. For the six months ended June 30, 2022, the weighted average grant date fair value for stock options was $23.15 per option.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 of Restricted Stock and Performance Stock</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June 30, 2022, there was approximately $40.2 million of total unrecognized compensation costs related to these unvested awards. The Company expects to recognize these costs over a weighted-average period of approximately two years. The Company granted 363,326 restricted stock awards and 130,753 performance stock awards during the six months ended June 30, 2022. For the six months ended June 30, 2022, the weighted average grant date fair value for restricted stock awards and performance stock units was $64.65 and $65.11 per award, respectively.</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RETIREMENT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defined benefit pension plans that cover certain employees in France, Japan, Germany and Switzerland.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periodic benefit cost for the Company’s defined benefit pension plans for the three and six months ended June 30, 2022 were $0.3 million and $0.5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net periodic benefit costs other than the service cost component of $0.6 million and $1.3 million for the three and six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 are included in other income, net in the consolidated statements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periodic benefit costs for the Company’s defined benefit pension plans for the three and six months ended June 30, 2021 were $0.6 million and $1.2 million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net periodic benefit costs other than the service cost component of $0.8 million and $1.7 million for the three and six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2021 are included in other income, net in the consolidated statements of operations.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estimated fair values of plan assets were $34.4 million and $39.9 million as of June 30, 2022 and December 31, 2021, respectively. The net plan assets of the pension plans are invested in common trusts as of June 30, 2022 and December 31, 2021.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maintains a Deferred Compensation Plan in which certain employees of the Company may defer the payment and taxation of up to 75% of their base salary and up to 100% of bonus amounts and other eligible cash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$4.3 million and $3.8 million as of June 30, 2022 and December 31, 2021. Offsetting liabilities relating to the deferred compensation plan are included in Other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LEASES AND RELATED PARTY LEASES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leases administrative, manufacturing, research and distribution facilities and vehicles through operating lease agreements. The Company has no finance leases as of June 30, 2022.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Total operating lease expense for the six months ended June 30, 2022 and June 30, 2021 was $10.2 million and $10.6 million respectively, which includes $0.1 million, in related party operating lease expense.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lease term and discount rate</w:t>
            </w:r>
          </w:p>
        </w:tc>
        <w:tc>
          <w:tcPr>
            <w:tcW w:w="42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5"/>
                <w:szCs w:val="15"/>
                <w:color w:val="auto"/>
              </w:rPr>
            </w:pPr>
          </w:p>
        </w:tc>
        <w:tc>
          <w:tcPr>
            <w:tcW w:w="192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ROU assets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145,135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84,543</w:t>
            </w:r>
          </w:p>
        </w:tc>
      </w:tr>
      <w:tr>
        <w:trPr>
          <w:trHeight w:val="258"/>
        </w:trPr>
        <w:tc>
          <w:tcPr>
            <w:tcW w:w="6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lease liabilities</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12,743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14,775</w:t>
            </w:r>
          </w:p>
        </w:tc>
      </w:tr>
      <w:tr>
        <w:trPr>
          <w:trHeight w:val="20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Non-current lease liabilities</w:t>
            </w: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154,029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90,329</w:t>
            </w:r>
          </w:p>
        </w:tc>
      </w:tr>
      <w:tr>
        <w:trPr>
          <w:trHeight w:val="227"/>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lease liabilities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166,772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105,104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remaining lease term (in years):</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Leased facilities</w:t>
            </w:r>
          </w:p>
        </w:tc>
        <w:tc>
          <w:tcPr>
            <w:tcW w:w="42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17.9 years</w:t>
            </w: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 years</w:t>
            </w: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Leased vehicles</w:t>
            </w:r>
          </w:p>
        </w:tc>
        <w:tc>
          <w:tcPr>
            <w:tcW w:w="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 years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years</w:t>
            </w:r>
          </w:p>
        </w:tc>
      </w:tr>
      <w:tr>
        <w:trPr>
          <w:trHeight w:val="258"/>
        </w:trPr>
        <w:tc>
          <w:tcPr>
            <w:tcW w:w="6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Leased facilities</w:t>
            </w:r>
          </w:p>
        </w:tc>
        <w:tc>
          <w:tcPr>
            <w:tcW w:w="4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Leased vehicles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six months ended June 30, 2022 and 2021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5"/>
                <w:szCs w:val="15"/>
                <w:color w:val="auto"/>
              </w:rPr>
            </w:pPr>
          </w:p>
        </w:tc>
        <w:tc>
          <w:tcPr>
            <w:tcW w:w="1380" w:type="dxa"/>
            <w:vAlign w:val="bottom"/>
            <w:vMerge w:val="restart"/>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52"/>
        </w:trPr>
        <w:tc>
          <w:tcPr>
            <w:tcW w:w="78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8,798</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7,019</w:t>
            </w:r>
          </w:p>
        </w:tc>
        <w:tc>
          <w:tcPr>
            <w:tcW w:w="0" w:type="dxa"/>
            <w:vAlign w:val="bottom"/>
          </w:tcPr>
          <w:p>
            <w:pPr>
              <w:spacing w:after="0"/>
              <w:rPr>
                <w:sz w:val="1"/>
                <w:szCs w:val="1"/>
                <w:color w:val="auto"/>
              </w:rPr>
            </w:pPr>
          </w:p>
        </w:tc>
      </w:tr>
      <w:tr>
        <w:trPr>
          <w:trHeight w:val="261"/>
        </w:trPr>
        <w:tc>
          <w:tcPr>
            <w:tcW w:w="7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lease liabilities: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leases</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10,528</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lease payments under operating leases at June 30, 2022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40" w:type="dxa"/>
            <w:vAlign w:val="bottom"/>
          </w:tcPr>
          <w:p>
            <w:pPr>
              <w:spacing w:after="0"/>
              <w:rPr>
                <w:sz w:val="15"/>
                <w:szCs w:val="15"/>
                <w:color w:val="auto"/>
              </w:rPr>
            </w:pPr>
          </w:p>
        </w:tc>
        <w:tc>
          <w:tcPr>
            <w:tcW w:w="118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Remainder of 2022</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7,972</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18,318</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18,304</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16,801</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15,277</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14,876</w:t>
            </w:r>
          </w:p>
        </w:tc>
      </w:tr>
      <w:tr>
        <w:trPr>
          <w:trHeight w:val="20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165,163</w:t>
            </w:r>
          </w:p>
        </w:tc>
      </w:tr>
      <w:tr>
        <w:trPr>
          <w:trHeight w:val="202"/>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minimum lease payments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254,837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256,711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89,939</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166,772</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Current lease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12,743</w:t>
            </w:r>
          </w:p>
        </w:tc>
      </w:tr>
      <w:tr>
        <w:trPr>
          <w:trHeight w:val="201"/>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154,029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Leases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leases its manufacturing facility in Plainsboro, New Jersey, from a general partnership that is 50% owned by a corporation whose stockholders are trusts, whose beneficiaries include family members of the Company’s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TREASURY STOCK</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2022 and December 31, 2021, there were 6.8 million and 4.9 million shares of treasury stock outstanding with a cost of $362.9 million and $234.4 million, at a weighted average cost per share of $53.18 and $47.86, respectively.</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2022, the Company entered into a $125.0 million accelerated share repurchase ("2022 ASR") and received 1.48 million shares of Company common stock at inception, which represented approximately 80% of the expected total shares under the 2022 ASR. On March 24, 2022, the early exercise provision was exercised by 2022 ASR counterparty. Upon settlement on March 24, 2022, the Company received an additional 0.46 million shares determined using the volume-weighted average price of the Company's common stock during the term of the 2022 ASR.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the Company's effective tax rate: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00" w:type="dxa"/>
            <w:vAlign w:val="bottom"/>
          </w:tcPr>
          <w:p>
            <w:pPr>
              <w:spacing w:after="0"/>
              <w:rPr>
                <w:sz w:val="15"/>
                <w:szCs w:val="15"/>
                <w:color w:val="auto"/>
              </w:rPr>
            </w:pPr>
          </w:p>
        </w:tc>
        <w:tc>
          <w:tcPr>
            <w:tcW w:w="2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3"/>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3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1"/>
        </w:trPr>
        <w:tc>
          <w:tcPr>
            <w:tcW w:w="4200" w:type="dxa"/>
            <w:vAlign w:val="bottom"/>
          </w:tcPr>
          <w:p>
            <w:pPr>
              <w:spacing w:after="0"/>
              <w:rPr>
                <w:sz w:val="15"/>
                <w:szCs w:val="15"/>
                <w:color w:val="auto"/>
              </w:rPr>
            </w:pPr>
          </w:p>
        </w:tc>
        <w:tc>
          <w:tcPr>
            <w:tcW w:w="11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7"/>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Reported tax rate</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effective income tax rates for the three months ended June 30, 2022 and 2021 were 13.2% and 21.8%, respectively. For the three months ended June 30, 2022, the primary driver of the lower tax rate is a $4.8 million benefit related to excess tax benefits from stock compensation.</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effective income tax rates for the six months ended June 30, 2022 and 2021 were 14.5% and 28.2%, respectively. For the six months ended June 30, 2022, the primary driver of the tax rate is a $5.7 million benefit related to excess tax benefits from stock compensation. For the six months ended June 30, 2021, the primary driver of the higher tax rate was the tax impact of the gain on the sale of the Extremity Orthopedics business which was completed during the first quarter of 2021.</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June 30, 2022,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 As such, the Company has determined the tax impact of repatriating these foreign earnings would not be material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NET INCOME PER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and diluted net income per share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258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Basic net income per share:</w:t>
            </w:r>
          </w:p>
        </w:tc>
        <w:tc>
          <w:tcPr>
            <w:tcW w:w="3420" w:type="dxa"/>
            <w:vAlign w:val="bottom"/>
            <w:tcBorders>
              <w:bottom w:val="single" w:sz="8" w:color="CCEEFF"/>
            </w:tcBorders>
            <w:gridSpan w:val="2"/>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44,788</w:t>
            </w:r>
          </w:p>
        </w:tc>
        <w:tc>
          <w:tcPr>
            <w:tcW w:w="10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35,068</w:t>
            </w:r>
          </w:p>
        </w:tc>
        <w:tc>
          <w:tcPr>
            <w:tcW w:w="14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77,689</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80,462</w:t>
            </w:r>
          </w:p>
        </w:tc>
        <w:tc>
          <w:tcPr>
            <w:tcW w:w="0" w:type="dxa"/>
            <w:vAlign w:val="bottom"/>
          </w:tcPr>
          <w:p>
            <w:pPr>
              <w:spacing w:after="0"/>
              <w:rPr>
                <w:sz w:val="1"/>
                <w:szCs w:val="1"/>
                <w:color w:val="auto"/>
              </w:rPr>
            </w:pPr>
          </w:p>
        </w:tc>
      </w:tr>
      <w:tr>
        <w:trPr>
          <w:trHeight w:val="219"/>
        </w:trPr>
        <w:tc>
          <w:tcPr>
            <w:tcW w:w="5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83,400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84,593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Diluted net income per share:</w:t>
            </w:r>
          </w:p>
        </w:tc>
        <w:tc>
          <w:tcPr>
            <w:tcW w:w="3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44,788</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35,068</w:t>
            </w:r>
          </w:p>
        </w:tc>
        <w:tc>
          <w:tcPr>
            <w:tcW w:w="14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77,689</w:t>
            </w:r>
          </w:p>
        </w:tc>
        <w:tc>
          <w:tcPr>
            <w:tcW w:w="8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80,462</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84,687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84,593</w:t>
            </w:r>
          </w:p>
        </w:tc>
        <w:tc>
          <w:tcPr>
            <w:tcW w:w="0" w:type="dxa"/>
            <w:vAlign w:val="bottom"/>
          </w:tcPr>
          <w:p>
            <w:pPr>
              <w:spacing w:after="0"/>
              <w:rPr>
                <w:sz w:val="1"/>
                <w:szCs w:val="1"/>
                <w:color w:val="auto"/>
              </w:rPr>
            </w:pPr>
          </w:p>
        </w:tc>
      </w:tr>
      <w:tr>
        <w:trPr>
          <w:trHeight w:val="209"/>
        </w:trPr>
        <w:tc>
          <w:tcPr>
            <w:tcW w:w="5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5"/>
                <w:szCs w:val="15"/>
                <w:color w:val="auto"/>
              </w:rPr>
              <w:t>Stock options and restricted stock</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0" w:type="dxa"/>
            <w:vAlign w:val="bottom"/>
          </w:tcPr>
          <w:p>
            <w:pPr>
              <w:spacing w:after="0"/>
              <w:rPr>
                <w:sz w:val="1"/>
                <w:szCs w:val="1"/>
                <w:color w:val="auto"/>
              </w:rPr>
            </w:pPr>
          </w:p>
        </w:tc>
      </w:tr>
      <w:tr>
        <w:trPr>
          <w:trHeight w:val="202"/>
        </w:trPr>
        <w:tc>
          <w:tcPr>
            <w:tcW w:w="5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for diluted earnings per share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85,340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83,979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85,324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Common stock of approximately 0.2 million and 0.1 million shares at June 30, 2022, and 2021, respectively that are issuable through exercise of dilutive securities were not included in the computation of diluted net income per share because their effect would have been anti-dilutive.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income for the six months ended June 30, 2022 and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2580" w:type="dxa"/>
            <w:vAlign w:val="bottom"/>
            <w:gridSpan w:val="4"/>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8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44,788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80,462</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(18,067)</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(5,243)</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unrealized gain (loss) on derivatives, net of tax</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25,922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29,111</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Pension liability adjustment, net of tax</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22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net</w:t>
            </w:r>
          </w:p>
        </w:tc>
        <w:tc>
          <w:tcPr>
            <w:tcW w:w="920" w:type="dxa"/>
            <w:vAlign w:val="bottom"/>
            <w:tcBorders>
              <w:bottom w:val="single" w:sz="8" w:color="auto"/>
            </w:tcBorders>
            <w:shd w:val="clear" w:color="auto" w:fill="CCEEFF"/>
          </w:tcPr>
          <w:p>
            <w:pPr>
              <w:jc w:val="right"/>
              <w:ind w:right="74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52,598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104,558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accumulated other comprehensive loss by component between December 31, 2021 and June 30, 2022 are presented in the table below, net of tax: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Defined Benefit</w:t>
            </w:r>
          </w:p>
        </w:tc>
        <w:tc>
          <w:tcPr>
            <w:tcW w:w="20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Currency Items</w:t>
            </w: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center"/>
              <w:ind w:left="424"/>
              <w:spacing w:after="0"/>
              <w:rPr>
                <w:sz w:val="20"/>
                <w:szCs w:val="20"/>
                <w:color w:val="auto"/>
              </w:rPr>
            </w:pPr>
            <w:r>
              <w:rPr>
                <w:rFonts w:ascii="Times New Roman" w:cs="Times New Roman" w:eastAsia="Times New Roman" w:hAnsi="Times New Roman"/>
                <w:sz w:val="15"/>
                <w:szCs w:val="15"/>
                <w:color w:val="auto"/>
              </w:rPr>
              <w:t>(42,981)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center"/>
              <w:ind w:left="264"/>
              <w:spacing w:after="0"/>
              <w:rPr>
                <w:sz w:val="20"/>
                <w:szCs w:val="20"/>
                <w:color w:val="auto"/>
              </w:rPr>
            </w:pPr>
            <w:r>
              <w:rPr>
                <w:rFonts w:ascii="Times New Roman" w:cs="Times New Roman" w:eastAsia="Times New Roman" w:hAnsi="Times New Roman"/>
                <w:sz w:val="15"/>
                <w:szCs w:val="15"/>
                <w:color w:val="auto"/>
              </w:rPr>
              <w:t>(45,155)</w:t>
            </w:r>
          </w:p>
        </w:tc>
        <w:tc>
          <w:tcPr>
            <w:tcW w:w="0" w:type="dxa"/>
            <w:vAlign w:val="bottom"/>
          </w:tcPr>
          <w:p>
            <w:pPr>
              <w:spacing w:after="0"/>
              <w:rPr>
                <w:sz w:val="1"/>
                <w:szCs w:val="1"/>
                <w:color w:val="auto"/>
              </w:rPr>
            </w:pPr>
          </w:p>
        </w:tc>
      </w:tr>
      <w:tr>
        <w:trPr>
          <w:trHeight w:val="203"/>
        </w:trPr>
        <w:tc>
          <w:tcPr>
            <w:tcW w:w="6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comprehensive gain (loss)</w:t>
            </w:r>
          </w:p>
        </w:tc>
        <w:tc>
          <w:tcPr>
            <w:tcW w:w="140" w:type="dxa"/>
            <w:vAlign w:val="bottom"/>
          </w:tcPr>
          <w:p>
            <w:pPr>
              <w:spacing w:after="0"/>
              <w:rPr>
                <w:sz w:val="17"/>
                <w:szCs w:val="17"/>
                <w:color w:val="auto"/>
              </w:rPr>
            </w:pPr>
          </w:p>
        </w:tc>
        <w:tc>
          <w:tcPr>
            <w:tcW w:w="106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72,499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ind w:left="284"/>
              <w:spacing w:after="0"/>
              <w:rPr>
                <w:sz w:val="20"/>
                <w:szCs w:val="20"/>
                <w:color w:val="auto"/>
              </w:rPr>
            </w:pPr>
            <w:r>
              <w:rPr>
                <w:rFonts w:ascii="Times New Roman" w:cs="Times New Roman" w:eastAsia="Times New Roman" w:hAnsi="Times New Roman"/>
                <w:sz w:val="15"/>
                <w:szCs w:val="15"/>
                <w:color w:val="auto"/>
              </w:rPr>
              <w:t>48,695</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Less: Amounts reclassified from accumulated other comprehensive income,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rPr>
              <w:t>16,755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284"/>
              <w:spacing w:after="0"/>
              <w:rPr>
                <w:sz w:val="20"/>
                <w:szCs w:val="20"/>
                <w:color w:val="auto"/>
              </w:rPr>
            </w:pPr>
            <w:r>
              <w:rPr>
                <w:rFonts w:ascii="Times New Roman" w:cs="Times New Roman" w:eastAsia="Times New Roman" w:hAnsi="Times New Roman"/>
                <w:sz w:val="15"/>
                <w:szCs w:val="15"/>
                <w:color w:val="auto"/>
              </w:rPr>
              <w:t>16,755</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Net current-period other comprehensive gain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5"/>
                <w:szCs w:val="15"/>
                <w:color w:val="auto"/>
              </w:rPr>
              <w:t>55,744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(23,750)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5"/>
                <w:szCs w:val="15"/>
                <w:color w:val="auto"/>
              </w:rPr>
              <w:t>31,940</w:t>
            </w:r>
          </w:p>
        </w:tc>
        <w:tc>
          <w:tcPr>
            <w:tcW w:w="0" w:type="dxa"/>
            <w:vAlign w:val="bottom"/>
          </w:tcPr>
          <w:p>
            <w:pPr>
              <w:spacing w:after="0"/>
              <w:rPr>
                <w:sz w:val="1"/>
                <w:szCs w:val="1"/>
                <w:color w:val="auto"/>
              </w:rPr>
            </w:pPr>
          </w:p>
        </w:tc>
      </w:tr>
      <w:tr>
        <w:trPr>
          <w:trHeight w:val="22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center"/>
              <w:ind w:left="444"/>
              <w:spacing w:after="0"/>
              <w:rPr>
                <w:sz w:val="20"/>
                <w:szCs w:val="20"/>
                <w:color w:val="auto"/>
              </w:rPr>
            </w:pPr>
            <w:r>
              <w:rPr>
                <w:rFonts w:ascii="Times New Roman" w:cs="Times New Roman" w:eastAsia="Times New Roman" w:hAnsi="Times New Roman"/>
                <w:sz w:val="15"/>
                <w:szCs w:val="15"/>
                <w:color w:val="auto"/>
              </w:rPr>
              <w:t>12,763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center"/>
              <w:ind w:left="264"/>
              <w:spacing w:after="0"/>
              <w:rPr>
                <w:sz w:val="20"/>
                <w:szCs w:val="20"/>
                <w:color w:val="auto"/>
              </w:rPr>
            </w:pPr>
            <w:r>
              <w:rPr>
                <w:rFonts w:ascii="Times New Roman" w:cs="Times New Roman" w:eastAsia="Times New Roman" w:hAnsi="Times New Roman"/>
                <w:sz w:val="15"/>
                <w:szCs w:val="15"/>
                <w:color w:val="auto"/>
              </w:rPr>
              <w:t>(13,215)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six months ended June 30, 2022, the Company reclassified a gain of $22.8 million and a loss of $5.2 million from accumulated other comprehensive loss to other income, net and interest income,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SEGMENT AND GEOGRAPHIC INFORMATION</w:t>
      </w:r>
    </w:p>
    <w:p>
      <w:pPr>
        <w:spacing w:after="0" w:line="11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internally manages two global reportable segments and reports the results of its businesses to its chief operating decision maker. The two reportable segments and their activities are described below.</w:t>
      </w:r>
    </w:p>
    <w:p>
      <w:pPr>
        <w:spacing w:after="0" w:line="48" w:lineRule="exact"/>
        <w:rPr>
          <w:sz w:val="20"/>
          <w:szCs w:val="20"/>
          <w:color w:val="auto"/>
        </w:rPr>
      </w:pPr>
    </w:p>
    <w:p>
      <w:pPr>
        <w:jc w:val="both"/>
        <w:ind w:left="620" w:hanging="307"/>
        <w:spacing w:after="0" w:line="26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cranial stabilization equipment, and solutions for use in minimally invasive neurosurgery and in the management of intracerebral hemorrhages, and (ii) the Instruments business, which sells more than 40,000 instrument patterns and surgical and lighting products to hospitals, surgery centers, dental, podiatry, and veterinary offices.</w:t>
      </w:r>
    </w:p>
    <w:p>
      <w:pPr>
        <w:spacing w:after="0" w:line="19"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Tissue Technologies segment includes a large, complementary portfolio of products to address plastic and surgical reconstructive procedures such as complex and traumatic wounds, hernia and abdominal wall repair, breast reconstruction, and peripheral nerve repair. The Tissue Technologies segment has four unique technology platforms, including bovine engineered collagen matrix, bovine dermal matrix, amniotic technology and porcine bladder matrix technology, to address regenerative soft tissue reconstruction procedures.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Corporate and other category includes (i) various executive, finance, human resource, information systems and legal functions, (ii) brand management, and (iii) share-based compensation costs.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2022 and 2021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Net Sales</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Codman Specialty Surgical</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257,863</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256,837</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505,171</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498,078</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Tissue Technologies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139,952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269,282</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251,985</w:t>
            </w:r>
          </w:p>
        </w:tc>
        <w:tc>
          <w:tcPr>
            <w:tcW w:w="0" w:type="dxa"/>
            <w:vAlign w:val="bottom"/>
          </w:tcPr>
          <w:p>
            <w:pPr>
              <w:spacing w:after="0"/>
              <w:rPr>
                <w:sz w:val="1"/>
                <w:szCs w:val="1"/>
                <w:color w:val="auto"/>
              </w:rPr>
            </w:pPr>
          </w:p>
        </w:tc>
      </w:tr>
      <w:tr>
        <w:trPr>
          <w:trHeight w:val="196"/>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397,815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389,992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774,453</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750,063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Profit</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Codman Specialty Surgical</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92,196</w:t>
            </w:r>
          </w:p>
        </w:tc>
        <w:tc>
          <w:tcPr>
            <w:tcW w:w="100" w:type="dxa"/>
            <w:vAlign w:val="bottom"/>
          </w:tcPr>
          <w:p>
            <w:pPr>
              <w:spacing w:after="0"/>
              <w:rPr>
                <w:sz w:val="17"/>
                <w:szCs w:val="17"/>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113,996</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202,356</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220,774</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Tissue Technologies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61,626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115,519</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114,424</w:t>
            </w:r>
          </w:p>
        </w:tc>
        <w:tc>
          <w:tcPr>
            <w:tcW w:w="0" w:type="dxa"/>
            <w:vAlign w:val="bottom"/>
          </w:tcPr>
          <w:p>
            <w:pPr>
              <w:spacing w:after="0"/>
              <w:rPr>
                <w:sz w:val="1"/>
                <w:szCs w:val="1"/>
                <w:color w:val="auto"/>
              </w:rPr>
            </w:pPr>
          </w:p>
        </w:tc>
      </w:tr>
      <w:tr>
        <w:trPr>
          <w:trHeight w:val="196"/>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Segment profit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153,822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178,409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317,875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335,198</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(8,725)</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and other</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(90,651)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(122,357)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(204,646)</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(243,905)</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59,867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106,031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3100" w:type="dxa"/>
            <w:vAlign w:val="bottom"/>
            <w:gridSpan w:val="4"/>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8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1160" w:type="dxa"/>
            <w:vAlign w:val="bottom"/>
            <w:shd w:val="clear" w:color="auto" w:fill="CCEEFF"/>
          </w:tcPr>
          <w:p>
            <w:pPr>
              <w:jc w:val="right"/>
              <w:ind w:right="1007"/>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287,347</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278,186</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550,698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525,979</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46,862</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48,437</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90,606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94,256</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Asia Pacific</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43,365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44,306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91,082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91,601</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 of World</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20,241</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19,063</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42,067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38,227</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397,815</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6"/>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389,992</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774,453</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750,063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determined the fair value of contingent consideration during the six month period ended June 30, 2022 and June 30, 2021 to reflect the change in estimate, additions, payments, transfers and the time value of money during the period.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reconciliation of the opening balances to the closing balances of these Level 3 measurements for the six months ended June 30, 2022 and June 30, 2021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gridSpan w:val="2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Contingent Consideration Liability Related to Acquisition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w w:val="96"/>
              </w:rPr>
              <w:t>Location in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ACell Inc.</w:t>
            </w:r>
          </w:p>
        </w:tc>
        <w:tc>
          <w:tcPr>
            <w:tcW w:w="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Location in Financial</w:t>
            </w: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4"/>
            <w:vMerge w:val="restart"/>
          </w:tcPr>
          <w:p>
            <w:pPr>
              <w:jc w:val="right"/>
              <w:ind w:right="345"/>
              <w:spacing w:after="0" w:line="141" w:lineRule="exact"/>
              <w:rPr>
                <w:sz w:val="20"/>
                <w:szCs w:val="20"/>
                <w:color w:val="auto"/>
              </w:rPr>
            </w:pPr>
            <w:r>
              <w:rPr>
                <w:rFonts w:ascii="Times New Roman" w:cs="Times New Roman" w:eastAsia="Times New Roman" w:hAnsi="Times New Roman"/>
                <w:sz w:val="14"/>
                <w:szCs w:val="14"/>
                <w:b w:val="1"/>
                <w:bCs w:val="1"/>
                <w:color w:val="auto"/>
              </w:rPr>
              <w:t>Arkis</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restart"/>
          </w:tcPr>
          <w:p>
            <w:pPr>
              <w:jc w:val="center"/>
              <w:ind w:left="87"/>
              <w:spacing w:after="0" w:line="141"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7"/>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Derma Sciences</w:t>
            </w:r>
          </w:p>
        </w:tc>
        <w:tc>
          <w:tcPr>
            <w:tcW w:w="202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7"/>
            <w:vMerge w:val="continue"/>
          </w:tcPr>
          <w:p>
            <w:pPr>
              <w:spacing w:after="0"/>
              <w:rPr>
                <w:sz w:val="5"/>
                <w:szCs w:val="5"/>
                <w:color w:val="auto"/>
              </w:rPr>
            </w:pPr>
          </w:p>
        </w:tc>
        <w:tc>
          <w:tcPr>
            <w:tcW w:w="202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(See Note 3)</w:t>
            </w:r>
          </w:p>
        </w:tc>
        <w:tc>
          <w:tcPr>
            <w:tcW w:w="4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Statements</w:t>
            </w:r>
          </w:p>
        </w:tc>
        <w:tc>
          <w:tcPr>
            <w:tcW w:w="0" w:type="dxa"/>
            <w:vAlign w:val="bottom"/>
          </w:tcPr>
          <w:p>
            <w:pPr>
              <w:spacing w:after="0"/>
              <w:rPr>
                <w:sz w:val="1"/>
                <w:szCs w:val="1"/>
                <w:color w:val="auto"/>
              </w:rPr>
            </w:pPr>
          </w:p>
        </w:tc>
      </w:tr>
      <w:tr>
        <w:trPr>
          <w:trHeight w:val="11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w w:val="99"/>
              </w:rPr>
              <w:t>Statements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4"/>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3,691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21,800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Transfers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4,885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Change in fair value of contingent</w:t>
            </w:r>
          </w:p>
        </w:tc>
        <w:tc>
          <w:tcPr>
            <w:tcW w:w="12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Research and</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(4,885)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Selling, general and</w:t>
            </w:r>
          </w:p>
        </w:tc>
        <w:tc>
          <w:tcPr>
            <w:tcW w:w="0" w:type="dxa"/>
            <w:vAlign w:val="bottom"/>
          </w:tcPr>
          <w:p>
            <w:pPr>
              <w:spacing w:after="0"/>
              <w:rPr>
                <w:sz w:val="1"/>
                <w:szCs w:val="1"/>
                <w:color w:val="auto"/>
              </w:rPr>
            </w:pPr>
          </w:p>
        </w:tc>
      </w:tr>
      <w:tr>
        <w:trPr>
          <w:trHeight w:val="203"/>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consideration liabilities</w:t>
            </w:r>
          </w:p>
        </w:tc>
        <w:tc>
          <w:tcPr>
            <w:tcW w:w="12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80" w:type="dxa"/>
            <w:vAlign w:val="bottom"/>
            <w:gridSpan w:val="9"/>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(1,978)  development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w:t>
            </w:r>
          </w:p>
        </w:tc>
        <w:tc>
          <w:tcPr>
            <w:tcW w:w="0" w:type="dxa"/>
            <w:vAlign w:val="bottom"/>
          </w:tcPr>
          <w:p>
            <w:pPr>
              <w:spacing w:after="0"/>
              <w:rPr>
                <w:sz w:val="1"/>
                <w:szCs w:val="1"/>
                <w:color w:val="auto"/>
              </w:rPr>
            </w:pPr>
          </w:p>
        </w:tc>
      </w:tr>
      <w:tr>
        <w:trPr>
          <w:trHeight w:val="20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Balance as of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gridSpan w:val="3"/>
          </w:tcPr>
          <w:p>
            <w:pPr>
              <w:ind w:left="440"/>
              <w:spacing w:after="0"/>
              <w:rPr>
                <w:sz w:val="20"/>
                <w:szCs w:val="20"/>
                <w:color w:val="auto"/>
              </w:rPr>
            </w:pPr>
            <w:r>
              <w:rPr>
                <w:rFonts w:ascii="Times New Roman" w:cs="Times New Roman" w:eastAsia="Times New Roman" w:hAnsi="Times New Roman"/>
                <w:sz w:val="15"/>
                <w:szCs w:val="15"/>
                <w:color w:val="auto"/>
              </w:rPr>
              <w:t>3,536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9,430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18,134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Contingent Consideration Liability Related to Acquisition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in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ACell Inc.</w:t>
            </w:r>
          </w:p>
        </w:tc>
        <w:tc>
          <w:tcPr>
            <w:tcW w:w="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 in Financial</w:t>
            </w:r>
          </w:p>
        </w:tc>
        <w:tc>
          <w:tcPr>
            <w:tcW w:w="0" w:type="dxa"/>
            <w:vAlign w:val="bottom"/>
          </w:tcPr>
          <w:p>
            <w:pPr>
              <w:spacing w:after="0"/>
              <w:rPr>
                <w:sz w:val="1"/>
                <w:szCs w:val="1"/>
                <w:color w:val="auto"/>
              </w:rPr>
            </w:pPr>
          </w:p>
        </w:tc>
      </w:tr>
      <w:tr>
        <w:trPr>
          <w:trHeight w:val="64"/>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restart"/>
          </w:tcPr>
          <w:p>
            <w:pPr>
              <w:jc w:val="right"/>
              <w:ind w:right="47"/>
              <w:spacing w:after="0" w:line="131" w:lineRule="exact"/>
              <w:rPr>
                <w:sz w:val="20"/>
                <w:szCs w:val="20"/>
                <w:color w:val="auto"/>
              </w:rPr>
            </w:pPr>
            <w:r>
              <w:rPr>
                <w:rFonts w:ascii="Times New Roman" w:cs="Times New Roman" w:eastAsia="Times New Roman" w:hAnsi="Times New Roman"/>
                <w:sz w:val="14"/>
                <w:szCs w:val="14"/>
                <w:b w:val="1"/>
                <w:bCs w:val="1"/>
                <w:color w:val="auto"/>
              </w:rPr>
              <w:t>Arkis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5"/>
            <w:vMerge w:val="restart"/>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Derma Sciences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(See Note 3)</w:t>
            </w:r>
          </w:p>
        </w:tc>
        <w:tc>
          <w:tcPr>
            <w:tcW w:w="4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Statements</w:t>
            </w:r>
          </w:p>
        </w:tc>
        <w:tc>
          <w:tcPr>
            <w:tcW w:w="0" w:type="dxa"/>
            <w:vAlign w:val="bottom"/>
          </w:tcPr>
          <w:p>
            <w:pPr>
              <w:spacing w:after="0"/>
              <w:rPr>
                <w:sz w:val="1"/>
                <w:szCs w:val="1"/>
                <w:color w:val="auto"/>
              </w:rPr>
            </w:pPr>
          </w:p>
        </w:tc>
      </w:tr>
      <w:tr>
        <w:trPr>
          <w:trHeight w:val="117"/>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Statements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3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3"/>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w w:val="95"/>
              </w:rPr>
              <w:t>Long-term</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January 1, 2021</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w:t>
            </w:r>
          </w:p>
        </w:tc>
        <w:tc>
          <w:tcPr>
            <w:tcW w:w="3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Additions from acquisition of ACell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Transfers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Change in fair value of contingent consideration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auto"/>
              </w:rPr>
              <w:t>Research and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(400)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Selling, general and</w:t>
            </w:r>
          </w:p>
        </w:tc>
        <w:tc>
          <w:tcPr>
            <w:tcW w:w="0" w:type="dxa"/>
            <w:vAlign w:val="bottom"/>
          </w:tcPr>
          <w:p>
            <w:pPr>
              <w:spacing w:after="0"/>
              <w:rPr>
                <w:sz w:val="1"/>
                <w:szCs w:val="1"/>
                <w:color w:val="auto"/>
              </w:rPr>
            </w:pPr>
          </w:p>
        </w:tc>
      </w:tr>
      <w:tr>
        <w:trPr>
          <w:trHeight w:val="20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ind w:left="380"/>
              <w:spacing w:after="0"/>
              <w:rPr>
                <w:sz w:val="20"/>
                <w:szCs w:val="20"/>
                <w:color w:val="auto"/>
              </w:rPr>
            </w:pPr>
            <w:r>
              <w:rPr>
                <w:rFonts w:ascii="Times New Roman" w:cs="Times New Roman" w:eastAsia="Times New Roman" w:hAnsi="Times New Roman"/>
                <w:sz w:val="15"/>
                <w:szCs w:val="15"/>
                <w:color w:val="auto"/>
              </w:rPr>
              <w:t>(402)  development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administrative</w:t>
            </w:r>
          </w:p>
        </w:tc>
        <w:tc>
          <w:tcPr>
            <w:tcW w:w="0" w:type="dxa"/>
            <w:vAlign w:val="bottom"/>
          </w:tcPr>
          <w:p>
            <w:pPr>
              <w:spacing w:after="0"/>
              <w:rPr>
                <w:sz w:val="1"/>
                <w:szCs w:val="1"/>
                <w:color w:val="auto"/>
              </w:rPr>
            </w:pPr>
          </w:p>
        </w:tc>
      </w:tr>
      <w:tr>
        <w:trPr>
          <w:trHeight w:val="227"/>
        </w:trPr>
        <w:tc>
          <w:tcPr>
            <w:tcW w:w="3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June 30, 2021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2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23,500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Arkis BioSciences Inc.</w:t>
      </w:r>
    </w:p>
    <w:p>
      <w:pPr>
        <w:spacing w:after="0" w:line="1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external ventricular drainage catheter with Endexo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a permanent additive designed to reduce the potential for catheter obstruction due to thrombus formation.</w:t>
      </w:r>
    </w:p>
    <w:p>
      <w:pPr>
        <w:spacing w:after="0" w:line="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June 30, 2022 and June 30, 2021 was $13.0 million and $14.8 million, respectively. The Company recorded $9.4 million and $14.8 million in other liabilities at June 30, 2022 and June 30, 2021, respectively, and $3.5 million in accrued expenses and other current liabilities at June 30, 2022, in the consolidated balance sheet of the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Derma Sciences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June 30, 2022 and June 30, 2021 was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2021 included in our Annual Report on Form 10-K.</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made statements in this report which constitute forward-looking statements within the meaning of Section 27A of the Securities Act of 1933, as amended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risk of the COVID-19 pandemic could lead to further material delays and cancellations of, or reduced demand for, procedures; delayed capital spending by the Company's customers; disruption and/or higher costs to the Company’s supply chain; staffing shortages in hospitals; labor impacts in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2021, under the heading "Risk Factors" in this report, and in other filings with the SEC. We undertake no obligation to publicly update or revise any forward-looking statements, whether as a result of new information, future events or otherwise, except to the extent required by applicable law.</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You can identify these forward-looking statements by forward-looking words such as “believe,” “may,” “might,” “could,” “will,” “estimate,” “continue,” “anticipate,” “intend,” “seek,” “plan,” “expect,” “should,” “would” and similar expressions in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peripheral nerves and tendons. The Company has expanded its base regenerative technology business to include surgical instruments, neurosurgical products and advanced wound care through global acquisitions and product development to meet the evolving needs of its customers and enhance patient care.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Integra manufactures and sells medical technologies and products in two reportable business segments: Codman Specialty Surgical ("CSS") and Tissue Technologies ("TT"). The CSS segment, which represents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key manufacturing and research facilities located in California, Indiana, Maryland, Massachusetts, New Jersey, Ohio, Puerto Rico, Tennessee, Utah, Canada, China, France, Germany, Ireland and Switzerland. We source most of our handheld surgical instruments and dural sealant products through specialized third-party vendors.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acquisitions, we can build scale, increase competitiveness, and achieve our long-term goals.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this end, the executive leadership team has established the following key priorities aligned to the following areas of focus: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Strategic Acquisitions. </w:t>
      </w:r>
      <w:r>
        <w:rPr>
          <w:rFonts w:ascii="Times New Roman" w:cs="Times New Roman" w:eastAsia="Times New Roman" w:hAnsi="Times New Roman"/>
          <w:sz w:val="17"/>
          <w:szCs w:val="17"/>
          <w:color w:val="auto"/>
        </w:rPr>
        <w:t>An important part of the Company's strategy is pursuing strategic transactions and licensing agreements that increase relevant scale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clinical areas in which Integra competes. During 2021, the Company acquired ACell Inc. ("ACell"), an innovative regenerative medicine company specializing in the manufacturing of porcine urinary bladder extracellular matrices. This acquisition not only expanded the Company’s product offering of regenerative technologies, but it is also expected to support the Company’s long-term growth and profitability strategy as this product line has a financial profile similar to Integra’s other regenerative tissue products. All critical components of ACell have been integrated into the Company’s TT segment. See Note 3, </w:t>
      </w:r>
      <w:r>
        <w:rPr>
          <w:rFonts w:ascii="Times New Roman" w:cs="Times New Roman" w:eastAsia="Times New Roman" w:hAnsi="Times New Roman"/>
          <w:sz w:val="17"/>
          <w:szCs w:val="17"/>
          <w:i w:val="1"/>
          <w:iCs w:val="1"/>
          <w:color w:val="auto"/>
        </w:rPr>
        <w:t>Acquisitions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Divestitures</w:t>
      </w:r>
      <w:r>
        <w:rPr>
          <w:rFonts w:ascii="Times New Roman" w:cs="Times New Roman" w:eastAsia="Times New Roman" w:hAnsi="Times New Roman"/>
          <w:sz w:val="17"/>
          <w:szCs w:val="17"/>
          <w:color w:val="auto"/>
        </w:rPr>
        <w:t>, to the Notes to Consolidated Financial Statements (Part I, Item 1 of this Form 10-Q) for additional details. In 2022, we continued to advance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of pioneering neurosurgical technologies from our 2019 acquisitions, Arkis Biosciences, Inc. and Rebound Therapeutics Corporation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Portfolio Optimization and New Product Introductions. </w:t>
      </w:r>
      <w:r>
        <w:rPr>
          <w:rFonts w:ascii="Times New Roman" w:cs="Times New Roman" w:eastAsia="Times New Roman" w:hAnsi="Times New Roman"/>
          <w:sz w:val="17"/>
          <w:szCs w:val="17"/>
          <w:color w:val="auto"/>
        </w:rPr>
        <w:t>We are investing in innovative product development to drive a multi-generational pipeline for our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franchises. Our product development efforts span across our key global franchises focused on potential for significant returns on investment. In addition to new product development, we are funding studies to gather clinical evidence to support launches, ensure market access and improve reimbursement for existing products. In addition to acquisitions and organic reinvestment, we continually look to optimize our portfolio towards higher growth and higher margin businesses. As such, we may opportunistically divest businesses or discontinue products where we see limited runway for future value creation in line with our aspirations due in part to changes in the market, business fundamentals or the regulatory environment.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May 20, 2022, we entered into an agreement to sell our non-core traditional wound care ("TWC") business to Gentell, LLC for approximately $28.8 million, which consists of $27.8 million in cash plus $1.0 million in contingent consideration which may be received upon achieving certain revenue-based performance milestones. The transaction is expected to close at or around August 31, 2022, subject to the satisfaction of customary conditions. Revenues for the TWC business were approximately $27 million in 2021. See Note 2, </w:t>
      </w:r>
      <w:r>
        <w:rPr>
          <w:rFonts w:ascii="Times New Roman" w:cs="Times New Roman" w:eastAsia="Times New Roman" w:hAnsi="Times New Roman"/>
          <w:sz w:val="17"/>
          <w:szCs w:val="17"/>
          <w:i w:val="1"/>
          <w:iCs w:val="1"/>
          <w:color w:val="auto"/>
        </w:rPr>
        <w:t>Assets and Liabilities Held for Sale,</w:t>
      </w:r>
      <w:r>
        <w:rPr>
          <w:rFonts w:ascii="Times New Roman" w:cs="Times New Roman" w:eastAsia="Times New Roman" w:hAnsi="Times New Roman"/>
          <w:sz w:val="17"/>
          <w:szCs w:val="17"/>
          <w:color w:val="auto"/>
        </w:rPr>
        <w:t xml:space="preserve"> to the Notes to Consolidated Financial Statements (Part I, Item 1 of this Form 10-Q) for details. Our portfolio optimization actions over the past two years have allowed us to increase our focus on Integra’s core portfolio of market-leading products in neurosurgery, surgical instrumentation and regenerative tissue and moves us closer to achieving our long-term organic growth and profitability targets.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January 2021, we completed the sale of our Extremity Orthopedics business to Smith &amp; Nephew USD Limited ("Smith &amp; Nephew"), a subsidiary of Smith &amp; Nephew plc, for approximately $240 million in cash. This transaction enables us to increase our investments in our core neurosurgery and tissue technologies businesses and fund pipeline opportunities to expand our addressable markets to strengthen our existing leadership positions in these segments and drive future growth. See Note 3, </w:t>
      </w:r>
      <w:r>
        <w:rPr>
          <w:rFonts w:ascii="Times New Roman" w:cs="Times New Roman" w:eastAsia="Times New Roman" w:hAnsi="Times New Roman"/>
          <w:sz w:val="17"/>
          <w:szCs w:val="17"/>
          <w:i w:val="1"/>
          <w:iCs w:val="1"/>
          <w:color w:val="auto"/>
        </w:rPr>
        <w:t>Acquisitions and Divestitures</w:t>
      </w:r>
      <w:r>
        <w:rPr>
          <w:rFonts w:ascii="Times New Roman" w:cs="Times New Roman" w:eastAsia="Times New Roman" w:hAnsi="Times New Roman"/>
          <w:sz w:val="17"/>
          <w:szCs w:val="17"/>
          <w:color w:val="auto"/>
        </w:rPr>
        <w:t>, to the Notes to Consolidated Financial Statements (Part I, Item 1 of this Form 10-Q) for details.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Commercial Channel Investments. </w:t>
      </w:r>
      <w:r>
        <w:rPr>
          <w:rFonts w:ascii="Times New Roman" w:cs="Times New Roman" w:eastAsia="Times New Roman" w:hAnsi="Times New Roman"/>
          <w:sz w:val="17"/>
          <w:szCs w:val="17"/>
          <w:color w:val="auto"/>
        </w:rPr>
        <w:t>Investing in our sales channels is a core part of our strategy to create specialization and greater focus on reaching new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existing customers and addressing their needs. To support our commercial efforts in Tissue Technologies, we utilize a two-tier specialist model to increase our presence in focused segments by creating a virtual selling organization to help serve the evolving needs of our customers. In addition, we continue to build upon our leadership brands across our product franchises in both CSS and TT to engage customers through enterprise-wide contracts with leading hospitals, integrated delivery networks and global purchasing organizations in the United States. Internationally, we have increased our commercial resources significantly in key emerging markets and are making investments to support our sales organization and maximize our commercial opportunities. Domestically, we have also increased our TT sales force in the United States to support the expanded regenerative tissue product portfolio that included ACell products. These investments in our international and domestic sales channel position us well for expansion and long-term growth.</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Customer Experience. </w:t>
      </w:r>
      <w:r>
        <w:rPr>
          <w:rFonts w:ascii="Times New Roman" w:cs="Times New Roman" w:eastAsia="Times New Roman" w:hAnsi="Times New Roman"/>
          <w:sz w:val="17"/>
          <w:szCs w:val="17"/>
          <w:color w:val="auto"/>
        </w:rPr>
        <w:t>We aspire to be ranked as a best-in-class provider and are committed to strengthen our relationships with all customers. We continue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 in technologies, systems and processes to enhance the customer experience. We also launched digital tools and programs, resources and virtual product training to drive continued customer familiarity with our growing portfolio of medical technologies globally. In addition, we announced plans to outsource certain transactional back-office finance and customer service activities to enhance customer quality, build scale for future growth, and capture cost efficiencies.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Clinical and Product Development Activities</w:t>
      </w:r>
    </w:p>
    <w:p>
      <w:pPr>
        <w:spacing w:after="0" w:line="1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continue to invest in collecting clinical evidence to support the Company's existing products and new product launches, and to ensure that we obtain market access for broader and more cost-effective solutions. In 2021, we launched our CereLink™ ICP Monitor System in the U.S. and Europe direct markets. CereLink provides enhanced accuracy, usability and advanced data presentation that provides clinicians with uncompromised, advanced continuous ICP monitoring that until now, has not been available when treating patients with traumatic brain injuries. Through the first half of 2022, we have continued the global rollout of Cerelink with product launches in Australia and Canada, as well as several other indirect markets in EMEA. We are focused on the development of core clinical applications in our electromechanical technologies portfolio. In June 2022, we launched the Neutus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EVD system, our first external ventricular drain (“EVD") in China. The Neutus EVD system is manufactured in China by Shanghai Haoju Medical Technology Co., Ltd. under an exclusive distribution arrangement. The device is used in the management of cerebrospinal fluid and is highly complementary to our Bactiseal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catheter and advanced intercranial pressure monitoring products. Also, we continue to update our CUSA Clarity platform by incorporating new ultrasonic handpiece, surgical tips and integrated electrosurgical capabilities. We continue to work with several instrument partners to bring new surgical instrument platforms to the market.</w:t>
      </w:r>
    </w:p>
    <w:p>
      <w:pPr>
        <w:spacing w:after="0" w:line="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In 2022, we continued to advance the two early-stage technology platforms we acquired in 2019. Through the acquisition of Arkis Biosciences, we added a platform technology, CerebroFlo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EVD, catheter with Endexo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a permanent additive designed to reduce the potential for catheter obstruction due to thrombus formation. The CerebroFlo EVD Catheter has demonstrated an average of 99% less thrombus accumulation onto its surface, in vitro, compared to a market leading EVD catheter. In 2019, we also acquired Rebound Therapeutics Corporation which specialized in a single-use medical device, known as Aurora Surgiscope, which is the only tubular retractor system designed for cranial surgery with an integrated access channel, camera and lighting. In 2021, we began and continued to conduct a limited clinical launch of the Aurora Surgiscope for use in minimally invasive neurosurgery as well as initiated a registry called MIRROR to collect data on early surgical intervention using this same technology platform for the treatment of intracerebral hemorrhages ("ICH"). In the second quarter of 2022, we have continued to execute on our growth initiatives. We launched the Aurora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Evacuator with Coagulation device in the U.S., designed to be used in conjunction with our Aurora Surgiscope to safely address and evacuate blood in the brain caused by hemorrhagic stroke. </w:t>
      </w:r>
    </w:p>
    <w:p>
      <w:pPr>
        <w:spacing w:after="0" w:line="8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Within our TT segment, in the first half of 2022, we launched NeuraGen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3D Nerve Guide Matrix, a resorbable implant for repair of peripheral nerve discontinuities and designed to optimize the environment for nerve regeneration to allow for more complete functional recovery. During 2021, we completed one of the largest diabetic foot ulcers ("DFU"), randomized controlled trials of the PriMatrix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Dermal Repair Scaffold for the management of DFU. This multi-center study enrolled more than 225 patients with chronic DFU's over the course of 12-week treatments and 4-week follow-up phases. The results of this study, which was published in the Journal of Wound Care, demonstrated that PriMatrix plus standard of care ("SOC") consisting of sharp debridement, infection elimination, use of dressings and offloading was significantly more likely to achieve complete wound closure compared with SOC alone, with a median number of one application of the product.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 and the Economic Recession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this global crisis, the Company's focus remained on supporting patients, providing customers with life-saving products, and protecting the well-being of our employees. The rapid and evolving spread of the virus and subsequent variants have resulted in unprecedented challenges to the global healthcare industry. In response to the pandemic, we acted swiftly by implementing protocols to ensure continuity of our manufacturing and distribution sites around the world and to provide for the safety of our employees. We remain confident that the underlying markets in which the Company competes remain attractive and we remain focused on managing the business for the long-term.</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COVID-19 pandemic and actions taken by governmental authorities, private businesses and individuals, such as “shelter-in-place” orders and restrictions on travel and access to our customers or temporary closures of our facilities or the facilities of our suppliers, disruption and/or higher costs to the Company’s supply chain, staffing shortages in hospitals and labor constraints in our facilities, could further impact our sales margins and our ability to ship our products and supply our customers.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COVID variants continue to contribute to an uncertain business environment, effects resulting from the pandemic such as inflationary pressures and global central bank actions to contain high inflation levels could cause a local and/or global economic recession. Capital markets and worldwide economies have also been significantly impacted and such economic recession could have a material adverse effect on the Company’s long-term business as hospitals reduce capital, as well as overall spending.</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of these events could negatively impact the number of surgical and medical intervention procedures performed and have a material adverse effect on our business, financial condition, results of operations, or cash flows.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FDA Matters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manufacture and distribute products derived from human tissue for which FDA has specific regulations governing human cells, tissues and cellular and tissue-based products ("HCT/Ps"). An HCT/P is a product containing or consisting of human cells or tissue intended for transplantation into a human patient. Refer to Item 1. Business and Item 1A. Risk Factors in our 2021 10-K report for further details around these FDA regulations and their potential effect on the Company's portfolio of morselized amniotic material-based products as well as the impact on consolidated revenues.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22, 2015, the FDA issued an Untitled Letter (the "Untitled Letter") alleging that BioD LLC's morselized amniotic membrane tissue-based products do not meet the criteria for regulation as HCT/Ps solely under Section 361 of the Public Health Services Act ("Section 361") and that, as a result, BioD LLC ("BioD") would need a biologics license to lawfully market those morselized products. Since the issuance of the Untitled Letter, BioD and the Company have made known to the FDA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“2020 HCT/P Final Guidance”). The 2020 HCT/P Final Guidance document supersedes the November 2017 guidance by the same title.</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HCT/P Final Guidance maintains the FDA’s position that products such as the Company’s morselized amniotic membrane tissue-based products do not meet the criteria for regulation solely as HCT/Ps. In addition, in the November 2017 guidance, the FDA articulated a risk-based approach to enforcement and, while some uses for amniotic membrane tissue-based products would have as much as thirty-six months of enforcement discretion, other high risk uses could be subject to immediate enforcement action. The 2020 HCT/P Final Guidance maintained this approach and extended the discretionary enforcement period to May 31, 2021.</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Considering the risk of enforcement action, the Company discontinued the manufacturing of all morselized amniotic membrane tissue-based products prior to May 31, 2021. We no longer distribute these products. As of June 30, 2022, the Company has not received any further notice of enforcement action from the FDA regarding its morselized amniotic membrane tissue-based products.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March 7, 2019, TEI Biosciences, Inc. ("TEI"), a wholly-owned subsidiary of the Company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On October 28, 2021 the FDA initiated an inspection of the facility and at the conclusion of the inspection issued a FDA Form 483 on November 12, 2021 (the "2021 Form 483"). The Company provided an initial response to the inspection observations and will continue to provide responses to FDA. The Warning Letter and the 2021 FDA Form 483 do not restrict the Company’s ability to manufacture or ship products or require the recall of any products, nor do they restrict our ability to seek FDA 510(k) clearance of products. Additionally, premarket approval applications for Class III 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of products manufactured in the TEI Boston facility for the six months ended June 30, 2022 were approximately 6.0% of consolidated revenues.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 &amp; DIVESTITURES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January 4, 2021, the Company completed its sale of its Extremity Orthopedics business to Smith &amp; Nephew. The transaction included the sale of the Company's upper and lower Extremity Orthopedics product portfolio, including ankle and shoulder arthroplasty and hand and wrist product lines. The Company received an aggregate purchase price of $240.0 million from Smith &amp; Nephew and concurrently paid $41.5 million to the Consortium of Focused Orthopedists, LLC ("CFO"), effectively terminating the licensing agreement between Integra and CFO relating to the development of shoulder arthroplasty products. In connection with the sale, the Company recognized a $41.8 million as Gain from the sale of business in the consolidated statement of operations for the year ended December 31, 2021. The Company finalized the net working capital and paid an additional $1.3 million to Smith &amp; Nephew as of December 31, 2021. See Note 3, </w:t>
      </w:r>
      <w:r>
        <w:rPr>
          <w:rFonts w:ascii="Times New Roman" w:cs="Times New Roman" w:eastAsia="Times New Roman" w:hAnsi="Times New Roman"/>
          <w:sz w:val="17"/>
          <w:szCs w:val="17"/>
          <w:i w:val="1"/>
          <w:iCs w:val="1"/>
          <w:color w:val="auto"/>
        </w:rPr>
        <w:t>Acquisitions and Divestitures</w:t>
      </w:r>
      <w:r>
        <w:rPr>
          <w:rFonts w:ascii="Times New Roman" w:cs="Times New Roman" w:eastAsia="Times New Roman" w:hAnsi="Times New Roman"/>
          <w:sz w:val="17"/>
          <w:szCs w:val="17"/>
          <w:color w:val="auto"/>
        </w:rPr>
        <w:t>, to the Notes to Consolidated Financial Statements (Part I, Item 1 of this Form 10-Q) for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growth strategy includes the acquisition of businesses, assets or products lines to increase the breadth of our offerings and the reach of our product portfolios and drive relevant scale to our customers.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20, 2021, the Company acquired ACell, Inc. for an acquisition purchase price of $306.9 million plus contingent consideration obligations of up to $100 million, that may be payable upon achieving certain revenue-based performance milestones in 2022, 2023 and 2025</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3, </w:t>
      </w:r>
      <w:r>
        <w:rPr>
          <w:rFonts w:ascii="Times New Roman" w:cs="Times New Roman" w:eastAsia="Times New Roman" w:hAnsi="Times New Roman"/>
          <w:sz w:val="17"/>
          <w:szCs w:val="17"/>
          <w:i w:val="1"/>
          <w:iCs w:val="1"/>
          <w:color w:val="auto"/>
        </w:rPr>
        <w:t>Acquisitions and Divestitures</w:t>
      </w:r>
      <w:r>
        <w:rPr>
          <w:rFonts w:ascii="Times New Roman" w:cs="Times New Roman" w:eastAsia="Times New Roman" w:hAnsi="Times New Roman"/>
          <w:sz w:val="17"/>
          <w:szCs w:val="17"/>
          <w:color w:val="auto"/>
        </w:rPr>
        <w:t>, to the Notes to Consolidated Financial Statements (Part I, Item 1 of this Form 10-Q) for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OPTIMIZATION AND INTEGRATION ACTIVITIES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during 2022, we closed a manufacturing facility located in France and began the transfer of production to the Company’s existing Switzerland facility. In addition, we announced plans to outsource certain transactional back-office finance and customer service activities to enhance customer quality, build scale for future growth, and capture cost efficiencies. We expect this transition to be completed by the fourth quarter of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income for the three months ended June 30, 2022 was $44.8 million, or $0.54 per diluted share, as compared to $35.1 million or $0.41 per diluted share for the three months ended June 30, 2021. The increase in net income for the three months ended June 30, 2022, was primarily driven by higher revenues across most franchises.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income for the six months ended June 30, 2022 was $77.7 million, or $0.93 per diluted share, as compared to $80.5 million or $0.94 per diluted share for the six months ended June 30, 2021. The decrease in net income for the six months ended June 30, 2022, was primarily driven by the increase in non-operating income in the prior period due to the gain of $42.2 million recognized as result of the sale of the Extremity Orthopedics business. Excluding the impact of the gain, net income increased for the six months ended June 30, 2022, driven by higher revenues across most franchises.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Charges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before taxes includes the following special charges</w:t>
      </w:r>
      <w:r>
        <w:rPr>
          <w:rFonts w:ascii="Times New Roman" w:cs="Times New Roman" w:eastAsia="Times New Roman" w:hAnsi="Times New Roman"/>
          <w:sz w:val="17"/>
          <w:szCs w:val="17"/>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6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5"/>
                <w:szCs w:val="15"/>
                <w:color w:val="auto"/>
              </w:rPr>
              <w:t>Acquisition, divestiture and integration-related charges</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(5,710)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(16,225)</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Structural optimization charges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14,492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8,691</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EU medical device regulation ("EU MDR")</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19,762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9,163</w:t>
            </w:r>
          </w:p>
        </w:tc>
        <w:tc>
          <w:tcPr>
            <w:tcW w:w="0" w:type="dxa"/>
            <w:vAlign w:val="bottom"/>
          </w:tcPr>
          <w:p>
            <w:pPr>
              <w:spacing w:after="0"/>
              <w:rPr>
                <w:sz w:val="1"/>
                <w:szCs w:val="1"/>
                <w:color w:val="auto"/>
              </w:rPr>
            </w:pPr>
          </w:p>
        </w:tc>
      </w:tr>
      <w:tr>
        <w:trPr>
          <w:trHeight w:val="196"/>
        </w:trPr>
        <w:tc>
          <w:tcPr>
            <w:tcW w:w="5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880" w:type="dxa"/>
            <w:vAlign w:val="bottom"/>
            <w:tcBorders>
              <w:bottom w:val="single" w:sz="8" w:color="auto"/>
            </w:tcBorders>
          </w:tcPr>
          <w:p>
            <w:pPr>
              <w:jc w:val="right"/>
              <w:ind w:right="727"/>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12,137</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28,544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3"/>
        <w:spacing w:after="0" w:line="226" w:lineRule="auto"/>
        <w:tabs>
          <w:tab w:leader="none" w:pos="161"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completed its sale of its Extremity Orthopedics business and recognized a gain of $42.2 million for the six months ended June 30, 2021 which was partially offset by other acquisition, divestiture and integration-related charges. See Note 3, Acquisitions and Divestitures for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items reported above are reflected in the condensed consolidated statements of operations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5"/>
                <w:szCs w:val="15"/>
                <w:color w:val="auto"/>
              </w:rPr>
            </w:pPr>
          </w:p>
        </w:tc>
        <w:tc>
          <w:tcPr>
            <w:tcW w:w="298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20,903</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7,623</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18,057</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Gain from the sale of business</w:t>
            </w:r>
            <w:r>
              <w:rPr>
                <w:rFonts w:ascii="Times New Roman" w:cs="Times New Roman" w:eastAsia="Times New Roman" w:hAnsi="Times New Roman"/>
                <w:sz w:val="20"/>
                <w:szCs w:val="20"/>
                <w:color w:val="auto"/>
                <w:vertAlign w:val="superscript"/>
              </w:rPr>
              <w:t>(1)</w:t>
            </w:r>
          </w:p>
        </w:tc>
        <w:tc>
          <w:tcPr>
            <w:tcW w:w="4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(42,197)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0" w:type="dxa"/>
            <w:vAlign w:val="bottom"/>
          </w:tcPr>
          <w:p>
            <w:pPr>
              <w:spacing w:after="0"/>
              <w:rPr>
                <w:sz w:val="1"/>
                <w:szCs w:val="1"/>
                <w:color w:val="auto"/>
              </w:rPr>
            </w:pPr>
          </w:p>
        </w:tc>
      </w:tr>
      <w:tr>
        <w:trPr>
          <w:trHeight w:val="196"/>
        </w:trPr>
        <w:tc>
          <w:tcPr>
            <w:tcW w:w="4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28,544</w:t>
            </w:r>
          </w:p>
        </w:tc>
        <w:tc>
          <w:tcPr>
            <w:tcW w:w="8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40" w:hanging="137"/>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Note 3, </w:t>
      </w:r>
      <w:r>
        <w:rPr>
          <w:rFonts w:ascii="Times New Roman" w:cs="Times New Roman" w:eastAsia="Times New Roman" w:hAnsi="Times New Roman"/>
          <w:sz w:val="13"/>
          <w:szCs w:val="13"/>
          <w:i w:val="1"/>
          <w:iCs w:val="1"/>
          <w:color w:val="auto"/>
        </w:rPr>
        <w:t>Acquisitions and Divestitures</w:t>
      </w:r>
      <w:r>
        <w:rPr>
          <w:rFonts w:ascii="Times New Roman" w:cs="Times New Roman" w:eastAsia="Times New Roman" w:hAnsi="Times New Roman"/>
          <w:sz w:val="13"/>
          <w:szCs w:val="13"/>
          <w:color w:val="auto"/>
        </w:rPr>
        <w:t xml:space="preserve"> for details.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acquisitions and divestitures and efforts to optimize our manufacturing, distribution, commercial and administration infrastructure, some of the special charges discussed above could recur with similar materiality in the future.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 and 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revenues and gross margin on product revenues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5"/>
                <w:szCs w:val="15"/>
                <w:color w:val="auto"/>
              </w:rPr>
            </w:pPr>
          </w:p>
        </w:tc>
        <w:tc>
          <w:tcPr>
            <w:tcW w:w="308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14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Net Sales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Codman Specialty Surgical</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257,863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256,837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505,171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498,078</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Tissue Technologies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139,952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133,155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269,282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251,985</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revenues</w:t>
            </w: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397,815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389,992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774,453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750,063</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148,404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151,267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290,973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297,090</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Gross margin on total revenues</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249,411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238,725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483,480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452,973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Gross margin as a percentage of total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780"/>
        <w:spacing w:after="0" w:line="382" w:lineRule="auto"/>
        <w:rPr>
          <w:sz w:val="20"/>
          <w:szCs w:val="20"/>
          <w:color w:val="auto"/>
        </w:rPr>
      </w:pPr>
      <w:r>
        <w:rPr>
          <w:rFonts w:ascii="Times New Roman" w:cs="Times New Roman" w:eastAsia="Times New Roman" w:hAnsi="Times New Roman"/>
          <w:sz w:val="17"/>
          <w:szCs w:val="17"/>
          <w:b w:val="1"/>
          <w:bCs w:val="1"/>
          <w:color w:val="auto"/>
        </w:rPr>
        <w:t>Three Months Ended June 30, 2022 as Compared to Three Months Ended June 30, 2021 Revenues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three months ended June 30, 2022, total revenues increased by $7.8 million to $397.8 million from $390.0 million for the same period in 2021, inclusive of a unfavorable foreign currency impact of $10.3 million on revenues. Domestic revenues increased by $9.2 million, or 3.3%, to $287.3 million and were 72.2% of total revenues for the three months ended June 30, 2022 compared to $278.2 million during the same period in the prior year. International revenues decreased by $1.4 million or 1.2% to $110.5 million for the three months ended June 30, 2022 compared to $111.8 million during the same period in the prior year, which is inclusive of a unfavorable foreign currency impact of $10.3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CSS segment, revenues were $257.9 million which was an increase of $1.0 million, or 0.4% as compared to the prior-year period, inclusive of a $9.2 million unfavorable foreign currency impact on revenue. The increase was as a result of the continued broad demand recovery we have seen across many CSS franchises as well as our ability to maintain pace with customer deliveries. Excluding the impact of foreign currency, Neurosurgery portfolio grew low single digits primarily driven by sales in advanced energy and CSF management. Sales in our instruments portfolio increased mid single digits as compared to the same period in the prior year.</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TT segment, revenues were $140.0 million which was an increase of $6.8 million, or 5.1% from the prior-year period, inclusive of a $1.1 million unfavorable foreign currency impact on revenue. Sales in our Wound Reconstruction business, increased low single digits, led by Integra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Dermal Matrices and SurgiMend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Sales in our Private Label business increased low double digits driven by higher customer demand and favorable order timing.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Gross margin was $249.4 million for the three months ended June 30, 2022, an increase of $10.7 million from $238.7 million for the same period in 2021. Gross margin as a percentage of revenues was 62.7% for the three months ended June 30, 2022 and 61.2% or the same period in 2021. This increase in gross margin was due to higher revenues and a decrease in amortization associated with reduction of inventory step-up amortization in connection with the acquisition of ACell in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operating expenses as a percent of total revenues:</w:t>
      </w:r>
    </w:p>
    <w:p>
      <w:pPr>
        <w:spacing w:after="0" w:line="24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r>
      <w:tr>
        <w:trPr>
          <w:trHeight w:val="20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41.7 %</w:t>
            </w:r>
          </w:p>
        </w:tc>
      </w:tr>
      <w:tr>
        <w:trPr>
          <w:trHeight w:val="20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196"/>
        </w:trPr>
        <w:tc>
          <w:tcPr>
            <w:tcW w:w="7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47.6 %</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48.0 %</w:t>
            </w:r>
          </w:p>
        </w:tc>
      </w:tr>
      <w:tr>
        <w:trPr>
          <w:trHeight w:val="21"/>
        </w:trPr>
        <w:tc>
          <w:tcPr>
            <w:tcW w:w="7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operating expenses, which consist of research and development, selling, general and administrative, and amortization expenses, increased by $2.7 million, or 1.4% to $189.5 million in the three months ended June 30, 2022, compared to $186.9 million in the same period in 2021. The increase in operating expenses compared to the prior year primarily reflects increased selling costs associated with higher revenue as well as higher spending for key growth initiatives in research and development.</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continues to prioritize its operating costs to increase organic investments that will drive long-term growth including the support of new product development and introductions, clinical studies, geographic expansion and targeted U.S. sales channel expansion.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June 30, 2022 increased by $5.5 million as compared to the same period in the prior year. This increase in spending resulted from additional spending on new product development, clinical studies and spending related to the EU MDR compliance activities.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costs for the three months ended June 30, 2022 decreased by $1.9 million as compared to the same period in the prior year driven by lower incentive and stock-based compensation as well as lower acquisition related expenses partially offset by normalization of spending in selling and marketing.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 Amortization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expense (excluding amounts reported in cost of product revenues for technology-based intangible assets) for the three months ended June 30, 2022 was $3.3 million compared to $4.2 million for the same period in prior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Non-Operating Income and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non-operating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2"/>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(13,149)</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5,034</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from the sale of business</w:t>
            </w:r>
          </w:p>
        </w:tc>
        <w:tc>
          <w:tcPr>
            <w:tcW w:w="4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0" w:type="dxa"/>
            <w:vAlign w:val="bottom"/>
          </w:tcPr>
          <w:p>
            <w:pPr>
              <w:spacing w:after="0"/>
              <w:rPr>
                <w:sz w:val="1"/>
                <w:szCs w:val="1"/>
                <w:color w:val="auto"/>
              </w:rPr>
            </w:pPr>
          </w:p>
        </w:tc>
      </w:tr>
      <w:tr>
        <w:trPr>
          <w:trHeight w:val="224"/>
        </w:trPr>
        <w:tc>
          <w:tcPr>
            <w:tcW w:w="7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non-operating income and expense</w:t>
            </w: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Interest Expense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June 30, 2022 increased by $0.2 million as compared to the same period last year. Interest expense for the three months ended June 30, 2022 decreased by $0.9 million as compared to the same period last year primarily from a lower outstanding borrowing on the Senior Secured Credit Facility.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net for the three months ended June 30, 2022 decreased by $3.1 million compared to the same period in the prior year primarily due to lower income associated with the transition services agreement from the divestiture of the Extremity Orthopedics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gridSpan w:val="4"/>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2"/>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51,575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44,824</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460" w:type="dxa"/>
            <w:vAlign w:val="bottom"/>
          </w:tcPr>
          <w:p>
            <w:pPr>
              <w:spacing w:after="0"/>
              <w:rPr>
                <w:sz w:val="17"/>
                <w:szCs w:val="17"/>
                <w:color w:val="auto"/>
              </w:rPr>
            </w:pPr>
          </w:p>
        </w:tc>
        <w:tc>
          <w:tcPr>
            <w:tcW w:w="14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6,787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9,756</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Effective tax rate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effective income tax rates for the three months ended June 30, 2022 and 2021 were 13.2% and 21.8%,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June 30, 2022, the primary driver of the tax rate is a $4.8 million benefit related to excess tax benefit from stock compensation.</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161" w:lineRule="exact"/>
        <w:rPr>
          <w:sz w:val="20"/>
          <w:szCs w:val="20"/>
          <w:color w:val="auto"/>
        </w:rPr>
      </w:pPr>
    </w:p>
    <w:p>
      <w:pPr>
        <w:ind w:right="5200"/>
        <w:spacing w:after="0" w:line="382" w:lineRule="auto"/>
        <w:rPr>
          <w:sz w:val="20"/>
          <w:szCs w:val="20"/>
          <w:color w:val="auto"/>
        </w:rPr>
      </w:pPr>
      <w:r>
        <w:rPr>
          <w:rFonts w:ascii="Times New Roman" w:cs="Times New Roman" w:eastAsia="Times New Roman" w:hAnsi="Times New Roman"/>
          <w:sz w:val="17"/>
          <w:szCs w:val="17"/>
          <w:b w:val="1"/>
          <w:bCs w:val="1"/>
          <w:color w:val="auto"/>
        </w:rPr>
        <w:t>Six Months Ended June 30, 2022 as Compared to Six Months Ended June 30, 2021 Revenues and Gross Margin</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six months ended June 30, 2022, total revenues increased by $24.4 million to $774.5 million from $750.1 million for the same period in 2021, inclusive of an unfavorable foreign currency impact of $14.9 million on revenues. Domestic revenues increased by $24.7 million, or 4.7%, to $550.7 million and were 71.1% of total revenues for the six months ended June 30, 2022. International revenues decreased by $0.3 million, or 0.1% to $223.8 million for the six months ended June 30, 2022 compared to $224.1 million during the same period in the prior year.</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CSS segment, revenues were $505.2 million, which was an increase of $7.1 million, or 1.4% from the prior-year period, inclusive of a $13.4 million unfavorable foreign currency impact on revenue. The Neurosurgery portfolio grew low single digits primarily due to sales in neuromonitoring and CSF management. Sales in our instruments portfolio increased low single digits as compared to the same period in the prior year.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TT segment, revenues were $269.3 million, which was a increase of $17.3 million, or 6.9% from the prior-year period, inclusive of a $1.5 million unfavorable foreign currency impact on revenue. Sales in our Wound Reconstruction business increased low single digits, led by Integra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Dermal Matrices and SurgiMend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Sales in our Private Label business increased low double digits driven by higher customer demand and favorable order timing.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Gross margin was $483.5 million for the six months ended June 30, 2022, an increase of $30.5 million from $453.0 million for the same period last year. Gross margin as a percentage of total revenue increased to 62.4% for the six months ended June 30, 2022 from 60.4% in the same period last year. The increase in gross margin percentage was due to higher revenues and a reduction of inventory step-up amortization in connection with the acquisition of ACell in the prior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operating expenses as a percent of total revenues:</w:t>
      </w:r>
    </w:p>
    <w:p>
      <w:pPr>
        <w:spacing w:after="0" w:line="24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5.7 %</w:t>
            </w:r>
          </w:p>
        </w:tc>
      </w:tr>
      <w:tr>
        <w:trPr>
          <w:trHeight w:val="20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42.6 %</w:t>
            </w:r>
          </w:p>
        </w:tc>
      </w:tr>
      <w:tr>
        <w:trPr>
          <w:trHeight w:val="20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96"/>
        </w:trPr>
        <w:tc>
          <w:tcPr>
            <w:tcW w:w="7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48.7 %</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49.5 %</w:t>
            </w:r>
          </w:p>
        </w:tc>
      </w:tr>
      <w:tr>
        <w:trPr>
          <w:trHeight w:val="21"/>
        </w:trPr>
        <w:tc>
          <w:tcPr>
            <w:tcW w:w="7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Total operating expenses, which consist of selling, general and administrative expenses, research and development expenses, and amortization expenses, increased by $7.0 million, or 1.9% to $377.4 million in the six months ended June 30, 2022, compared to $370.4 million in the same period in 2021.</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continues to prioritize its operating costs to increase organic investments that will drive long-term growth including the support of new product development and introductions, clinical studies, geographic expansion and targeted U.S. sales channel expansion.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six months ended June 30, 2022 increased by $7.2 million as compared to the same period in the prior year. This increase in spending resulted from additional spending on new product development, clinical studies and additional spending due to the EU MDR compliance.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costs increased by $1.4 million as compared to the same period in the prior year driven primarily due to higher spending, including selling costs on commissions, investment in sales force expansion, and higher spend for key growth initiatives, offset by lower employee related costs, stock-based compensation and acquisition related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 Amortization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expense (excluding amounts reported in cost of product revenues for technology-based intangible assets) for the six months ended June 30, 2022 was $7.2 million compared to $8.7 million for the same period in prior year.</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expect total annual amortization expense to be approximately $38.4 million for the remainder of 2022, $76.5 million in 2023, $75.8 million in 2024, $75.8 million in 2025, $75.7 million in 2026, $73.7 million in 2027 and $499.8 million thereafter.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Non-Operating Income and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non-operating income and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w w:val="85"/>
              </w:rPr>
              <w:t>2021</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(23,891)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(26,078)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from the sale of business</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42,197</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9,903</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non-operating income and expense</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for the six months ended June 30, 2022 decreased by $0.2 million as compared to the same period last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expense for the six months ended June 30, 2022 decreased by $2.2 million as compared to the same period last year primarily from a lower outstanding borrowing on the Senior Secured Credit Facility.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from the sale of business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January 4, 2021, the Company completed its sale of its Extremity Orthopedics business and recognized a gain of $42.2 million for the six months ended June 30, 2021.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net for the six months ended June 30, 2022, increased by $4.5 million compared to the same period in the prior year primarily due to lower income associated with the transition services agreement from the divestiture of the Extremity Orthopedics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90,890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112,102</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460" w:type="dxa"/>
            <w:vAlign w:val="bottom"/>
          </w:tcPr>
          <w:p>
            <w:pPr>
              <w:spacing w:after="0"/>
              <w:rPr>
                <w:sz w:val="17"/>
                <w:szCs w:val="17"/>
                <w:color w:val="auto"/>
              </w:rPr>
            </w:pPr>
          </w:p>
        </w:tc>
        <w:tc>
          <w:tcPr>
            <w:tcW w:w="14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13,201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31,640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Effective tax rate</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28.2 %</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effective income tax rates for the six months ended June 30, 2022 and 2021 were 14.5% and 28.2%, respectively.</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six months ended June 30, 2022, the primary driver of the tax rate is a $5.7 million benefit related to excess tax benefits from stock compensation. For the six months ended June 30, 2021, the primary driver of the higher tax rate is the tax impact of the gain on sale of the Extremity Orthopedics business,which closed during the first quarter of 2021.</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would increase the Company’s U.S. federal income tax liability. Further, legislation in foreign jurisdictions may be enacted, in response to the BEPS project begun by the OECD. The OECD recently finalized major reform of the international tax system with respect to a minimum tax rate. Such changes in U.S. and Non-U.S. jurisdictions could have an adverse effect on the Company’s effective tax rate.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we expect to pay in the coming year, which would be classified as current income taxes payable.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GEOGRAPHIC PRODUCT REVENUES AND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attributes revenues to geographic areas based on the location of the customer. Total revenue by major geographic area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2740" w:type="dxa"/>
            <w:vAlign w:val="bottom"/>
            <w:gridSpan w:val="4"/>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2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102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287,347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550,698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525,979</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46,862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94,256</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Asia Pacific</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43,365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91,601</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 of World</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42,067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38,227</w:t>
            </w: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020" w:type="dxa"/>
            <w:vAlign w:val="bottom"/>
            <w:tcBorders>
              <w:bottom w:val="single" w:sz="8" w:color="auto"/>
            </w:tcBorders>
            <w:shd w:val="clear" w:color="auto" w:fill="CCEEFF"/>
          </w:tcPr>
          <w:p>
            <w:pPr>
              <w:jc w:val="right"/>
              <w:ind w:right="84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397,815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389,992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774,453</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750,063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Domestic revenues increased by $9.2 million for the three months ended June 30, 2022 compared to the same period last year. European sales decreased by $1.6 million for the three months ended June 30, 2022 compared to the same period last year. Sales to customers in Asia Pacific decreased by $0.9 million for the three months ended June 30, 2022. The Rest of World for the three months ended June 30, 2022 increased by $1.2 million compared to the same period last year. The international revenues were impacted by a $10.3 million unfavorable foreign exchange impact. Sales in Japan, China, Canada and Europe continue to drive international growth.</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Domestic revenues increased by $24.7 million for the six months ended June 30, 2022 compared to the same period last year. European sales decreased by $3.7 million for the six months ended June 30, 2022 compared to the same period last year. Sales to customers in Asia Pacific decreased by $0.5 million for the six months ended June 30, 2022. The Rest of World for the six months ended June 30, 2022 increased by $3.8 million compared to the same period last year. The international revenues were impacted by a $14.9 million unfavorable foreign exchange impact. Sales in Japan, China, Canada and Europe continue to drive international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Company's working capital as of June 30, 2022 and December 31, 2021 was $841.8 million and $813.7 million, respectively. Working capital consists of total current assets less total current liabilities as presented in the consolidated balance sheets.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Marketable Securities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had cash and cash equivalents totaling approximately $447.2 million and $513.4 million at June 30, 2022 and December 31, 2021 respectively, which are valued based on Level 1 measurements in the fair value hierarchy. At June 30, 2022, our non-U.S. subsidiaries held approximately $302.6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5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w w:val="85"/>
              </w:rPr>
              <w:t>2021</w:t>
            </w:r>
          </w:p>
        </w:tc>
        <w:tc>
          <w:tcPr>
            <w:tcW w:w="0" w:type="dxa"/>
            <w:vAlign w:val="bottom"/>
          </w:tcPr>
          <w:p>
            <w:pPr>
              <w:spacing w:after="0"/>
              <w:rPr>
                <w:sz w:val="1"/>
                <w:szCs w:val="1"/>
                <w:color w:val="auto"/>
              </w:rPr>
            </w:pPr>
          </w:p>
        </w:tc>
      </w:tr>
      <w:tr>
        <w:trPr>
          <w:trHeight w:val="20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160,371</w:t>
            </w:r>
          </w:p>
        </w:tc>
        <w:tc>
          <w:tcPr>
            <w:tcW w:w="0" w:type="dxa"/>
            <w:vAlign w:val="bottom"/>
          </w:tcPr>
          <w:p>
            <w:pPr>
              <w:spacing w:after="0"/>
              <w:rPr>
                <w:sz w:val="1"/>
                <w:szCs w:val="1"/>
                <w:color w:val="auto"/>
              </w:rPr>
            </w:pP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(18,565)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(125,483)</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(100,490)</w:t>
            </w:r>
          </w:p>
        </w:tc>
        <w:tc>
          <w:tcPr>
            <w:tcW w:w="0" w:type="dxa"/>
            <w:vAlign w:val="bottom"/>
          </w:tcPr>
          <w:p>
            <w:pPr>
              <w:spacing w:after="0"/>
              <w:rPr>
                <w:sz w:val="1"/>
                <w:szCs w:val="1"/>
                <w:color w:val="auto"/>
              </w:rPr>
            </w:pPr>
          </w:p>
        </w:tc>
      </w:tr>
      <w:tr>
        <w:trPr>
          <w:trHeight w:val="201"/>
        </w:trPr>
        <w:tc>
          <w:tcPr>
            <w:tcW w:w="7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fluctuations on cash</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Provided by Operating Activities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Operating cash flows for the six months ended June 30, 2022 decreased by $49.5 million compared to the same period in 2021. Net income after removing the impact of the gain on sale of business and non-cash adjustments increased for the six months ended June 30, 2022 by approximately $34.4 million as compared to the same period in 2021 primarily due to earnings from higher revenues. The changes in assets and liabilities, net of business acquisitions, decreased cash flows by $46.5 million in 2022 as compared to the increase of $37.5 million for the same period in 2021. The change in 2022 is mainly attributable to increases in inventory and accounts receivable due to higher revenues and decrease in accrued expenses and other current liabilities due to increased payments processed in the quarter. The changes in 2021 were primarily attributable to a reduction in inventories mainly driven by higher revenues in the first half of 2021, an increase in accounts payables, accrued expenses and other current liabilities partially offset by an increase in accounts receivable due to continued collection efforts.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Operating cash flows for the six months ended June 30, 2021 increased by $106.4 million compared to the same period in 2020. Net income after removing the impact of the gain on sale of business and non-cash adjustments increased for the six months ended June 30, 2021 by approximately $32.9 million as compared to the same period in 2020 primarily due to the revenue recovery in the current year as compared to the height of the COVID-19 pandemic in the first half of the 2020. The changes in assets and liabilities, net of business acquisitions, increased cash flows by $37.5 million in 2021 as compared to the decrease of $36.1 million for the same period in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Investing Activities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2022, the Company paid $18.7 million for capital expenditures to support operations improvement initiatives at a number of our manufacturing facilities and other information technology investments as well as the final $4.7 million payment related to the final developmental milestone for Rebound Therapeutics Corporation. This was partially offset by $4.9 million proceeds on cross-currency swaps designated as net investment hedge.</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2021, we paid a net cash amount of $303.9 million in relation to the acquisition of ACell Inc. and received net proceeds of $191.7 million for the sale of the Extremity Orthopedics business. The Company also paid for $13.3 million capital expenditures to support operations improvement initiatives at a number of our manufacturing facilities and other information technology investments.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Financing Activities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Uses of cash from financing activities in the six months ended June 30, 2022 related to the repurchase of treasury stock of $125.0 million under the 2022 accelerated share repurchase agreement. In addition, the Company had $23.2 million in cash taxes paid for net equity settlements as a result of the departure of the former chief executive officer of the Company.</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Uses of cash from financing activities in the six months ended June 30, 2021 were repayments of $102.2 million under our Senior Credit Facility and Securitization Facility. In addition, the Company had $3.8 million in cash taxes paid in net equity settlement. These uses were offset by $3.6 million proceeds from the exercise of stock options and $2.2 million borrowings under our Securitization Facility.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Senior Credit Agreement, Convertible Senior Notes, Securitization and Related Hedging Activities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See Note 7</w:t>
      </w:r>
      <w:r>
        <w:rPr>
          <w:rFonts w:ascii="Times New Roman" w:cs="Times New Roman" w:eastAsia="Times New Roman" w:hAnsi="Times New Roman"/>
          <w:sz w:val="17"/>
          <w:szCs w:val="17"/>
          <w:i w:val="1"/>
          <w:iCs w:val="1"/>
          <w:color w:val="auto"/>
        </w:rPr>
        <w:t>, Debt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Consolidated Financial Statements (Part I, Item 1 of this Form 10-Q) for a discussion of our Amended and Restated Senior Credit Agreement, the 2025 Notes and Securitization Facility and Note 8, </w:t>
      </w:r>
      <w:r>
        <w:rPr>
          <w:rFonts w:ascii="Times New Roman" w:cs="Times New Roman" w:eastAsia="Times New Roman" w:hAnsi="Times New Roman"/>
          <w:sz w:val="17"/>
          <w:szCs w:val="17"/>
          <w:i w:val="1"/>
          <w:iCs w:val="1"/>
          <w:color w:val="auto"/>
        </w:rPr>
        <w:t>Derivative Instruments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Consolidated Financial Statements (Part I, Item 1 of this Form 10-Q) for discussion of our hedging activities. We are forecasting that sales and earnings for the next twelve months will be sufficient to remain in compliance with our financial covenants under the terms of the February 2020 Amendment to the Senior Credit Facility.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Plan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26, 2022, the Board of Directors authorized the Company to repurchase up to $225.0 million of the Company’s common stock. The program allows the Company to repurchase its shares opportunistically from time to time. The repurchase authorization expires in December 2024. This stock repurchase authorization replaces the previous $225 million stock repurchase authorization, of which $100 million remained authorized at the time of its replacement, and which was otherwise set to expire on December 31, 2022. Purchases may be affected through one or more open market transactions, privately negotiated transactions, transactions structured through investment banking institutions, or a combination of the foregoing</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2022, the Company entered into a $125.0 million accelerated share repurchase ("2022 ASR") and received 1.48 million shares of the Company common stock at inception, which represented approximately 80% of the expected total shares. On March 24, 2022, the early exercise provision was exercised by 2022 ASR counterparty. Upon settlement on March 24, 2022, the Company received an additional 0.46 million shares determined using the volume-weighted average price of the Company's common stock during the term of the 2022 ASR.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160"/>
        <w:spacing w:after="0" w:line="382" w:lineRule="auto"/>
        <w:rPr>
          <w:sz w:val="20"/>
          <w:szCs w:val="20"/>
          <w:color w:val="auto"/>
        </w:rPr>
      </w:pPr>
      <w:r>
        <w:rPr>
          <w:rFonts w:ascii="Times New Roman" w:cs="Times New Roman" w:eastAsia="Times New Roman" w:hAnsi="Times New Roman"/>
          <w:sz w:val="17"/>
          <w:szCs w:val="17"/>
          <w:color w:val="auto"/>
        </w:rPr>
        <w:t xml:space="preserve">See Note 12, </w:t>
      </w:r>
      <w:r>
        <w:rPr>
          <w:rFonts w:ascii="Times New Roman" w:cs="Times New Roman" w:eastAsia="Times New Roman" w:hAnsi="Times New Roman"/>
          <w:sz w:val="17"/>
          <w:szCs w:val="17"/>
          <w:i w:val="1"/>
          <w:iCs w:val="1"/>
          <w:color w:val="auto"/>
        </w:rPr>
        <w:t>Treasury Stock</w:t>
      </w:r>
      <w:r>
        <w:rPr>
          <w:rFonts w:ascii="Times New Roman" w:cs="Times New Roman" w:eastAsia="Times New Roman" w:hAnsi="Times New Roman"/>
          <w:sz w:val="17"/>
          <w:szCs w:val="17"/>
          <w:color w:val="auto"/>
        </w:rPr>
        <w:t xml:space="preserve"> of the Notes to Consolidated Financial Statements (Part I, Item 1 of this Form 10-Q) for further details. </w:t>
      </w:r>
      <w:r>
        <w:rPr>
          <w:rFonts w:ascii="Times New Roman" w:cs="Times New Roman" w:eastAsia="Times New Roman" w:hAnsi="Times New Roman"/>
          <w:sz w:val="17"/>
          <w:szCs w:val="17"/>
          <w:b w:val="1"/>
          <w:bCs w:val="1"/>
          <w:color w:val="auto"/>
        </w:rPr>
        <w:t>Dividend Policy</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do not have any off–balance sheet financing arrangements during the six months ended June 30, 2022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obligations include principal and interest payments on revolving portion and Term Loan component of the Senior Credit Facility, Securitization Facility and Convertible Securities. See Note 7</w:t>
      </w:r>
      <w:r>
        <w:rPr>
          <w:rFonts w:ascii="Times New Roman" w:cs="Times New Roman" w:eastAsia="Times New Roman" w:hAnsi="Times New Roman"/>
          <w:sz w:val="17"/>
          <w:szCs w:val="17"/>
          <w:i w:val="1"/>
          <w:iCs w:val="1"/>
          <w:color w:val="auto"/>
        </w:rPr>
        <w:t>, Debt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Consolidated Financial Statements (Part I, Item 1 of this Form 10-Q) for details. The Company also leases some of our manufacturing facilities and office buildings which have future minimum lease payments associated. See Note 11, </w:t>
      </w:r>
      <w:r>
        <w:rPr>
          <w:rFonts w:ascii="Times New Roman" w:cs="Times New Roman" w:eastAsia="Times New Roman" w:hAnsi="Times New Roman"/>
          <w:sz w:val="17"/>
          <w:szCs w:val="17"/>
          <w:i w:val="1"/>
          <w:iCs w:val="1"/>
          <w:color w:val="auto"/>
        </w:rPr>
        <w:t>Leases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Related Party Leases </w:t>
      </w:r>
      <w:r>
        <w:rPr>
          <w:rFonts w:ascii="Times New Roman" w:cs="Times New Roman" w:eastAsia="Times New Roman" w:hAnsi="Times New Roman"/>
          <w:sz w:val="17"/>
          <w:szCs w:val="17"/>
          <w:color w:val="auto"/>
        </w:rPr>
        <w:t>to the Notes to Consolidated Financial Statements (Part I, Item 1 of this Form 10-Q) for a schedule of our future minimum lease payments.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related to the Company's other obligations, including employment agreements and purchase obligations were not material.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has contingent consideration obligation related to prior and current year acquisitions and future pension contribution obligations. See Note 10, </w:t>
      </w:r>
      <w:r>
        <w:rPr>
          <w:rFonts w:ascii="Times New Roman" w:cs="Times New Roman" w:eastAsia="Times New Roman" w:hAnsi="Times New Roman"/>
          <w:sz w:val="17"/>
          <w:szCs w:val="17"/>
          <w:i w:val="1"/>
          <w:iCs w:val="1"/>
          <w:color w:val="auto"/>
        </w:rPr>
        <w:t xml:space="preserve">Defined Benefit Plans </w:t>
      </w:r>
      <w:r>
        <w:rPr>
          <w:rFonts w:ascii="Times New Roman" w:cs="Times New Roman" w:eastAsia="Times New Roman" w:hAnsi="Times New Roman"/>
          <w:sz w:val="17"/>
          <w:szCs w:val="17"/>
          <w:color w:val="auto"/>
        </w:rPr>
        <w:t>and Note 17,</w:t>
      </w:r>
      <w:r>
        <w:rPr>
          <w:rFonts w:ascii="Times New Roman" w:cs="Times New Roman" w:eastAsia="Times New Roman" w:hAnsi="Times New Roman"/>
          <w:sz w:val="17"/>
          <w:szCs w:val="17"/>
          <w:i w:val="1"/>
          <w:iCs w:val="1"/>
          <w:color w:val="auto"/>
        </w:rPr>
        <w:t xml:space="preserve"> Commitments and Contingencies </w:t>
      </w:r>
      <w:r>
        <w:rPr>
          <w:rFonts w:ascii="Times New Roman" w:cs="Times New Roman" w:eastAsia="Times New Roman" w:hAnsi="Times New Roman"/>
          <w:sz w:val="17"/>
          <w:szCs w:val="17"/>
          <w:color w:val="auto"/>
        </w:rPr>
        <w:t>to the Notes to Consolidated Financial Statements (Part I, Item 1 of this Form 10-Q)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details. The associated obligations are not fixed. The Company also has a liability for uncertain tax benefits including interest and penalties. See Note 13, </w:t>
      </w:r>
      <w:r>
        <w:rPr>
          <w:rFonts w:ascii="Times New Roman" w:cs="Times New Roman" w:eastAsia="Times New Roman" w:hAnsi="Times New Roman"/>
          <w:sz w:val="17"/>
          <w:szCs w:val="17"/>
          <w:i w:val="1"/>
          <w:iCs w:val="1"/>
          <w:color w:val="auto"/>
        </w:rPr>
        <w:t>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Taxes </w:t>
      </w:r>
      <w:r>
        <w:rPr>
          <w:rFonts w:ascii="Times New Roman" w:cs="Times New Roman" w:eastAsia="Times New Roman" w:hAnsi="Times New Roman"/>
          <w:sz w:val="17"/>
          <w:szCs w:val="17"/>
          <w:color w:val="auto"/>
        </w:rPr>
        <w:t>to the Notes to Consolidated Financial Statements (Part I, Item 1 of this Form 10-Q) for details. The Company cannot make a reliable estimate of the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which the uncertain tax benefits may be realized.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Termination Benefits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Company incurred restructuring costs related to employee terminations associated with a plant closure and with future outsourcing plans for select transactional back office activities in the consolidated statement of operations for the six months ended June 30, 2022. Restructuring costs were included in accrued expenses and other current liabilities in the consolidated balance sheet for the six months ended June 30, 2022 and year ended December 31, 2021. See Note 1, </w:t>
      </w:r>
      <w:r>
        <w:rPr>
          <w:rFonts w:ascii="Times New Roman" w:cs="Times New Roman" w:eastAsia="Times New Roman" w:hAnsi="Times New Roman"/>
          <w:sz w:val="17"/>
          <w:szCs w:val="17"/>
          <w:i w:val="1"/>
          <w:iCs w:val="1"/>
          <w:color w:val="auto"/>
        </w:rPr>
        <w:t>Basis of Presentation</w:t>
      </w:r>
      <w:r>
        <w:rPr>
          <w:rFonts w:ascii="Times New Roman" w:cs="Times New Roman" w:eastAsia="Times New Roman" w:hAnsi="Times New Roman"/>
          <w:sz w:val="17"/>
          <w:szCs w:val="17"/>
          <w:color w:val="auto"/>
        </w:rPr>
        <w:t xml:space="preserve"> of the Notes to Consolidated Financial Statements (Part I, Item 1 of this Form 10-Q) for additional details.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critical accounting estimates included in the Company's Annual Report on Form 10-K for the fiscal year ended December 31, 2021 have not materially changed.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Information regarding new accounting pronouncements is included in Note 1, </w:t>
      </w:r>
      <w:r>
        <w:rPr>
          <w:rFonts w:ascii="Times New Roman" w:cs="Times New Roman" w:eastAsia="Times New Roman" w:hAnsi="Times New Roman"/>
          <w:sz w:val="17"/>
          <w:szCs w:val="17"/>
          <w:i w:val="1"/>
          <w:iCs w:val="1"/>
          <w:color w:val="auto"/>
        </w:rPr>
        <w:t>Basis of Presentation</w:t>
      </w:r>
      <w:r>
        <w:rPr>
          <w:rFonts w:ascii="Times New Roman" w:cs="Times New Roman" w:eastAsia="Times New Roman" w:hAnsi="Times New Roman"/>
          <w:sz w:val="17"/>
          <w:szCs w:val="17"/>
          <w:color w:val="auto"/>
        </w:rPr>
        <w:t xml:space="preserve"> to the current period’s condensed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and Other Rate Risks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8, </w:t>
      </w:r>
      <w:r>
        <w:rPr>
          <w:rFonts w:ascii="Times New Roman" w:cs="Times New Roman" w:eastAsia="Times New Roman" w:hAnsi="Times New Roman"/>
          <w:sz w:val="17"/>
          <w:szCs w:val="17"/>
          <w:i w:val="1"/>
          <w:iCs w:val="1"/>
          <w:color w:val="auto"/>
        </w:rPr>
        <w:t>Derivative Instruments</w:t>
      </w:r>
      <w:r>
        <w:rPr>
          <w:rFonts w:ascii="Times New Roman" w:cs="Times New Roman" w:eastAsia="Times New Roman" w:hAnsi="Times New Roman"/>
          <w:sz w:val="17"/>
          <w:szCs w:val="17"/>
          <w:color w:val="auto"/>
        </w:rPr>
        <w:t xml:space="preserve"> of the Notes to Consolidated Financial Statements (Part I, Item 1 of this Form 10-Q) for further information.</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results of operations discussed herein have not been materially affected by inflation.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u w:val="single" w:color="auto"/>
          <w:color w:val="auto"/>
        </w:rPr>
        <w:t>Cash and Cash Equivalents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We are exposed to the risk of interest rate fluctuations on the interest income earned on our cash and cash equivalents. A hypothetical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100 basis points movement in interest rates applicable to our cash and cash equivalents outstanding at June 30, 2022 would increase interest income by approximately $4.5 million on an annual basis. We are subject to foreign currency exchange risk with respect to cash balances maintained in foreign currencies.</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Our interest rate risk relates primarily to U.S. dollar LIBOR-indexed borrowings. We use interest rate swap derivative instruments to manage our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cash flow exposure to changes in interest rates. These interest rate swaps fix the interest rate on a portion of our expected LIBOR-indexed floating-rate borrowings. These interest rate swaps were designated as cash flow hedges as of June 30, 2022. The total notional amounts related to the Company’s interest rate swaps were $1.8 billion with $875.0 million effective as of June 30, 2022. Based on our outstanding borrowings at June 30, 2022, a 100 basis points change in interest rates would have impacted interest expense on the unhedged portion of the debt by $1.1 million on an annualized basis. See Note 8, </w:t>
      </w:r>
      <w:r>
        <w:rPr>
          <w:rFonts w:ascii="Times New Roman" w:cs="Times New Roman" w:eastAsia="Times New Roman" w:hAnsi="Times New Roman"/>
          <w:sz w:val="17"/>
          <w:szCs w:val="17"/>
          <w:i w:val="1"/>
          <w:iCs w:val="1"/>
          <w:color w:val="auto"/>
        </w:rPr>
        <w:t>Derivative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for the details of interest rate swaps.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June 30, 2022. Based upon this evaluation, our principal executive officer and principal financial officer concluded that our disclosure controls and procedures were effective as of June 30, 2022 to provide such reasonable assurance.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under the Exchange Act) that occurred during the quarter ended June 30, 2022 that have materially affected, or are reasonably likely to materially affect, our internal control over financial reporting.</w:t>
      </w:r>
    </w:p>
    <w:p>
      <w:pPr>
        <w:spacing w:after="0" w:line="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pertaining to legal proceedings can be found in Note 17, </w:t>
      </w:r>
      <w:r>
        <w:rPr>
          <w:rFonts w:ascii="Times New Roman" w:cs="Times New Roman" w:eastAsia="Times New Roman" w:hAnsi="Times New Roman"/>
          <w:sz w:val="17"/>
          <w:szCs w:val="17"/>
          <w:i w:val="1"/>
          <w:iCs w:val="1"/>
          <w:color w:val="auto"/>
        </w:rPr>
        <w:t>Commitment and Contingencies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212529"/>
        </w:rPr>
        <w:t xml:space="preserve">There have been no material changes in the Company's risk factors included in our Annual Report on Form 10-K for the fiscal year ended </w:t>
      </w:r>
      <w:r>
        <w:rPr>
          <w:rFonts w:ascii="Times New Roman" w:cs="Times New Roman" w:eastAsia="Times New Roman" w:hAnsi="Times New Roman"/>
          <w:sz w:val="17"/>
          <w:szCs w:val="17"/>
          <w:color w:val="000000"/>
        </w:rPr>
        <w:t>December 31, 2021</w:t>
      </w:r>
      <w:r>
        <w:rPr>
          <w:rFonts w:ascii="Times New Roman" w:cs="Times New Roman" w:eastAsia="Times New Roman" w:hAnsi="Times New Roman"/>
          <w:sz w:val="17"/>
          <w:szCs w:val="17"/>
          <w:color w:val="212529"/>
        </w:rPr>
        <w:t xml:space="preserve"> and subsequent periodic reports filed with the Securities and Exchange Commission pursuant to the Securities Exchange Act of 1934, as amended (the "Exchange Act").</w:t>
      </w:r>
    </w:p>
    <w:p>
      <w:pPr>
        <w:spacing w:after="0" w:line="161" w:lineRule="exact"/>
        <w:rPr>
          <w:sz w:val="20"/>
          <w:szCs w:val="20"/>
          <w:color w:val="auto"/>
        </w:rPr>
      </w:pPr>
    </w:p>
    <w:p>
      <w:pPr>
        <w:ind w:right="44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2. UNREGISTERED SALES OF EQUITY SECURITIES AND USE OF PROCEEDS </w:t>
      </w:r>
      <w:r>
        <w:rPr>
          <w:rFonts w:ascii="Times New Roman" w:cs="Times New Roman" w:eastAsia="Times New Roman" w:hAnsi="Times New Roman"/>
          <w:sz w:val="17"/>
          <w:szCs w:val="17"/>
          <w:color w:val="auto"/>
        </w:rPr>
        <w:t>Not applicable.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5"/>
              </w:rPr>
              <w:t>Exhibits</w:t>
            </w:r>
          </w:p>
        </w:tc>
        <w:tc>
          <w:tcPr>
            <w:tcW w:w="7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02"/>
        </w:trPr>
        <w:tc>
          <w:tcPr>
            <w:tcW w:w="6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460" w:type="dxa"/>
            <w:vAlign w:val="bottom"/>
          </w:tcPr>
          <w:p>
            <w:pPr>
              <w:spacing w:after="0"/>
              <w:rPr>
                <w:sz w:val="24"/>
                <w:szCs w:val="24"/>
                <w:color w:val="auto"/>
              </w:rPr>
            </w:pPr>
          </w:p>
        </w:tc>
        <w:tc>
          <w:tcPr>
            <w:tcW w:w="7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Section 302 of the Sarbanes-Oxley Act of 2002</w:t>
            </w:r>
          </w:p>
        </w:tc>
        <w:tc>
          <w:tcPr>
            <w:tcW w:w="2500" w:type="dxa"/>
            <w:vAlign w:val="bottom"/>
          </w:tcPr>
          <w:p>
            <w:pPr>
              <w:spacing w:after="0"/>
              <w:rPr>
                <w:sz w:val="24"/>
                <w:szCs w:val="24"/>
                <w:color w:val="auto"/>
              </w:rPr>
            </w:pPr>
          </w:p>
        </w:tc>
      </w:tr>
      <w:tr>
        <w:trPr>
          <w:trHeight w:val="302"/>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4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Section 302 of the Sarbanes-Oxley Act of 2002</w:t>
            </w:r>
          </w:p>
        </w:tc>
      </w:tr>
      <w:tr>
        <w:trPr>
          <w:trHeight w:val="20"/>
        </w:trPr>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6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302"/>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460" w:type="dxa"/>
            <w:vAlign w:val="bottom"/>
          </w:tcPr>
          <w:p>
            <w:pPr>
              <w:spacing w:after="0"/>
              <w:rPr>
                <w:sz w:val="24"/>
                <w:szCs w:val="24"/>
                <w:color w:val="auto"/>
              </w:rPr>
            </w:pPr>
          </w:p>
        </w:tc>
        <w:tc>
          <w:tcPr>
            <w:tcW w:w="7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Section 906 of the Sarbanes-Oxley Act of 2002</w:t>
            </w:r>
          </w:p>
        </w:tc>
        <w:tc>
          <w:tcPr>
            <w:tcW w:w="2500" w:type="dxa"/>
            <w:vAlign w:val="bottom"/>
          </w:tcPr>
          <w:p>
            <w:pPr>
              <w:spacing w:after="0"/>
              <w:rPr>
                <w:sz w:val="24"/>
                <w:szCs w:val="24"/>
                <w:color w:val="auto"/>
              </w:rPr>
            </w:pPr>
          </w:p>
        </w:tc>
      </w:tr>
      <w:tr>
        <w:trPr>
          <w:trHeight w:val="302"/>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4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Section 906 of the Sarbanes-Oxley Act of 2002</w:t>
            </w:r>
          </w:p>
        </w:tc>
      </w:tr>
      <w:tr>
        <w:trPr>
          <w:trHeight w:val="20"/>
        </w:trPr>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6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289"/>
        </w:trPr>
        <w:tc>
          <w:tcPr>
            <w:tcW w:w="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*†101.INS</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w:t>
            </w:r>
          </w:p>
        </w:tc>
      </w:tr>
      <w:tr>
        <w:trPr>
          <w:trHeight w:val="223"/>
        </w:trPr>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332"/>
        </w:trPr>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*†101.SCH</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322"/>
        </w:trPr>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w w:val="99"/>
              </w:rPr>
              <w:t>*†101.CAL</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322"/>
        </w:trPr>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*†101.DEF</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Definition Linkbase Document</w:t>
            </w:r>
          </w:p>
        </w:tc>
      </w:tr>
      <w:tr>
        <w:trPr>
          <w:trHeight w:val="322"/>
        </w:trPr>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w w:val="99"/>
              </w:rPr>
              <w:t>*†101.LAB</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tc>
      </w:tr>
      <w:tr>
        <w:trPr>
          <w:trHeight w:val="322"/>
        </w:trPr>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*†101.PRE</w:t>
            </w:r>
          </w:p>
        </w:tc>
        <w:tc>
          <w:tcPr>
            <w:tcW w:w="9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bl>
    <w:p>
      <w:pPr>
        <w:spacing w:after="0" w:line="99" w:lineRule="exact"/>
        <w:rPr>
          <w:sz w:val="20"/>
          <w:szCs w:val="20"/>
          <w:color w:val="auto"/>
        </w:rPr>
      </w:pPr>
    </w:p>
    <w:p>
      <w:pPr>
        <w:ind w:left="1540" w:hanging="516"/>
        <w:spacing w:after="0"/>
        <w:tabs>
          <w:tab w:leader="none" w:pos="1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640"/>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ind w:left="660" w:hanging="640"/>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w:t>
      </w:r>
    </w:p>
    <w:p>
      <w:pPr>
        <w:spacing w:after="0" w:line="24" w:lineRule="exact"/>
        <w:rPr>
          <w:sz w:val="20"/>
          <w:szCs w:val="20"/>
          <w:color w:val="auto"/>
        </w:rPr>
      </w:pPr>
    </w:p>
    <w:p>
      <w:pPr>
        <w:ind w:left="660" w:hanging="640"/>
        <w:spacing w:after="0" w:line="221"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information of Integra LifeSciences Holdings Corporation Quarterly Report on Form 10-Q for the quarter ended June 30, 2022 filed on July 27, 2022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3"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INTEGRA LIFESCIENCES HOLDINGS CORPORATION</w:t>
            </w:r>
          </w:p>
        </w:tc>
      </w:tr>
      <w:tr>
        <w:trPr>
          <w:trHeight w:val="47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27, 2022</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Jan De Witte</w:t>
            </w:r>
          </w:p>
        </w:tc>
      </w:tr>
      <w:tr>
        <w:trPr>
          <w:trHeight w:val="209"/>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 De Witte</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3"/>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27, 2022</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Carrie L. Anderson</w:t>
            </w:r>
          </w:p>
        </w:tc>
      </w:tr>
      <w:tr>
        <w:trPr>
          <w:trHeight w:val="209"/>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3"/>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27, 2022</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A. Mosebrook</w:t>
            </w:r>
          </w:p>
        </w:tc>
      </w:tr>
      <w:tr>
        <w:trPr>
          <w:trHeight w:val="209"/>
        </w:trPr>
        <w:tc>
          <w:tcPr>
            <w:tcW w:w="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A. Mosebrook</w:t>
            </w:r>
          </w:p>
        </w:tc>
      </w:tr>
      <w:tr>
        <w:trPr>
          <w:trHeight w:val="219"/>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Finance</w:t>
            </w:r>
          </w:p>
        </w:tc>
      </w:tr>
      <w:tr>
        <w:trPr>
          <w:trHeight w:val="223"/>
        </w:trPr>
        <w:tc>
          <w:tcPr>
            <w:tcW w:w="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ectPr>
          <w:pgSz w:w="11900" w:h="16838" w:orient="portrait"/>
          <w:cols w:equalWidth="0" w:num="1">
            <w:col w:w="11240"/>
          </w:cols>
          <w:pgMar w:left="320" w:top="11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Jan De Witte, certify that:</w:t>
      </w:r>
    </w:p>
    <w:p>
      <w:pPr>
        <w:spacing w:after="0" w:line="114"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Integra LifeSciences Holdings Corporation;</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1240" w:hanging="309"/>
        <w:spacing w:after="0" w:line="287" w:lineRule="auto"/>
        <w:tabs>
          <w:tab w:leader="none" w:pos="123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8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hanging="309"/>
        <w:spacing w:after="0" w:line="287" w:lineRule="auto"/>
        <w:tabs>
          <w:tab w:leader="none" w:pos="123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hanging="309"/>
        <w:spacing w:after="0" w:line="287" w:lineRule="auto"/>
        <w:tabs>
          <w:tab w:leader="none" w:pos="123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July 27, 2022</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Jan De Witte</w:t>
            </w:r>
          </w:p>
        </w:tc>
      </w:tr>
      <w:tr>
        <w:trPr>
          <w:trHeight w:val="205"/>
        </w:trPr>
        <w:tc>
          <w:tcPr>
            <w:tcW w:w="6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 De Witte</w:t>
            </w:r>
          </w:p>
        </w:tc>
      </w:tr>
      <w:tr>
        <w:trPr>
          <w:trHeight w:val="227"/>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Carrie L. Anderson, certify that:</w:t>
      </w:r>
    </w:p>
    <w:p>
      <w:pPr>
        <w:spacing w:after="0" w:line="114"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Integra LifeSciences Holdings Corporation;</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1240" w:hanging="309"/>
        <w:spacing w:after="0" w:line="287" w:lineRule="auto"/>
        <w:tabs>
          <w:tab w:leader="none" w:pos="123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8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hanging="309"/>
        <w:spacing w:after="0" w:line="287" w:lineRule="auto"/>
        <w:tabs>
          <w:tab w:leader="none" w:pos="123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hanging="309"/>
        <w:spacing w:after="0" w:line="287" w:lineRule="auto"/>
        <w:tabs>
          <w:tab w:leader="none" w:pos="123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July 27, 2022</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Carrie L. Anderson</w:t>
            </w:r>
          </w:p>
        </w:tc>
      </w:tr>
      <w:tr>
        <w:trPr>
          <w:trHeight w:val="205"/>
        </w:trPr>
        <w:tc>
          <w:tcPr>
            <w:tcW w:w="6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27"/>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Jan De Witte, President and Chief Executive Officer of Integra LifeSciences Holdings Corporation (the “Company”), hereby certify that, to my knowledge:</w:t>
      </w:r>
    </w:p>
    <w:p>
      <w:pPr>
        <w:spacing w:after="0" w:line="114" w:lineRule="exact"/>
        <w:rPr>
          <w:sz w:val="20"/>
          <w:szCs w:val="20"/>
          <w:color w:val="auto"/>
        </w:rPr>
      </w:pPr>
    </w:p>
    <w:p>
      <w:pPr>
        <w:ind w:left="620" w:hanging="307"/>
        <w:spacing w:after="0" w:line="287"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2022 (the “Report”) fully complies with the requirement of Section 13(a) or Section 15(d), as applicable, of the Securities Exchange Act of 1934, as amended;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27, 2022</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Jan De Witte</w:t>
            </w:r>
          </w:p>
        </w:tc>
      </w:tr>
      <w:tr>
        <w:trPr>
          <w:trHeight w:val="205"/>
        </w:trPr>
        <w:tc>
          <w:tcPr>
            <w:tcW w:w="5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 De Witte</w:t>
            </w:r>
          </w:p>
        </w:tc>
      </w:tr>
      <w:tr>
        <w:trPr>
          <w:trHeight w:val="227"/>
        </w:trPr>
        <w:tc>
          <w:tcPr>
            <w:tcW w:w="5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 Carrie L. Anderson, Executive Vice President and Chief Financial Officer of Integra LifeSciences Holdings Corporation (the “Company”), hereby certify that, to my knowledge:</w:t>
      </w:r>
    </w:p>
    <w:p>
      <w:pPr>
        <w:spacing w:after="0" w:line="48" w:lineRule="exact"/>
        <w:rPr>
          <w:sz w:val="20"/>
          <w:szCs w:val="20"/>
          <w:color w:val="auto"/>
        </w:rPr>
      </w:pPr>
    </w:p>
    <w:p>
      <w:pPr>
        <w:ind w:left="620" w:hanging="307"/>
        <w:spacing w:after="0" w:line="287"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2022 (the “Report”) fully complies with the requirement of Section 13(a) or Section 15(d), as applicable, of the Securities Exchange Act of 1934, as amended;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July 27, 2022</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Carrie L. Anderson</w:t>
            </w:r>
          </w:p>
        </w:tc>
      </w:tr>
      <w:tr>
        <w:trPr>
          <w:trHeight w:val="205"/>
        </w:trPr>
        <w:tc>
          <w:tcPr>
            <w:tcW w:w="5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27"/>
        </w:trPr>
        <w:tc>
          <w:tcPr>
            <w:tcW w:w="5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Roman"/>
      <w:start w:val="1"/>
    </w:lvl>
    <w:lvl w:ilvl="1">
      <w:lvlJc w:val="left"/>
      <w:lvlText w:val="%2."/>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04"/>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2022-07-27T16:11:29Z</dcterms:created>
  <dcterms:modified xsi:type="dcterms:W3CDTF">2022-07-27T16:11:29Z</dcterms:modified>
</cp:coreProperties>
</file>