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0564.xml.htm"/>
      <w:bookmarkStart w:id="1" w:name="kswkform4_17833705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Singh Harvinder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CAMPUS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INTEGRA LIFESCIENCES HOLDINGS CORP</w:t>
              </w:r>
            </w:hyperlink>
            <w:r>
              <w:rPr/>
              <w:t xml:space="preserve"> [ </w:t>
            </w:r>
            <w:r>
              <w:rPr>
                <w:rFonts w:ascii="Times;serif" w:hAnsi="Times;serif"/>
                <w:color w:val="0000FF"/>
                <w:sz w:val="24"/>
                <w:shd w:fill="FFFFFF" w:val="clear"/>
              </w:rPr>
              <w:t>IART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President, SS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68,883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("RSUs") pursuant to the Integra LifeSciences Holdings Corporation Fifth Amended and Restated 2003 Equity Incentive Plan, as amended (the "Plan").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All RSUs reported in this row were granted under the Plan and will vest ratably in three equal annual installments on each of the first, second, and third anniversaries of the grant date, subject to the Reporting Person's continued service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Lesha Shinn; Attorney-in-Fact for Harvinder Singh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9782" TargetMode="External"/><Relationship Id="rId5" Type="http://schemas.openxmlformats.org/officeDocument/2006/relationships/hyperlink" Target="http://www.sec.gov/cgi-bin/browse-edgar?action=getcompany&amp;CIK=0000917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3573</Characters>
  <CharactersWithSpaces>4166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