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66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NO. 0-26224</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INTEGRA LIFESCIENCES HOLDINGS CORPORATION</w:t>
      </w:r>
    </w:p>
    <w:p>
      <w:pPr>
        <w:spacing w:after="0" w:line="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6"/>
              </w:rPr>
              <w:t>DELAWARE</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51-0317849</w:t>
            </w:r>
          </w:p>
        </w:tc>
      </w:t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4"/>
              </w:rPr>
              <w:t>(STATE OR OTHER JURISDICTION OF</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4"/>
              </w:rPr>
              <w:t>(I.R.S. EMPLOYER</w:t>
            </w:r>
          </w:p>
        </w:tc>
      </w:tr>
      <w:tr>
        <w:trPr>
          <w:trHeight w:val="230"/>
        </w:trPr>
        <w:tc>
          <w:tcPr>
            <w:tcW w:w="4400" w:type="dxa"/>
            <w:vAlign w:val="bottom"/>
          </w:tcPr>
          <w:p>
            <w:pPr>
              <w:jc w:val="center"/>
              <w:ind w:right="1110"/>
              <w:spacing w:after="0"/>
              <w:rPr>
                <w:sz w:val="20"/>
                <w:szCs w:val="20"/>
                <w:color w:val="auto"/>
              </w:rPr>
            </w:pPr>
            <w:r>
              <w:rPr>
                <w:rFonts w:ascii="Arial" w:cs="Arial" w:eastAsia="Arial" w:hAnsi="Arial"/>
                <w:sz w:val="18"/>
                <w:szCs w:val="18"/>
                <w:color w:val="auto"/>
                <w:w w:val="96"/>
              </w:rPr>
              <w:t>INCORPORATION OR ORGANIZATION)</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8"/>
              </w:rPr>
              <w:t>IDENTIFICATION NO.)</w:t>
            </w:r>
          </w:p>
        </w:tc>
      </w:tr>
      <w:tr>
        <w:trPr>
          <w:trHeight w:val="418"/>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4"/>
              </w:rPr>
              <w:t>311 ENTERPRISE DRIVE</w:t>
            </w:r>
          </w:p>
        </w:tc>
        <w:tc>
          <w:tcPr>
            <w:tcW w:w="3020" w:type="dxa"/>
            <w:vAlign w:val="bottom"/>
          </w:tcPr>
          <w:p>
            <w:pPr>
              <w:spacing w:after="0"/>
              <w:rPr>
                <w:sz w:val="24"/>
                <w:szCs w:val="24"/>
                <w:color w:val="auto"/>
              </w:rPr>
            </w:pPr>
          </w:p>
        </w:tc>
      </w:t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4"/>
              </w:rPr>
              <w:t>PLAINSBORO, NEW JERSEY</w:t>
            </w:r>
          </w:p>
        </w:tc>
        <w:tc>
          <w:tcPr>
            <w:tcW w:w="3020" w:type="dxa"/>
            <w:vAlign w:val="bottom"/>
          </w:tcPr>
          <w:p>
            <w:pPr>
              <w:spacing w:after="0"/>
              <w:rPr>
                <w:sz w:val="18"/>
                <w:szCs w:val="18"/>
                <w:color w:val="auto"/>
              </w:rPr>
            </w:pPr>
          </w:p>
        </w:tc>
      </w:t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4"/>
              </w:rPr>
              <w:t>(ADDRESS OF PRINCIPAL</w:t>
            </w:r>
          </w:p>
        </w:tc>
        <w:tc>
          <w:tcPr>
            <w:tcW w:w="3020" w:type="dxa"/>
            <w:vAlign w:val="bottom"/>
          </w:tcPr>
          <w:p>
            <w:pPr>
              <w:jc w:val="right"/>
              <w:ind w:right="610"/>
              <w:spacing w:after="0"/>
              <w:rPr>
                <w:sz w:val="20"/>
                <w:szCs w:val="20"/>
                <w:color w:val="auto"/>
              </w:rPr>
            </w:pPr>
            <w:r>
              <w:rPr>
                <w:rFonts w:ascii="Arial" w:cs="Arial" w:eastAsia="Arial" w:hAnsi="Arial"/>
                <w:sz w:val="18"/>
                <w:szCs w:val="18"/>
                <w:color w:val="auto"/>
              </w:rPr>
              <w:t>08536</w:t>
            </w:r>
          </w:p>
        </w:tc>
      </w:tr>
      <w:tr>
        <w:trPr>
          <w:trHeight w:val="230"/>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5"/>
              </w:rPr>
              <w:t>EXECUTIVE OFFICES)</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85" w:lineRule="exact"/>
        <w:rPr>
          <w:sz w:val="20"/>
          <w:szCs w:val="20"/>
          <w:color w:val="auto"/>
        </w:rPr>
      </w:pPr>
    </w:p>
    <w:p>
      <w:pPr>
        <w:jc w:val="both"/>
        <w:ind w:left="340" w:right="5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ind w:left="340"/>
        <w:spacing w:after="0" w:line="233"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0" w:lineRule="exact"/>
        <w:rPr>
          <w:sz w:val="20"/>
          <w:szCs w:val="20"/>
          <w:color w:val="auto"/>
        </w:rPr>
      </w:pPr>
    </w:p>
    <w:p>
      <w:pPr>
        <w:sectPr>
          <w:pgSz w:w="11900" w:h="16838" w:orient="portrait"/>
          <w:cols w:equalWidth="0" w:num="4">
            <w:col w:w="1940" w:space="380"/>
            <w:col w:w="1340" w:space="340"/>
            <w:col w:w="3360" w:space="200"/>
            <w:col w:w="2659"/>
          </w:cols>
          <w:pgMar w:left="240" w:top="122" w:right="1440" w:bottom="1440" w:gutter="0" w:footer="0" w:header="0"/>
          <w:type w:val="continuous"/>
        </w:sectPr>
      </w:pPr>
    </w:p>
    <w:p>
      <w:pPr>
        <w:ind w:left="340" w:right="799"/>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$.01 par value, outstanding as of August 4, 2009 was 28,437,261.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146050</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803910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60" w:type="dxa"/>
            <w:vAlign w:val="bottom"/>
            <w:gridSpan w:val="10"/>
          </w:tcPr>
          <w:p>
            <w:pPr>
              <w:jc w:val="center"/>
              <w:ind w:right="1280"/>
              <w:spacing w:after="0"/>
              <w:rPr>
                <w:sz w:val="20"/>
                <w:szCs w:val="20"/>
                <w:color w:val="auto"/>
              </w:rPr>
            </w:pPr>
            <w:r>
              <w:rPr>
                <w:rFonts w:ascii="Arial" w:cs="Arial" w:eastAsia="Arial" w:hAnsi="Arial"/>
                <w:sz w:val="18"/>
                <w:szCs w:val="18"/>
                <w:b w:val="1"/>
                <w:bCs w:val="1"/>
                <w:color w:val="auto"/>
              </w:rPr>
              <w:t>INTEGRA LIFESCIENCES HOLDINGS CORPORATION</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960" w:type="dxa"/>
            <w:vAlign w:val="bottom"/>
            <w:gridSpan w:val="7"/>
          </w:tcPr>
          <w:p>
            <w:pPr>
              <w:jc w:val="center"/>
              <w:ind w:right="330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86"/>
              </w:rPr>
              <w:t>Page Number</w:t>
            </w:r>
          </w:p>
        </w:tc>
      </w:tr>
      <w:tr>
        <w:trPr>
          <w:trHeight w:val="385"/>
        </w:trPr>
        <w:tc>
          <w:tcPr>
            <w:tcW w:w="288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5400" w:type="dxa"/>
            <w:vAlign w:val="bottom"/>
            <w:gridSpan w:val="8"/>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220" w:type="dxa"/>
            <w:vAlign w:val="bottom"/>
            <w:gridSpan w:val="11"/>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8280" w:type="dxa"/>
            <w:vAlign w:val="bottom"/>
            <w:gridSpan w:val="20"/>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 and six months ended June 30, 2009 and 2008</w:t>
              </w:r>
            </w:hyperlink>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7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340" w:type="dxa"/>
            <w:vAlign w:val="bottom"/>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412"/>
        </w:trPr>
        <w:tc>
          <w:tcPr>
            <w:tcW w:w="828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2009 and December 31, 2008 (Unaudited)</w:t>
              </w:r>
            </w:hyperlink>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2009 and 2008</w:t>
              </w:r>
            </w:hyperlink>
          </w:p>
        </w:tc>
        <w:tc>
          <w:tcPr>
            <w:tcW w:w="98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8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412"/>
        </w:trPr>
        <w:tc>
          <w:tcPr>
            <w:tcW w:w="828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412"/>
        </w:trPr>
        <w:tc>
          <w:tcPr>
            <w:tcW w:w="828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412"/>
        </w:trPr>
        <w:tc>
          <w:tcPr>
            <w:tcW w:w="49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tcPr>
          <w:p>
            <w:pPr>
              <w:spacing w:after="0"/>
              <w:rPr>
                <w:sz w:val="24"/>
                <w:szCs w:val="24"/>
                <w:color w:val="auto"/>
              </w:rPr>
            </w:pPr>
          </w:p>
        </w:tc>
        <w:tc>
          <w:tcPr>
            <w:tcW w:w="1240" w:type="dxa"/>
            <w:vAlign w:val="bottom"/>
            <w:gridSpan w:val="3"/>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12"/>
        </w:trPr>
        <w:tc>
          <w:tcPr>
            <w:tcW w:w="23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Item 4. Controls and Procedures</w:t>
              </w:r>
            </w:hyperlink>
          </w:p>
        </w:tc>
        <w:tc>
          <w:tcPr>
            <w:tcW w:w="5960" w:type="dxa"/>
            <w:vAlign w:val="bottom"/>
            <w:gridSpan w:val="10"/>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12"/>
        </w:trPr>
        <w:tc>
          <w:tcPr>
            <w:tcW w:w="828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2560" w:type="dxa"/>
            <w:vAlign w:val="bottom"/>
            <w:tcBorders>
              <w:top w:val="single" w:sz="8" w:color="0000EE"/>
            </w:tcBorders>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 Legal Proceedings</w:t>
              </w:r>
            </w:hyperlink>
          </w:p>
        </w:tc>
        <w:tc>
          <w:tcPr>
            <w:tcW w:w="5720" w:type="dxa"/>
            <w:vAlign w:val="bottom"/>
            <w:gridSpan w:val="9"/>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412"/>
        </w:trPr>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6400" w:type="dxa"/>
            <w:vAlign w:val="bottom"/>
            <w:gridSpan w:val="12"/>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412"/>
        </w:trPr>
        <w:tc>
          <w:tcPr>
            <w:tcW w:w="4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2. Unregistered Sales of Equity Securities and Use of Proceeds</w:t>
              </w:r>
            </w:hyperlink>
          </w:p>
        </w:tc>
        <w:tc>
          <w:tcPr>
            <w:tcW w:w="3380" w:type="dxa"/>
            <w:vAlign w:val="bottom"/>
            <w:gridSpan w:val="5"/>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412"/>
        </w:trPr>
        <w:tc>
          <w:tcPr>
            <w:tcW w:w="43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Item 4. Submission of Matters to a Vote of Security Holders</w:t>
              </w:r>
            </w:hyperlink>
          </w:p>
        </w:tc>
        <w:tc>
          <w:tcPr>
            <w:tcW w:w="3960" w:type="dxa"/>
            <w:vAlign w:val="bottom"/>
            <w:gridSpan w:val="7"/>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412"/>
        </w:trPr>
        <w:tc>
          <w:tcPr>
            <w:tcW w:w="828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 Exhibits</w:t>
              </w:r>
            </w:hyperlink>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412"/>
        </w:trPr>
        <w:tc>
          <w:tcPr>
            <w:tcW w:w="11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SIGNATURES</w:t>
              </w:r>
            </w:hyperlink>
          </w:p>
        </w:tc>
        <w:tc>
          <w:tcPr>
            <w:tcW w:w="40" w:type="dxa"/>
            <w:vAlign w:val="bottom"/>
            <w:tcBorders>
              <w:top w:val="single" w:sz="8" w:color="0000EE"/>
            </w:tcBorders>
          </w:tcPr>
          <w:p>
            <w:pPr>
              <w:spacing w:after="0"/>
              <w:rPr>
                <w:sz w:val="24"/>
                <w:szCs w:val="24"/>
                <w:color w:val="auto"/>
              </w:rPr>
            </w:pPr>
          </w:p>
        </w:tc>
        <w:tc>
          <w:tcPr>
            <w:tcW w:w="7140" w:type="dxa"/>
            <w:vAlign w:val="bottom"/>
            <w:gridSpan w:val="14"/>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412"/>
        </w:trPr>
        <w:tc>
          <w:tcPr>
            <w:tcW w:w="40" w:type="dxa"/>
            <w:vAlign w:val="bottom"/>
          </w:tcPr>
          <w:p>
            <w:pPr>
              <w:spacing w:after="0"/>
              <w:rPr>
                <w:sz w:val="24"/>
                <w:szCs w:val="24"/>
                <w:color w:val="auto"/>
              </w:rPr>
            </w:pPr>
          </w:p>
        </w:tc>
        <w:tc>
          <w:tcPr>
            <w:tcW w:w="8240" w:type="dxa"/>
            <w:vAlign w:val="bottom"/>
            <w:gridSpan w:val="19"/>
          </w:tcPr>
          <w:p>
            <w:pPr>
              <w:spacing w:after="0"/>
              <w:rPr>
                <w:sz w:val="20"/>
                <w:szCs w:val="20"/>
                <w:color w:val="auto"/>
              </w:rPr>
            </w:pPr>
            <w:r>
              <w:rPr>
                <w:rFonts w:ascii="Arial" w:cs="Arial" w:eastAsia="Arial" w:hAnsi="Arial"/>
                <w:sz w:val="18"/>
                <w:szCs w:val="18"/>
                <w:color w:val="0000EE"/>
              </w:rPr>
              <w:t>Exhibit 31.1</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202"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Financial Statements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amounts)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8"/>
                <w:szCs w:val="18"/>
                <w:color w:val="auto"/>
                <w:w w:val="90"/>
              </w:rPr>
              <w:t>Three Months Ended June 30,</w:t>
            </w:r>
          </w:p>
        </w:tc>
        <w:tc>
          <w:tcPr>
            <w:tcW w:w="120" w:type="dxa"/>
            <w:vAlign w:val="bottom"/>
          </w:tcPr>
          <w:p>
            <w:pPr>
              <w:spacing w:after="0"/>
              <w:rPr>
                <w:sz w:val="20"/>
                <w:szCs w:val="20"/>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Six Months Ended June 30,</w:t>
            </w: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165,725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157,198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326,675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313,206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59,805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58,159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117,953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120,371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10,302</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7,793</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20,945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15,591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68,252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63,475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134,703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125,964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6,917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5,946</w:t>
            </w: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141,820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280,518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267,872</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23,905</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24,798</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46,157</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45,334</w:t>
            </w: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(6,174)</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(6,922)</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(12,858)</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(15,489)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w:t>
            </w:r>
          </w:p>
        </w:tc>
      </w:tr>
      <w:tr>
        <w:trPr>
          <w:trHeight w:val="20"/>
        </w:trPr>
        <w:tc>
          <w:tcPr>
            <w:tcW w:w="4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4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17,384</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17,869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32,331</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32,032</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6,159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5,592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11,539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10,705</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11,225</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12,277</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20,792</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0.38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common shares outstanding (See Note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29,004</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27,664</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28,974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27,276</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29,202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28,277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29,228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27,884</w:t>
            </w:r>
          </w:p>
        </w:tc>
      </w:tr>
    </w:tbl>
    <w:p>
      <w:pPr>
        <w:spacing w:after="0" w:line="16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78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rPr>
              <w:t>INTEGRA LIFESCIENCES HOLDINGS CORPORATION</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0" w:type="dxa"/>
            <w:vAlign w:val="bottom"/>
          </w:tcPr>
          <w:p>
            <w:pPr>
              <w:jc w:val="center"/>
              <w:ind w:left="1790"/>
              <w:spacing w:after="0"/>
              <w:rPr>
                <w:sz w:val="20"/>
                <w:szCs w:val="20"/>
                <w:color w:val="auto"/>
              </w:rPr>
            </w:pPr>
            <w:r>
              <w:rPr>
                <w:rFonts w:ascii="Arial" w:cs="Arial" w:eastAsia="Arial" w:hAnsi="Arial"/>
                <w:sz w:val="18"/>
                <w:szCs w:val="18"/>
                <w:b w:val="1"/>
                <w:bCs w:val="1"/>
                <w:color w:val="auto"/>
              </w:rPr>
              <w:t>(UNAUDITED)</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0" w:type="dxa"/>
            <w:vAlign w:val="bottom"/>
          </w:tcPr>
          <w:p>
            <w:pPr>
              <w:jc w:val="center"/>
              <w:ind w:left="1790"/>
              <w:spacing w:after="0"/>
              <w:rPr>
                <w:sz w:val="20"/>
                <w:szCs w:val="20"/>
                <w:color w:val="auto"/>
              </w:rPr>
            </w:pPr>
            <w:r>
              <w:rPr>
                <w:rFonts w:ascii="Arial" w:cs="Arial" w:eastAsia="Arial" w:hAnsi="Arial"/>
                <w:sz w:val="18"/>
                <w:szCs w:val="18"/>
                <w:color w:val="auto"/>
                <w:w w:val="90"/>
              </w:rPr>
              <w:t>(In thousands)</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June 30, 2009</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2008</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138,717</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183,546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Trade accounts receivable, net of allowances of $10,752 and $10,052</w:t>
            </w:r>
          </w:p>
        </w:tc>
        <w:tc>
          <w:tcPr>
            <w:tcW w:w="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101,462</w:t>
            </w:r>
          </w:p>
        </w:tc>
        <w:tc>
          <w:tcPr>
            <w:tcW w:w="4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112,417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139,319</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146,103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21,115</w:t>
            </w:r>
          </w:p>
        </w:tc>
        <w:tc>
          <w:tcPr>
            <w:tcW w:w="4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24,135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22,636</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31,191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rPr>
              <w:t>Total current assets</w:t>
            </w:r>
          </w:p>
        </w:tc>
        <w:tc>
          <w:tcPr>
            <w:tcW w:w="4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423,249</w:t>
            </w: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497,392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70,777</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217,447</w:t>
            </w:r>
          </w:p>
        </w:tc>
        <w:tc>
          <w:tcPr>
            <w:tcW w:w="4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225,998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211,767</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212,094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23,132</w:t>
            </w:r>
          </w:p>
        </w:tc>
        <w:tc>
          <w:tcPr>
            <w:tcW w:w="4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20,148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946,372</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1,026,014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4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Borrowings under senior credit facility</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40,000</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110,443</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Accounts payable, trade</w:t>
            </w:r>
          </w:p>
        </w:tc>
        <w:tc>
          <w:tcPr>
            <w:tcW w:w="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19,899</w:t>
            </w:r>
          </w:p>
        </w:tc>
        <w:tc>
          <w:tcPr>
            <w:tcW w:w="4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22,964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3,325</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17,082</w:t>
            </w:r>
          </w:p>
        </w:tc>
        <w:tc>
          <w:tcPr>
            <w:tcW w:w="4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16,030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26,085</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32,704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rPr>
              <w:t>Total current liabilities</w:t>
            </w:r>
          </w:p>
        </w:tc>
        <w:tc>
          <w:tcPr>
            <w:tcW w:w="4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216,834</w:t>
            </w: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 under senior credit facility</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160,000</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Long-term convertible securities</w:t>
            </w:r>
          </w:p>
        </w:tc>
        <w:tc>
          <w:tcPr>
            <w:tcW w:w="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145,712</w:t>
            </w:r>
          </w:p>
        </w:tc>
        <w:tc>
          <w:tcPr>
            <w:tcW w:w="4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299,480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21,051</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19,474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543,597</w:t>
            </w: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653,705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$.01 par value; 60,000 authorized shares; 34,743 and 34,352 issued</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 June 30, 2009 and December 31, 2008, respectively</w:t>
            </w:r>
          </w:p>
        </w:tc>
        <w:tc>
          <w:tcPr>
            <w:tcW w:w="4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347</w:t>
            </w:r>
          </w:p>
        </w:tc>
        <w:tc>
          <w:tcPr>
            <w:tcW w:w="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506,882</w:t>
            </w:r>
          </w:p>
        </w:tc>
        <w:tc>
          <w:tcPr>
            <w:tcW w:w="4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502,784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 6,354 shares at June 30, 2009 and December 31, 2008</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(252,380)</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12,039</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rPr>
              <w:t>Pension liability adjustment, net of tax</w:t>
            </w:r>
          </w:p>
        </w:tc>
        <w:tc>
          <w:tcPr>
            <w:tcW w:w="4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(1,111)</w:t>
            </w:r>
          </w:p>
        </w:tc>
        <w:tc>
          <w:tcPr>
            <w:tcW w:w="4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136,998</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116,206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402,775</w:t>
            </w:r>
          </w:p>
        </w:tc>
        <w:tc>
          <w:tcPr>
            <w:tcW w:w="34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372,309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946,372</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1,026,014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rPr>
              <w:t>INTEGRA LIFESCIENCES HOLDINGS CORPORATION</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3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Six Months Ended June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20,792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21,327</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17,143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14,044</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(4,670)</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Amortization of bond issuance costs</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1,218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interest expense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7,013</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Payment of accreted interest</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(2,722)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bond repurchases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7,731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7,078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9,906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(3,262)</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6,237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(5,437)</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8,487</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(13,387)</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5,424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(1,185)</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Accounts payable, accrued expenses and other current liabilities</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(8,931)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(4,052)</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67,825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18,371</w:t>
            </w: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(8,269)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(6,103)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(12,410)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(6,136)</w:t>
            </w: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senior credit facility</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120,000</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Repayments under senior credit facility</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loans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(119,558)</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Repurchase of liability component of convertible notes</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(44,819)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exercised stock options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3,628</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(104,220)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4,729</w:t>
            </w: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(44,829)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19,999</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183,546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57,339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138,717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77,338</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ind w:left="340" w:right="7459" w:hanging="8"/>
        <w:spacing w:after="0" w:line="456" w:lineRule="auto"/>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the opinion of management, the June 30, 2009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2008 included in the Company’s Annual Report on Form 10-K. The December 31, 2008 condensed consolidated balance sheet was derived from audited financial statements but does not include all disclosures required by accounting principles generally accepted in the United States. Operating results for the six-month period ended June 30, 2009 are not necessarily indicative of the results to be expected for the entire year.</w:t>
      </w:r>
    </w:p>
    <w:p>
      <w:pPr>
        <w:spacing w:after="0" w:line="137"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future cash flows associated with long-lived asset valuations, depreciation and amortization periods for long-lived assets, fair value estimates of stock-based compensation awards, valuation allowances recorded against deferred tax assets, estimates of amounts to be paid to employees and other exit costs to be incurred in connection with the restructuring of our operations and loss contingencies. These estimates are based on historical experience and on various other assumptions that are believed to be reasonable under the current circumstances. Actual results could differ from these estimates.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reclassifications have been made to the prior year financial statements to conform to the current year presentation.</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8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 xml:space="preserve">Effective January 1, 2009, the Company adopted Financial Accounting Standards Board (“FASB”) Staff Position No. APB 14-1, </w:t>
      </w:r>
      <w:r>
        <w:rPr>
          <w:rFonts w:ascii="Arial" w:cs="Arial" w:eastAsia="Arial" w:hAnsi="Arial"/>
          <w:sz w:val="16"/>
          <w:szCs w:val="16"/>
          <w:i w:val="1"/>
          <w:iCs w:val="1"/>
          <w:color w:val="auto"/>
        </w:rPr>
        <w:t xml:space="preserve">Accounting for Convertible Debt Instruments that May be Settled in Cash Upon Conversion (Including Partial Cash Settlement) </w:t>
      </w:r>
      <w:r>
        <w:rPr>
          <w:rFonts w:ascii="Arial" w:cs="Arial" w:eastAsia="Arial" w:hAnsi="Arial"/>
          <w:sz w:val="16"/>
          <w:szCs w:val="16"/>
          <w:color w:val="auto"/>
        </w:rPr>
        <w:t>(“FSP APB 14-1”). 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FSP APB 14-1 is effective for our $330.0 million, of which $279.2 million remains outstanding, aggregate principal amount of our senior convertible notes due June 2010 and June 2012 with an annual rate of 2.75% and 2.375%, respectively, (the “2010 Notes” and the “2012 Notes,” respectively), and the $119.5 million exchanged portion of our contingent convertible subordinated notes due March 2008 with an annual rate of 2.5% (the “2008 Notes”) and requires retrospective application for all periods presented. FSP APB 14-1 requires the issuer of convertible debt instruments with cash settlement features to separately account for the liability. As of the date of issuance for the 2010 Notes and the 2012 Notes, and the date of modification for the 2008 Notes (collectively, the “Covered Notes”), the result of the impact of FSP APB 14-1 for each of the Covered Notes is as follows (in millions):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Notes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Notes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Notes</w:t>
            </w:r>
          </w:p>
        </w:tc>
        <w:tc>
          <w:tcPr>
            <w:tcW w:w="8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Date impacted by FSP APB 14-1</w:t>
            </w:r>
          </w:p>
        </w:tc>
        <w:tc>
          <w:tcPr>
            <w:tcW w:w="15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September 2006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7"/>
              </w:rPr>
              <w:t>June 2007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June 2007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Amount</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165.0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Equity Component</w:t>
            </w:r>
          </w:p>
        </w:tc>
        <w:tc>
          <w:tcPr>
            <w:tcW w:w="2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Component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spacing w:after="0" w:line="257" w:lineRule="auto"/>
        <w:rPr>
          <w:sz w:val="20"/>
          <w:szCs w:val="20"/>
          <w:color w:val="auto"/>
        </w:rPr>
      </w:pPr>
      <w:r>
        <w:rPr>
          <w:rFonts w:ascii="Arial" w:cs="Arial" w:eastAsia="Arial" w:hAnsi="Arial"/>
          <w:sz w:val="18"/>
          <w:szCs w:val="18"/>
          <w:color w:val="auto"/>
        </w:rPr>
        <w:t>The liability component was recognized at the present value of its cash flows discounted using discount rates of 9.70%, 6.47% and 6.81%, our borrowing rate at the date of exchange of the 2008 Notes and the dates of the issuance of the 2010 Notes and the 2012 Notes, respectively, for a similar debt instrument without the conversion feature. For additional information, see Note 5, “Debt.” FSP APB 14-1 also requires an accretion of the resultant debt discount over the expected life of the Covered Notes, which is March 2008 to June 2012.</w:t>
      </w:r>
    </w:p>
    <w:p>
      <w:pPr>
        <w:spacing w:after="0" w:line="161"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following table sets forth the effect of the retrospective application of FSP APB 14-1 on certain previously reported line items (in thousands, except per share amounts):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9"/>
          </w:tcPr>
          <w:p>
            <w:pPr>
              <w:jc w:val="right"/>
              <w:ind w:right="310"/>
              <w:spacing w:after="0"/>
              <w:rPr>
                <w:sz w:val="20"/>
                <w:szCs w:val="20"/>
                <w:color w:val="auto"/>
              </w:rPr>
            </w:pPr>
            <w:r>
              <w:rPr>
                <w:rFonts w:ascii="Arial" w:cs="Arial" w:eastAsia="Arial" w:hAnsi="Arial"/>
                <w:sz w:val="18"/>
                <w:szCs w:val="18"/>
                <w:b w:val="1"/>
                <w:bCs w:val="1"/>
                <w:color w:val="auto"/>
                <w:w w:val="92"/>
              </w:rPr>
              <w:t>Three Months Ended June 30, 2008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12"/>
          </w:tcPr>
          <w:p>
            <w:pPr>
              <w:jc w:val="right"/>
              <w:ind w:right="400"/>
              <w:spacing w:after="0"/>
              <w:rPr>
                <w:sz w:val="20"/>
                <w:szCs w:val="20"/>
                <w:color w:val="auto"/>
              </w:rPr>
            </w:pPr>
            <w:r>
              <w:rPr>
                <w:rFonts w:ascii="Arial" w:cs="Arial" w:eastAsia="Arial" w:hAnsi="Arial"/>
                <w:sz w:val="18"/>
                <w:szCs w:val="18"/>
                <w:b w:val="1"/>
                <w:bCs w:val="1"/>
                <w:color w:val="auto"/>
                <w:w w:val="97"/>
              </w:rPr>
              <w:t>Six Months Ended June 30, 2008</w:t>
            </w:r>
          </w:p>
        </w:tc>
        <w:tc>
          <w:tcPr>
            <w:tcW w:w="17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Originally</w:t>
            </w:r>
          </w:p>
        </w:tc>
        <w:tc>
          <w:tcPr>
            <w:tcW w:w="4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2"/>
          </w:tcPr>
          <w:p>
            <w:pPr>
              <w:jc w:val="right"/>
              <w:ind w:right="190"/>
              <w:spacing w:after="0" w:line="191" w:lineRule="exact"/>
              <w:rPr>
                <w:sz w:val="20"/>
                <w:szCs w:val="20"/>
                <w:color w:val="auto"/>
              </w:rPr>
            </w:pPr>
            <w:r>
              <w:rPr>
                <w:rFonts w:ascii="Arial" w:cs="Arial" w:eastAsia="Arial" w:hAnsi="Arial"/>
                <w:sz w:val="18"/>
                <w:szCs w:val="18"/>
                <w:b w:val="1"/>
                <w:bCs w:val="1"/>
                <w:color w:val="auto"/>
              </w:rPr>
              <w:t>As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gridSpan w:val="4"/>
          </w:tcPr>
          <w:p>
            <w:pPr>
              <w:jc w:val="right"/>
              <w:ind w:right="100"/>
              <w:spacing w:after="0" w:line="191" w:lineRule="exact"/>
              <w:rPr>
                <w:sz w:val="20"/>
                <w:szCs w:val="20"/>
                <w:color w:val="auto"/>
              </w:rPr>
            </w:pPr>
            <w:r>
              <w:rPr>
                <w:rFonts w:ascii="Arial" w:cs="Arial" w:eastAsia="Arial" w:hAnsi="Arial"/>
                <w:sz w:val="18"/>
                <w:szCs w:val="18"/>
                <w:b w:val="1"/>
                <w:bCs w:val="1"/>
                <w:color w:val="auto"/>
                <w:w w:val="91"/>
              </w:rPr>
              <w:t>Originally</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As</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Reported</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920" w:type="dxa"/>
            <w:vAlign w:val="bottom"/>
            <w:gridSpan w:val="4"/>
          </w:tcPr>
          <w:p>
            <w:pPr>
              <w:ind w:left="40"/>
              <w:spacing w:after="0"/>
              <w:rPr>
                <w:sz w:val="20"/>
                <w:szCs w:val="20"/>
                <w:color w:val="auto"/>
              </w:rPr>
            </w:pPr>
            <w:r>
              <w:rPr>
                <w:rFonts w:ascii="Arial" w:cs="Arial" w:eastAsia="Arial" w:hAnsi="Arial"/>
                <w:sz w:val="18"/>
                <w:szCs w:val="18"/>
                <w:b w:val="1"/>
                <w:bCs w:val="1"/>
                <w:color w:val="auto"/>
              </w:rPr>
              <w:t>Adjusted</w:t>
            </w:r>
          </w:p>
        </w:tc>
        <w:tc>
          <w:tcPr>
            <w:tcW w:w="160" w:type="dxa"/>
            <w:vAlign w:val="bottom"/>
          </w:tcPr>
          <w:p>
            <w:pPr>
              <w:spacing w:after="0"/>
              <w:rPr>
                <w:sz w:val="20"/>
                <w:szCs w:val="20"/>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1"/>
              </w:rPr>
              <w:t>Reported</w:t>
            </w:r>
          </w:p>
        </w:tc>
        <w:tc>
          <w:tcPr>
            <w:tcW w:w="2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(6,922)</w:t>
            </w:r>
          </w:p>
        </w:tc>
        <w:tc>
          <w:tcPr>
            <w:tcW w:w="2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(8,476)</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(7,013)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(15,489)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6,716</w:t>
            </w:r>
          </w:p>
        </w:tc>
        <w:tc>
          <w:tcPr>
            <w:tcW w:w="4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(1,124)</w:t>
            </w:r>
          </w:p>
        </w:tc>
        <w:tc>
          <w:tcPr>
            <w:tcW w:w="180" w:type="dxa"/>
            <w:vAlign w:val="bottom"/>
          </w:tcPr>
          <w:p>
            <w:pPr>
              <w:spacing w:after="0"/>
              <w:rPr>
                <w:sz w:val="18"/>
                <w:szCs w:val="18"/>
                <w:color w:val="auto"/>
              </w:rPr>
            </w:pP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5,592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13,666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(2,961)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10,705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13,814</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(1,537)</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12,277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21,327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0.50</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0.44</w:t>
            </w:r>
          </w:p>
        </w:tc>
        <w:tc>
          <w:tcPr>
            <w:tcW w:w="260" w:type="dxa"/>
            <w:vAlign w:val="bottom"/>
            <w:gridSpan w:val="2"/>
          </w:tcPr>
          <w:p>
            <w:pPr>
              <w:jc w:val="center"/>
              <w:ind w:left="5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0.93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0.77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1760" w:type="dxa"/>
            <w:vAlign w:val="bottom"/>
          </w:tcPr>
          <w:p>
            <w:pPr>
              <w:spacing w:after="0"/>
              <w:rPr>
                <w:sz w:val="18"/>
                <w:szCs w:val="18"/>
                <w:color w:val="auto"/>
              </w:rPr>
            </w:pPr>
          </w:p>
        </w:tc>
      </w:tr>
      <w:tr>
        <w:trPr>
          <w:trHeight w:val="392"/>
        </w:trPr>
        <w:tc>
          <w:tcPr>
            <w:tcW w:w="340" w:type="dxa"/>
            <w:vAlign w:val="bottom"/>
          </w:tcPr>
          <w:p>
            <w:pPr>
              <w:spacing w:after="0"/>
              <w:rPr>
                <w:sz w:val="24"/>
                <w:szCs w:val="24"/>
                <w:color w:val="auto"/>
              </w:rPr>
            </w:pPr>
          </w:p>
        </w:tc>
        <w:tc>
          <w:tcPr>
            <w:tcW w:w="3700" w:type="dxa"/>
            <w:vAlign w:val="bottom"/>
            <w:gridSpan w:val="4"/>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w w:val="94"/>
              </w:rPr>
              <w:t>December 31, 2008</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gridSpan w:val="7"/>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Originally</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6"/>
              </w:rPr>
              <w:t>As</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1"/>
              </w:rPr>
              <w:t>Reported</w:t>
            </w:r>
          </w:p>
        </w:tc>
        <w:tc>
          <w:tcPr>
            <w:tcW w:w="1340" w:type="dxa"/>
            <w:vAlign w:val="bottom"/>
            <w:gridSpan w:val="5"/>
          </w:tcPr>
          <w:p>
            <w:pPr>
              <w:spacing w:after="0"/>
              <w:rPr>
                <w:sz w:val="20"/>
                <w:szCs w:val="20"/>
                <w:color w:val="auto"/>
              </w:rPr>
            </w:pPr>
            <w:r>
              <w:rPr>
                <w:rFonts w:ascii="Arial" w:cs="Arial" w:eastAsia="Arial" w:hAnsi="Arial"/>
                <w:sz w:val="18"/>
                <w:szCs w:val="18"/>
                <w:b w:val="1"/>
                <w:bCs w:val="1"/>
                <w:color w:val="auto"/>
              </w:rPr>
              <w:t>Adjustments</w:t>
            </w:r>
          </w:p>
        </w:tc>
        <w:tc>
          <w:tcPr>
            <w:tcW w:w="10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Adjusted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28,565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20,148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Long-term convertible securities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150"/>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(30,520)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299,480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464,668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502,784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150"/>
              <w:spacing w:after="0"/>
              <w:rPr>
                <w:sz w:val="20"/>
                <w:szCs w:val="20"/>
                <w:color w:val="auto"/>
              </w:rPr>
            </w:pPr>
            <w:r>
              <w:rPr>
                <w:rFonts w:ascii="Arial" w:cs="Arial" w:eastAsia="Arial" w:hAnsi="Arial"/>
                <w:sz w:val="18"/>
                <w:szCs w:val="18"/>
                <w:color w:val="auto"/>
              </w:rPr>
              <w:t>132,219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(16,013)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116,206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350,206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372,309</w:t>
            </w:r>
          </w:p>
        </w:tc>
        <w:tc>
          <w:tcPr>
            <w:tcW w:w="17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18"/>
                <w:szCs w:val="18"/>
                <w:b w:val="1"/>
                <w:bCs w:val="1"/>
                <w:color w:val="auto"/>
                <w:w w:val="90"/>
              </w:rPr>
              <w:t>Condensed Consolidated Statements of Cash Flows:</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12"/>
          </w:tcPr>
          <w:p>
            <w:pPr>
              <w:jc w:val="right"/>
              <w:ind w:right="600"/>
              <w:spacing w:after="0"/>
              <w:rPr>
                <w:sz w:val="20"/>
                <w:szCs w:val="20"/>
                <w:color w:val="auto"/>
              </w:rPr>
            </w:pPr>
            <w:r>
              <w:rPr>
                <w:rFonts w:ascii="Arial" w:cs="Arial" w:eastAsia="Arial" w:hAnsi="Arial"/>
                <w:sz w:val="18"/>
                <w:szCs w:val="18"/>
                <w:b w:val="1"/>
                <w:bCs w:val="1"/>
                <w:color w:val="auto"/>
                <w:w w:val="89"/>
              </w:rPr>
              <w:t>Six Months Ended June 30, 2008</w:t>
            </w:r>
          </w:p>
        </w:tc>
        <w:tc>
          <w:tcPr>
            <w:tcW w:w="176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Borders>
              <w:top w:val="single" w:sz="8" w:color="auto"/>
            </w:tcBorders>
            <w:gridSpan w:val="7"/>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Originally</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right="210"/>
              <w:spacing w:after="0" w:line="191" w:lineRule="exact"/>
              <w:rPr>
                <w:sz w:val="20"/>
                <w:szCs w:val="20"/>
                <w:color w:val="auto"/>
              </w:rPr>
            </w:pPr>
            <w:r>
              <w:rPr>
                <w:rFonts w:ascii="Arial" w:cs="Arial" w:eastAsia="Arial" w:hAnsi="Arial"/>
                <w:sz w:val="18"/>
                <w:szCs w:val="18"/>
                <w:b w:val="1"/>
                <w:bCs w:val="1"/>
                <w:color w:val="auto"/>
                <w:w w:val="86"/>
              </w:rPr>
              <w:t>As</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1"/>
              </w:rPr>
              <w:t>Reported</w:t>
            </w:r>
          </w:p>
        </w:tc>
        <w:tc>
          <w:tcPr>
            <w:tcW w:w="1340" w:type="dxa"/>
            <w:vAlign w:val="bottom"/>
            <w:gridSpan w:val="5"/>
          </w:tcPr>
          <w:p>
            <w:pPr>
              <w:spacing w:after="0"/>
              <w:rPr>
                <w:sz w:val="20"/>
                <w:szCs w:val="20"/>
                <w:color w:val="auto"/>
              </w:rPr>
            </w:pPr>
            <w:r>
              <w:rPr>
                <w:rFonts w:ascii="Arial" w:cs="Arial" w:eastAsia="Arial" w:hAnsi="Arial"/>
                <w:sz w:val="18"/>
                <w:szCs w:val="18"/>
                <w:b w:val="1"/>
                <w:bCs w:val="1"/>
                <w:color w:val="auto"/>
              </w:rPr>
              <w:t>Adjustments</w:t>
            </w:r>
          </w:p>
        </w:tc>
        <w:tc>
          <w:tcPr>
            <w:tcW w:w="10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Adjusted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25,379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21,327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9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(2,961)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(4,670)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7,013</w:t>
            </w:r>
          </w:p>
        </w:tc>
        <w:tc>
          <w:tcPr>
            <w:tcW w:w="17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79"/>
        <w:spacing w:after="0" w:line="257" w:lineRule="auto"/>
        <w:rPr>
          <w:sz w:val="20"/>
          <w:szCs w:val="20"/>
          <w:color w:val="auto"/>
        </w:rPr>
      </w:pPr>
      <w:r>
        <w:rPr>
          <w:rFonts w:ascii="Arial" w:cs="Arial" w:eastAsia="Arial" w:hAnsi="Arial"/>
          <w:sz w:val="18"/>
          <w:szCs w:val="18"/>
          <w:color w:val="auto"/>
        </w:rPr>
        <w:t>For the three months ended June 30, 2009, the additional pre-tax non-cash interest expense recognized in the condensed consolidated income statement was $2.9 million. Accumulated amortization related to the debt discount was $19.0 million and $11.5 million as of June 30, 2009 and December 31, 2008, respectively. The pre-tax increase in non-cash interest expense on our condensed consolidated statements of income to be recognized through 2012, the latest maturity date of the Covered Notes, is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Pre-tax increase in non-cash interest expense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bl>
    <w:p>
      <w:pPr>
        <w:spacing w:after="0" w:line="175" w:lineRule="exact"/>
        <w:rPr>
          <w:sz w:val="20"/>
          <w:szCs w:val="20"/>
          <w:color w:val="auto"/>
        </w:rPr>
      </w:pPr>
    </w:p>
    <w:p>
      <w:pPr>
        <w:jc w:val="both"/>
        <w:ind w:right="879"/>
        <w:spacing w:after="0" w:line="255" w:lineRule="auto"/>
        <w:rPr>
          <w:sz w:val="20"/>
          <w:szCs w:val="20"/>
          <w:color w:val="auto"/>
        </w:rPr>
      </w:pPr>
      <w:r>
        <w:rPr>
          <w:rFonts w:ascii="Arial" w:cs="Arial" w:eastAsia="Arial" w:hAnsi="Arial"/>
          <w:sz w:val="18"/>
          <w:szCs w:val="18"/>
          <w:color w:val="auto"/>
        </w:rPr>
        <w:t xml:space="preserve">Effective January 1, 2009, the Company adopted FASB Staff Position No. EITF 03-6-1, </w:t>
      </w:r>
      <w:r>
        <w:rPr>
          <w:rFonts w:ascii="Arial" w:cs="Arial" w:eastAsia="Arial" w:hAnsi="Arial"/>
          <w:sz w:val="18"/>
          <w:szCs w:val="18"/>
          <w:i w:val="1"/>
          <w:iCs w:val="1"/>
          <w:color w:val="auto"/>
        </w:rPr>
        <w:t>Determining Whether Instruments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Granted in Share-Based Payment Transactions Are Participating Securities </w:t>
      </w:r>
      <w:r>
        <w:rPr>
          <w:rFonts w:ascii="Arial" w:cs="Arial" w:eastAsia="Arial" w:hAnsi="Arial"/>
          <w:sz w:val="18"/>
          <w:szCs w:val="18"/>
          <w:color w:val="auto"/>
        </w:rPr>
        <w:t>(“FSP 03-6-1”). In FSP 03-6-1, unvested share-based payment awards that contain rights to receive nonforfeitable dividends or dividend equivalents (whether paid or unpaid) are participating securities, and thus, should be included in the two-class method of computing earnings per share (“EPS”). The adoption of this standard did not have a material impact on the Company’s disclosure of EPS. See Note 9, “Net Income Per Share” for a further discussion.</w:t>
      </w:r>
    </w:p>
    <w:p>
      <w:pPr>
        <w:spacing w:after="0" w:line="153" w:lineRule="exact"/>
        <w:rPr>
          <w:sz w:val="20"/>
          <w:szCs w:val="20"/>
          <w:color w:val="auto"/>
        </w:rPr>
      </w:pPr>
    </w:p>
    <w:p>
      <w:pPr>
        <w:jc w:val="both"/>
        <w:ind w:right="879"/>
        <w:spacing w:after="0" w:line="286" w:lineRule="auto"/>
        <w:rPr>
          <w:sz w:val="20"/>
          <w:szCs w:val="20"/>
          <w:color w:val="auto"/>
        </w:rPr>
      </w:pPr>
      <w:r>
        <w:rPr>
          <w:rFonts w:ascii="Arial" w:cs="Arial" w:eastAsia="Arial" w:hAnsi="Arial"/>
          <w:sz w:val="16"/>
          <w:szCs w:val="16"/>
          <w:color w:val="auto"/>
        </w:rPr>
        <w:t xml:space="preserve">Effective January 1, 2009, the Company adopted FASB Statement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(“Statement 141(R)”), a replacement of FASB Statement No. 141. Statement 141(R) changes the practice for accounting for business combinations, such as requiring that the Company (1) expense transaction costs as incurred, rather than capitalizing them as part of the purchase price; (2) record contingent consideration arrangements and pre-acquisition contingencies, such as legal issues, at fair value at the acquisition date, with subsequent changes in fair value recorded in the income statement; (3) capitalize the fair value of acquired research and development assets separately from goodwill, whereas the Company previously determined the acquisition-date fair value and then immediately charged the value to expense; and (4) limit the conditions under which restructuring expenses can be accrued in the opening balance sheet of a target to only those where the requirements in FASB Statement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would have been met at the acquisition date. Additionally, Statement 141(R) provides that, upon initially obtaining control, an acquirer shall recognize 100 percent of the fair values of acquired assets, including goodwill, and assumed liabilities, with only limited exceptions, even if the acquirer has not acquired 100 percent of its target. The implementation of Statement 141(R) could result in an increase or decrease in future selling, general and administrative and other operating expenses, depending upon the extent of the Company’s acquisition related activities going forward. No business combination transactions occurred since the Company adopted Statement 141(R). The adoption of this standard did not have a material impact on the Company’s financial condition or results of operations.</w:t>
      </w:r>
    </w:p>
    <w:p>
      <w:pPr>
        <w:spacing w:after="0" w:line="128" w:lineRule="exact"/>
        <w:rPr>
          <w:sz w:val="20"/>
          <w:szCs w:val="20"/>
          <w:color w:val="auto"/>
        </w:rPr>
      </w:pPr>
    </w:p>
    <w:p>
      <w:pPr>
        <w:jc w:val="both"/>
        <w:ind w:right="879"/>
        <w:spacing w:after="0" w:line="272" w:lineRule="auto"/>
        <w:rPr>
          <w:sz w:val="20"/>
          <w:szCs w:val="20"/>
          <w:color w:val="auto"/>
        </w:rPr>
      </w:pPr>
      <w:r>
        <w:rPr>
          <w:rFonts w:ascii="Arial" w:cs="Arial" w:eastAsia="Arial" w:hAnsi="Arial"/>
          <w:sz w:val="17"/>
          <w:szCs w:val="17"/>
          <w:color w:val="auto"/>
        </w:rPr>
        <w:t xml:space="preserve">Effective January 1, 2009, the Company adopted FASB Staff Position No. FAS 142-3, </w:t>
      </w:r>
      <w:r>
        <w:rPr>
          <w:rFonts w:ascii="Arial" w:cs="Arial" w:eastAsia="Arial" w:hAnsi="Arial"/>
          <w:sz w:val="17"/>
          <w:szCs w:val="17"/>
          <w:i w:val="1"/>
          <w:iCs w:val="1"/>
          <w:color w:val="auto"/>
        </w:rPr>
        <w:t>Determination of the Useful Life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(“FAS 142-3”). FAS 142-3 amends the factors that should be considered in developing renewal or extension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assumptions used to determine the useful life of a recognized intangible asset under Statement of Financial Accounting Standards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(“SFAS 142”). The intent of FAS 142-3 is to improve the consistency between the useful life of a recognized intangible asset under SFAS 142 and the period of expected cash flows used to measure the fair value of the asset under SFAS 141(R), and other generally accepted accounting principles. The adoption of this standard did not have a material impact on the Company’s financial condition or results of operations.</w:t>
      </w:r>
    </w:p>
    <w:p>
      <w:pPr>
        <w:spacing w:after="0" w:line="151" w:lineRule="exact"/>
        <w:rPr>
          <w:sz w:val="20"/>
          <w:szCs w:val="20"/>
          <w:color w:val="auto"/>
        </w:rPr>
      </w:pPr>
    </w:p>
    <w:p>
      <w:pPr>
        <w:jc w:val="both"/>
        <w:ind w:right="879"/>
        <w:spacing w:after="0" w:line="257" w:lineRule="auto"/>
        <w:rPr>
          <w:sz w:val="20"/>
          <w:szCs w:val="20"/>
          <w:color w:val="auto"/>
        </w:rPr>
      </w:pPr>
      <w:r>
        <w:rPr>
          <w:rFonts w:ascii="Arial" w:cs="Arial" w:eastAsia="Arial" w:hAnsi="Arial"/>
          <w:sz w:val="18"/>
          <w:szCs w:val="18"/>
          <w:color w:val="auto"/>
        </w:rPr>
        <w:t xml:space="preserve">Effective January 1, 2009, the Company adopted FASB Staff Position No.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xml:space="preserve"> (“FSP 157-2”), which delayed the effective date of Statement of Financial Accounting Standards No.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(“SFAS 157”), for all non-financial assets and non-financial liabilities, except for items that are recognized or</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at fair value on a recurring basis (at least annually). The adoption of this standard did not have a material impact on the Company’s financial condition or results of operations.</w:t>
      </w:r>
    </w:p>
    <w:p>
      <w:pPr>
        <w:spacing w:after="0" w:line="148" w:lineRule="exact"/>
        <w:rPr>
          <w:sz w:val="20"/>
          <w:szCs w:val="20"/>
          <w:color w:val="auto"/>
        </w:rPr>
      </w:pPr>
    </w:p>
    <w:p>
      <w:pPr>
        <w:jc w:val="both"/>
        <w:ind w:right="879"/>
        <w:spacing w:after="0" w:line="273" w:lineRule="auto"/>
        <w:rPr>
          <w:sz w:val="20"/>
          <w:szCs w:val="20"/>
          <w:color w:val="auto"/>
        </w:rPr>
      </w:pPr>
      <w:r>
        <w:rPr>
          <w:rFonts w:ascii="Arial" w:cs="Arial" w:eastAsia="Arial" w:hAnsi="Arial"/>
          <w:sz w:val="17"/>
          <w:szCs w:val="17"/>
          <w:color w:val="auto"/>
        </w:rPr>
        <w:t xml:space="preserve">Effective January 1, 2009, the Company adopted FASB Statement No. 161, </w:t>
      </w:r>
      <w:r>
        <w:rPr>
          <w:rFonts w:ascii="Arial" w:cs="Arial" w:eastAsia="Arial" w:hAnsi="Arial"/>
          <w:sz w:val="17"/>
          <w:szCs w:val="17"/>
          <w:i w:val="1"/>
          <w:iCs w:val="1"/>
          <w:color w:val="auto"/>
        </w:rPr>
        <w:t>Disclosures about Derivative Instruments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Activities </w:t>
      </w:r>
      <w:r>
        <w:rPr>
          <w:rFonts w:ascii="Arial" w:cs="Arial" w:eastAsia="Arial" w:hAnsi="Arial"/>
          <w:sz w:val="17"/>
          <w:szCs w:val="17"/>
          <w:color w:val="auto"/>
        </w:rPr>
        <w:t>(“FAS 161”). FAS 161 requires enhanced disclosures about derivative instruments and hedging activities to</w:t>
      </w:r>
      <w:r>
        <w:rPr>
          <w:rFonts w:ascii="Arial" w:cs="Arial" w:eastAsia="Arial" w:hAnsi="Arial"/>
          <w:sz w:val="17"/>
          <w:szCs w:val="17"/>
          <w:i w:val="1"/>
          <w:iCs w:val="1"/>
          <w:color w:val="auto"/>
        </w:rPr>
        <w:t xml:space="preserve"> </w:t>
      </w:r>
      <w:r>
        <w:rPr>
          <w:rFonts w:ascii="Arial" w:cs="Arial" w:eastAsia="Arial" w:hAnsi="Arial"/>
          <w:sz w:val="17"/>
          <w:szCs w:val="17"/>
          <w:color w:val="auto"/>
        </w:rPr>
        <w:t>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our derivatives and hedging activities, the adoption of FAS 161 does not affect our financial position or results of operations.</w:t>
      </w:r>
    </w:p>
    <w:p>
      <w:pPr>
        <w:spacing w:after="0" w:line="138" w:lineRule="exact"/>
        <w:rPr>
          <w:sz w:val="20"/>
          <w:szCs w:val="20"/>
          <w:color w:val="auto"/>
        </w:rPr>
      </w:pPr>
    </w:p>
    <w:p>
      <w:pPr>
        <w:jc w:val="both"/>
        <w:ind w:right="879"/>
        <w:spacing w:after="0" w:line="270" w:lineRule="auto"/>
        <w:rPr>
          <w:sz w:val="20"/>
          <w:szCs w:val="20"/>
          <w:color w:val="auto"/>
        </w:rPr>
      </w:pPr>
      <w:r>
        <w:rPr>
          <w:rFonts w:ascii="Arial" w:cs="Arial" w:eastAsia="Arial" w:hAnsi="Arial"/>
          <w:sz w:val="17"/>
          <w:szCs w:val="17"/>
          <w:color w:val="auto"/>
        </w:rPr>
        <w:t xml:space="preserve">Effective January 1, 2009, the Company adopted Emerging Issues Task Force (“EITF”) Issue No. 07-05, </w:t>
      </w:r>
      <w:r>
        <w:rPr>
          <w:rFonts w:ascii="Arial" w:cs="Arial" w:eastAsia="Arial" w:hAnsi="Arial"/>
          <w:sz w:val="17"/>
          <w:szCs w:val="17"/>
          <w:i w:val="1"/>
          <w:iCs w:val="1"/>
          <w:color w:val="auto"/>
        </w:rPr>
        <w:t>Determining Whether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 Instrument (or Embedded Feature) is Indexed to an Entity’s Own Stock </w:t>
      </w:r>
      <w:r>
        <w:rPr>
          <w:rFonts w:ascii="Arial" w:cs="Arial" w:eastAsia="Arial" w:hAnsi="Arial"/>
          <w:sz w:val="17"/>
          <w:szCs w:val="17"/>
          <w:color w:val="auto"/>
        </w:rPr>
        <w:t>(“EITF 07-05”). EITF 07-05 mandates a two-step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process for evaluating whether an equity-linked financial instrument or embedded feature is indexed to the entity’s own stock, for the purpose of applying the Paragraph 11(a) scope exception in FASB Statement No. 133, </w:t>
      </w:r>
      <w:r>
        <w:rPr>
          <w:rFonts w:ascii="Arial" w:cs="Arial" w:eastAsia="Arial" w:hAnsi="Arial"/>
          <w:sz w:val="17"/>
          <w:szCs w:val="17"/>
          <w:i w:val="1"/>
          <w:iCs w:val="1"/>
          <w:color w:val="auto"/>
        </w:rPr>
        <w:t>Accounting for Derivative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Hedging Activities. </w:t>
      </w:r>
      <w:r>
        <w:rPr>
          <w:rFonts w:ascii="Arial" w:cs="Arial" w:eastAsia="Arial" w:hAnsi="Arial"/>
          <w:sz w:val="17"/>
          <w:szCs w:val="17"/>
          <w:color w:val="auto"/>
        </w:rPr>
        <w:t>Upon the adoption of EITF 07-05, equity instruments that a company issues that contain a strike price</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feature may no longer be considered indexed to the company’s own stock. Accordingly, adoption of EITF 07-05 may change the current classification (from equity to liability) and the related accounting for such equity instruments outstanding at that date. The adoption of this standard did not change the classification of the Company’s warrants issued in connection with the convertible debt.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 xml:space="preserve">In May 2009, the FASB issued and the Company adopted SFAS No. 165,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(“SFAS 165”). SFAS 165 establishes general standards of accounting for and disclosure of events that occur after the balance sheet date but before the financial statements are issued. SFAS 165 requires disclosure of the date through which an entity has evaluated subsequent events and the basis for that date. That is, whether the date represents the date the financial statements were issued or were available to be issued. SFAS 165 is effective in the first interim period ending after June 15, 2009. The adoption of this standard did not have a material impact on the Company’s financial condition or results of operations.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 xml:space="preserve">In May 2008, the FASB issued Statement of Financial Accounting Standards No. 162, </w:t>
      </w:r>
      <w:r>
        <w:rPr>
          <w:rFonts w:ascii="Arial" w:cs="Arial" w:eastAsia="Arial" w:hAnsi="Arial"/>
          <w:sz w:val="18"/>
          <w:szCs w:val="18"/>
          <w:i w:val="1"/>
          <w:iCs w:val="1"/>
          <w:color w:val="auto"/>
        </w:rPr>
        <w:t>The Hierarchy of Generally Accepted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Principles </w:t>
      </w:r>
      <w:r>
        <w:rPr>
          <w:rFonts w:ascii="Arial" w:cs="Arial" w:eastAsia="Arial" w:hAnsi="Arial"/>
          <w:sz w:val="18"/>
          <w:szCs w:val="18"/>
          <w:color w:val="auto"/>
        </w:rPr>
        <w:t>(“SFAS 162”). SFAS 162 identifies the sources of accounting principles and the framework for selecting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principles used in the preparation of financial statements of nongovernmental entities that are presented in conformity with GAAP in the U.S. Any effect of applying the provisions of SFAS 162 shall be reported as a change in accounting principle in accordance with Statement of Financial Accounting Standards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SFAS 162 is effective 60 days following approval by the Securities and Exchange Commission of the Public Company Accounting Oversight Board amendments to AU Section 411, The Meaning of Present Fairly in Conformity with Generally Accepted Accounting Principles. The Company does not anticipate that the adoption of SFAS 162 will have a material impact on its financial statements.</w:t>
      </w:r>
    </w:p>
    <w:p>
      <w:pPr>
        <w:spacing w:after="0" w:line="157"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 xml:space="preserve">In June 2009, the FASB issued SFAS 168, </w:t>
      </w:r>
      <w:r>
        <w:rPr>
          <w:rFonts w:ascii="Arial" w:cs="Arial" w:eastAsia="Arial" w:hAnsi="Arial"/>
          <w:sz w:val="16"/>
          <w:szCs w:val="16"/>
          <w:i w:val="1"/>
          <w:iCs w:val="1"/>
          <w:color w:val="auto"/>
        </w:rPr>
        <w:t>The FASB Accounting Standards Codification™ and the Hierarchy of Generally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Accepted Accounting Principles </w:t>
      </w:r>
      <w:r>
        <w:rPr>
          <w:rFonts w:ascii="Arial" w:cs="Arial" w:eastAsia="Arial" w:hAnsi="Arial"/>
          <w:sz w:val="16"/>
          <w:szCs w:val="16"/>
          <w:color w:val="auto"/>
        </w:rPr>
        <w:t>(“SFAS 168”). When effective, SFAS 168 will become the single official source of authoritative,</w:t>
      </w:r>
      <w:r>
        <w:rPr>
          <w:rFonts w:ascii="Arial" w:cs="Arial" w:eastAsia="Arial" w:hAnsi="Arial"/>
          <w:sz w:val="16"/>
          <w:szCs w:val="16"/>
          <w:i w:val="1"/>
          <w:iCs w:val="1"/>
          <w:color w:val="auto"/>
        </w:rPr>
        <w:t xml:space="preserve"> </w:t>
      </w:r>
      <w:r>
        <w:rPr>
          <w:rFonts w:ascii="Arial" w:cs="Arial" w:eastAsia="Arial" w:hAnsi="Arial"/>
          <w:sz w:val="16"/>
          <w:szCs w:val="16"/>
          <w:color w:val="auto"/>
        </w:rPr>
        <w:t>nongovernmental U.S. generally accepted accounting principles. SFAS 168 will be effective for interim and annual periods ending after September 15, 2009. The Company is required to report using SFAS 168 for the quarter ended September 30, 2009. The Company does not anticipate that reporting under SFAS 168 will have a material impact on its financial statements.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ACQUISITIONS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Minnesota Scientific, Inc.</w:t>
      </w:r>
    </w:p>
    <w:p>
      <w:pPr>
        <w:spacing w:after="0" w:line="185"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In December 2008, the Company acquired Minnesota Scientific, Inc., doing business as Omni-Tract Surgical (“Omni-Tract”), for $6.4 million in cash paid at closing, 310,000 unregistered shares of the Company’s common stock valued at $10.7 million (of which 135,000 shares were issued at closing, with the remainder issued in January 2009), working capital adjustments of $0.1 million and $0.3 million in transaction related costs, subject to certain adjustments. Omni-Tract is a global leader in the development and manufacture of table mounted retractors and is based in St. Paul, Minnesota. Omni-Tract markets and sells these retractor systems for use in vascular, bariatric, general, urologic, orthopedic, spine, pediatric, and laparoscopic surgery. The Company has integrated Omni-Tract’s product lines into its combined offering of JARIT</w:t>
      </w:r>
      <w:r>
        <w:rPr>
          <w:rFonts w:ascii="Arial" w:cs="Arial" w:eastAsia="Arial" w:hAnsi="Arial"/>
          <w:sz w:val="13"/>
          <w:szCs w:val="13"/>
          <w:color w:val="auto"/>
        </w:rPr>
        <w:t>®</w:t>
      </w:r>
      <w:r>
        <w:rPr>
          <w:rFonts w:ascii="Arial" w:cs="Arial" w:eastAsia="Arial" w:hAnsi="Arial"/>
          <w:sz w:val="16"/>
          <w:szCs w:val="16"/>
          <w:color w:val="auto"/>
        </w:rPr>
        <w:t>, Padgett™, R&amp;B Redmond™, and Luxtec</w:t>
      </w:r>
      <w:r>
        <w:rPr>
          <w:rFonts w:ascii="Arial" w:cs="Arial" w:eastAsia="Arial" w:hAnsi="Arial"/>
          <w:sz w:val="13"/>
          <w:szCs w:val="13"/>
          <w:color w:val="auto"/>
        </w:rPr>
        <w:t>®</w:t>
      </w:r>
      <w:r>
        <w:rPr>
          <w:rFonts w:ascii="Arial" w:cs="Arial" w:eastAsia="Arial" w:hAnsi="Arial"/>
          <w:sz w:val="16"/>
          <w:szCs w:val="16"/>
          <w:color w:val="auto"/>
        </w:rPr>
        <w:t xml:space="preserve"> lines of surgical instruments and illumination systems sold by the Integra Medical Instruments sales organization.</w:t>
      </w:r>
    </w:p>
    <w:p>
      <w:pPr>
        <w:spacing w:after="0" w:line="13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summarizes the allocation of the purchase price based on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1,501</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1,324</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ind w:left="320"/>
              <w:spacing w:after="0"/>
              <w:rPr>
                <w:sz w:val="20"/>
                <w:szCs w:val="20"/>
                <w:color w:val="auto"/>
              </w:rPr>
            </w:pPr>
            <w:r>
              <w:rPr>
                <w:rFonts w:ascii="Arial" w:cs="Arial" w:eastAsia="Arial" w:hAnsi="Arial"/>
                <w:sz w:val="18"/>
                <w:szCs w:val="18"/>
                <w:color w:val="auto"/>
                <w:w w:val="94"/>
              </w:rPr>
              <w:t>Wtd. Avg. Life</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3,816</w:t>
            </w:r>
          </w:p>
        </w:tc>
        <w:tc>
          <w:tcPr>
            <w:tcW w:w="1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15 years</w:t>
            </w: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Tradename</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13,084</w:t>
            </w:r>
          </w:p>
        </w:tc>
        <w:tc>
          <w:tcPr>
            <w:tcW w:w="1400" w:type="dxa"/>
            <w:vAlign w:val="bottom"/>
          </w:tcPr>
          <w:p>
            <w:pPr>
              <w:ind w:left="320"/>
              <w:spacing w:after="0"/>
              <w:rPr>
                <w:sz w:val="20"/>
                <w:szCs w:val="20"/>
                <w:color w:val="auto"/>
              </w:rPr>
            </w:pPr>
            <w:r>
              <w:rPr>
                <w:rFonts w:ascii="Arial" w:cs="Arial" w:eastAsia="Arial" w:hAnsi="Arial"/>
                <w:sz w:val="18"/>
                <w:szCs w:val="18"/>
                <w:color w:val="auto"/>
              </w:rPr>
              <w:t>Indefinite</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3,098</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assets acquired</w:t>
            </w: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23,854</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Deferred tax liabilities — non current</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6,030</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6960" w:type="dxa"/>
            <w:vAlign w:val="bottom"/>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17,489</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Management determined the preliminary fair value of assets acquired during the fourth quarter of 2008. The purchase price was finalized in the second quarter of 2009 with only minor changes being recorded to goodwill resulting from the working capital adjustment. The goodwill recorded in connection with this acquisition is based on the benefits the Company expects to generate from Omni-Tract’s future cash flows.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Integra Neurosciences Pty Ltd.</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October 2008, the Company acquired Integra Neurosciences Pty Ltd. in Australia and Integra Neurosciences Pty Ltd. in New Zealand for $4.0 million (6.0 million Australian Dollars) in cash at closing, $0.3 million in acquisition expenses and working capital adjustments, and up to $2.1 million (3.1 million Australian Dollars) in future payments based on the performance of business in the three years after closing. With this acquisition of the Company’s long-standing distributor, the Company now has a direct selling presence in Australia and New Zealand.</w:t>
      </w:r>
    </w:p>
    <w:p>
      <w:pPr>
        <w:spacing w:after="0" w:line="14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based on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w:t>
            </w: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ind w:left="180"/>
              <w:spacing w:after="0"/>
              <w:rPr>
                <w:sz w:val="20"/>
                <w:szCs w:val="20"/>
                <w:color w:val="auto"/>
              </w:rPr>
            </w:pPr>
            <w:r>
              <w:rPr>
                <w:rFonts w:ascii="Arial" w:cs="Arial" w:eastAsia="Arial" w:hAnsi="Arial"/>
                <w:sz w:val="18"/>
                <w:szCs w:val="18"/>
                <w:color w:val="auto"/>
                <w:w w:val="94"/>
              </w:rPr>
              <w:t>Wtd. Avg. Life</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15 years</w:t>
            </w: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Tradename</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260" w:type="dxa"/>
            <w:vAlign w:val="bottom"/>
          </w:tcPr>
          <w:p>
            <w:pPr>
              <w:ind w:left="180"/>
              <w:spacing w:after="0"/>
              <w:rPr>
                <w:sz w:val="20"/>
                <w:szCs w:val="20"/>
                <w:color w:val="auto"/>
              </w:rPr>
            </w:pPr>
            <w:r>
              <w:rPr>
                <w:rFonts w:ascii="Arial" w:cs="Arial" w:eastAsia="Arial" w:hAnsi="Arial"/>
                <w:sz w:val="18"/>
                <w:szCs w:val="18"/>
                <w:color w:val="auto"/>
              </w:rPr>
              <w:t>1 year</w:t>
            </w:r>
          </w:p>
        </w:tc>
        <w:tc>
          <w:tcPr>
            <w:tcW w:w="20" w:type="dxa"/>
            <w:vAlign w:val="bottom"/>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696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non current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6960" w:type="dxa"/>
            <w:vAlign w:val="bottom"/>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Management determined the preliminary fair value of assets acquired during the fourth quarter of 2008. The purchase price was finalized in the second quarter of 2009 with only minor changes being recorded for working capital adjustments.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Theken</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August 2008 the Company acquired Theken Spine, LLC, Theken Disc, LLC and Therics, LLC (collectively, “Theken”) for $75.0 million in cash, acquisition expenses of $2.4 million, working capital adjustments of $4.0 million, and up to approximately $121.0 million in future payments based on the revenue performance of the business in the two years after closing. Theken, based in Akron, Ohio, designs, develops and manufactures spinal fixation products, synthetic bone substitute products and spinal arthroplasty products.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summarizes the allocation of the purchase price based on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15,130</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699</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1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Wtd. Avg. Life</w:t>
            </w: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13,470</w:t>
            </w:r>
          </w:p>
        </w:tc>
        <w:tc>
          <w:tcPr>
            <w:tcW w:w="1960" w:type="dxa"/>
            <w:vAlign w:val="bottom"/>
          </w:tcPr>
          <w:p>
            <w:pPr>
              <w:ind w:left="340"/>
              <w:spacing w:after="0"/>
              <w:rPr>
                <w:sz w:val="20"/>
                <w:szCs w:val="20"/>
                <w:color w:val="auto"/>
              </w:rPr>
            </w:pPr>
            <w:r>
              <w:rPr>
                <w:rFonts w:ascii="Arial" w:cs="Arial" w:eastAsia="Arial" w:hAnsi="Arial"/>
                <w:sz w:val="18"/>
                <w:szCs w:val="18"/>
                <w:color w:val="auto"/>
              </w:rPr>
              <w:t>11 years</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 years</w:t>
            </w: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25,240</w:t>
            </w:r>
          </w:p>
        </w:tc>
        <w:tc>
          <w:tcPr>
            <w:tcW w:w="1960" w:type="dxa"/>
            <w:vAlign w:val="bottom"/>
          </w:tcPr>
          <w:p>
            <w:pPr>
              <w:ind w:left="340"/>
              <w:spacing w:after="0"/>
              <w:rPr>
                <w:sz w:val="20"/>
                <w:szCs w:val="20"/>
                <w:color w:val="auto"/>
              </w:rPr>
            </w:pPr>
            <w:r>
              <w:rPr>
                <w:rFonts w:ascii="Arial" w:cs="Arial" w:eastAsia="Arial" w:hAnsi="Arial"/>
                <w:sz w:val="18"/>
                <w:szCs w:val="18"/>
                <w:color w:val="auto"/>
                <w:w w:val="88"/>
              </w:rPr>
              <w:t>Expensed immediately</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6440" w:type="dxa"/>
            <w:vAlign w:val="bottom"/>
          </w:tcPr>
          <w:p>
            <w:pPr>
              <w:spacing w:after="0"/>
              <w:rPr>
                <w:sz w:val="20"/>
                <w:szCs w:val="20"/>
                <w:color w:val="auto"/>
              </w:rPr>
            </w:pPr>
            <w:r>
              <w:rPr>
                <w:rFonts w:ascii="Arial" w:cs="Arial" w:eastAsia="Arial" w:hAnsi="Arial"/>
                <w:sz w:val="18"/>
                <w:szCs w:val="18"/>
                <w:color w:val="auto"/>
              </w:rPr>
              <w:t>Total assets acquired</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91,083</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1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6440" w:type="dxa"/>
            <w:vAlign w:val="bottom"/>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81,367</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Management determined the preliminary fair value of assets acquired during the third quarter of 2008. The in-process research and development had not yet reached technological feasibility and had no alternative future use at the date of acquisition. The Company recorded an in-process research and development charge of $25.2 million in the third quarter of 2008 in connection with this acquisition, which was included in research and development expense. The goodwill recorded in connection with this acquisition is based on the benefits the Company expects to generate from Theken’s future cash flows. The purchase price was finalized in the first quarter of 2009 with only minor changes being recorded to goodwill.</w:t>
      </w:r>
    </w:p>
    <w:p>
      <w:pPr>
        <w:spacing w:after="0" w:line="13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fair value of the in-process research and development was determined by estimating the costs to develop the acquired technology into commercially viable products and estimating the net present value of the resulting net cash flows from these projects. These cash flows were based on our best estimates of revenue, cost of sales, research and development costs, selling, general and administrative costs and income taxes from the development projects. A summary of the estimates used to calculate the net cash flows for the projects is as follows: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Discount rate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Year net cash</w:t>
            </w: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including factor</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In-flows</w:t>
            </w: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to account for</w:t>
            </w: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Acquired In-</w:t>
            </w:r>
          </w:p>
        </w:tc>
      </w:tr>
      <w:tr>
        <w:trPr>
          <w:trHeight w:val="216"/>
        </w:trPr>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expected to</w:t>
            </w: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uncertainty of</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89"/>
              </w:rPr>
              <w:t>Process Research</w:t>
            </w:r>
          </w:p>
        </w:tc>
      </w:t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begin</w:t>
            </w: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78"/>
              </w:rPr>
              <w:t>success</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7"/>
              </w:rPr>
              <w:t>and Development</w:t>
            </w:r>
          </w:p>
        </w:tc>
      </w:tr>
      <w:tr>
        <w:trPr>
          <w:trHeight w:val="210"/>
        </w:trPr>
        <w:tc>
          <w:tcPr>
            <w:tcW w:w="4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eDisc artificial lumbar disc</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2013</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 million</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eDisc artificial cervical disc</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2016</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7.2 million</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Spinal fixation implants</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2009</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 million</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All other</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2009</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0.3 million</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 Forma Results (unaudited)</w:t>
      </w:r>
    </w:p>
    <w:p>
      <w:pPr>
        <w:spacing w:after="0" w:line="198"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three and six months ended June 30, 2008 as if the acquisitions completed by the Company during 2008 had been completed as of the beginning of the period presented. The pro forma results are based upon certain assumptions and estimates, and they give effect to actual operating results prior to the acquisitions and adjustments to reflect increased interest expense, depreciation expense, intangible asset amortization, and income taxes at a rate consistent with the Company’s statutory rate. No effect has been given to cost reductions or operating synergies. As a result, the pro forma results do not necessarily represent results that would have occurred if the acquisitions had taken place on the basis assumed above, nor are they indicative of the results of future combined operations.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9"/>
              </w:rPr>
              <w:t>Three Months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5"/>
              </w:rPr>
              <w:t>Six Months</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1580" w:type="dxa"/>
            <w:vAlign w:val="bottom"/>
            <w:gridSpan w:val="4"/>
          </w:tcPr>
          <w:p>
            <w:pPr>
              <w:spacing w:after="0"/>
              <w:rPr>
                <w:sz w:val="20"/>
                <w:szCs w:val="20"/>
                <w:color w:val="auto"/>
              </w:rPr>
            </w:pPr>
            <w:r>
              <w:rPr>
                <w:rFonts w:ascii="Arial" w:cs="Arial" w:eastAsia="Arial" w:hAnsi="Arial"/>
                <w:sz w:val="18"/>
                <w:szCs w:val="18"/>
                <w:b w:val="1"/>
                <w:bCs w:val="1"/>
                <w:color w:val="auto"/>
                <w:w w:val="88"/>
              </w:rPr>
              <w:t>Ended June 30, 2008</w:t>
            </w:r>
          </w:p>
        </w:tc>
        <w:tc>
          <w:tcPr>
            <w:tcW w:w="300" w:type="dxa"/>
            <w:vAlign w:val="bottom"/>
          </w:tcPr>
          <w:p>
            <w:pPr>
              <w:spacing w:after="0"/>
              <w:rPr>
                <w:sz w:val="20"/>
                <w:szCs w:val="20"/>
                <w:color w:val="auto"/>
              </w:rPr>
            </w:pPr>
          </w:p>
        </w:tc>
        <w:tc>
          <w:tcPr>
            <w:tcW w:w="1660" w:type="dxa"/>
            <w:vAlign w:val="bottom"/>
            <w:gridSpan w:val="6"/>
          </w:tcPr>
          <w:p>
            <w:pPr>
              <w:spacing w:after="0"/>
              <w:rPr>
                <w:sz w:val="20"/>
                <w:szCs w:val="20"/>
                <w:color w:val="auto"/>
              </w:rPr>
            </w:pPr>
            <w:r>
              <w:rPr>
                <w:rFonts w:ascii="Arial" w:cs="Arial" w:eastAsia="Arial" w:hAnsi="Arial"/>
                <w:sz w:val="18"/>
                <w:szCs w:val="18"/>
                <w:b w:val="1"/>
                <w:bCs w:val="1"/>
                <w:color w:val="auto"/>
                <w:w w:val="92"/>
              </w:rPr>
              <w:t>Ended June 30, 2008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10"/>
          </w:tcPr>
          <w:p>
            <w:pPr>
              <w:jc w:val="right"/>
              <w:ind w:right="24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0" w:type="dxa"/>
            <w:vAlign w:val="bottom"/>
          </w:tcPr>
          <w:p>
            <w:pPr>
              <w:spacing w:after="0"/>
              <w:rPr>
                <w:sz w:val="1"/>
                <w:szCs w:val="1"/>
                <w:color w:val="auto"/>
              </w:rPr>
            </w:pPr>
          </w:p>
        </w:tc>
      </w:tr>
      <w:tr>
        <w:trPr>
          <w:trHeight w:val="198"/>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166,706</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332,605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10,388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18,080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0.38</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0.37</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405"/>
        </w:trPr>
        <w:tc>
          <w:tcPr>
            <w:tcW w:w="578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780" w:type="dxa"/>
            <w:vAlign w:val="bottom"/>
          </w:tcPr>
          <w:p>
            <w:pPr>
              <w:spacing w:after="0"/>
              <w:rPr>
                <w:sz w:val="20"/>
                <w:szCs w:val="20"/>
                <w:color w:val="auto"/>
              </w:rPr>
            </w:pPr>
            <w:r>
              <w:rPr>
                <w:rFonts w:ascii="Arial" w:cs="Arial" w:eastAsia="Arial" w:hAnsi="Arial"/>
                <w:sz w:val="18"/>
                <w:szCs w:val="18"/>
                <w:color w:val="auto"/>
              </w:rPr>
              <w:t>Inventories, net consisted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78"/>
              </w:rPr>
              <w:t>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100,675</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109,033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Work-in process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10"/>
              <w:spacing w:after="0"/>
              <w:rPr>
                <w:sz w:val="20"/>
                <w:szCs w:val="20"/>
                <w:color w:val="auto"/>
              </w:rPr>
            </w:pPr>
            <w:r>
              <w:rPr>
                <w:rFonts w:ascii="Arial" w:cs="Arial" w:eastAsia="Arial" w:hAnsi="Arial"/>
                <w:sz w:val="18"/>
                <w:szCs w:val="18"/>
                <w:color w:val="auto"/>
              </w:rPr>
              <w:t>22,998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41,690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38,688</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Less: reserves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(26,044)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(23,501)</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139,319</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146,103</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4. GOODWILL AND OTHER INTANGIBLE ASSETS</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the six months ended June 30, 2009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212,094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w w:val="99"/>
              </w:rPr>
              <w:t>Purchase price allocation adjustments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0"/>
              </w:rPr>
              <w:t>Foreign currency translation</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8"/>
              </w:rPr>
              <w:t>Balance at June 30, 2009</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211,767</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80" w:type="dxa"/>
            <w:vAlign w:val="bottom"/>
            <w:gridSpan w:val="16"/>
            <w:vMerge w:val="restart"/>
          </w:tcPr>
          <w:p>
            <w:pPr>
              <w:spacing w:after="0"/>
              <w:rPr>
                <w:sz w:val="20"/>
                <w:szCs w:val="20"/>
                <w:color w:val="auto"/>
              </w:rPr>
            </w:pPr>
            <w:r>
              <w:rPr>
                <w:rFonts w:ascii="Arial" w:cs="Arial" w:eastAsia="Arial" w:hAnsi="Arial"/>
                <w:sz w:val="18"/>
                <w:szCs w:val="18"/>
                <w:color w:val="auto"/>
                <w:w w:val="91"/>
              </w:rPr>
              <w:t>The components of the Company’s identifiable intangible assets were as follows (in thousands):</w:t>
            </w: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6980" w:type="dxa"/>
            <w:vAlign w:val="bottom"/>
            <w:gridSpan w:val="16"/>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June 30, 2009</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w w:val="91"/>
              </w:rPr>
              <w:t>December 31, 2008</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4"/>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Life</w:t>
            </w:r>
          </w:p>
        </w:tc>
        <w:tc>
          <w:tcPr>
            <w:tcW w:w="8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Cost</w:t>
            </w:r>
          </w:p>
        </w:tc>
        <w:tc>
          <w:tcPr>
            <w:tcW w:w="26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Net</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12 years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67,651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48,839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67,154</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12 years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95,455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(31,294)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64,161</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94,487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(26,104)</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68,383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8"/>
              </w:rPr>
              <w:t>Trademarks/brand names</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35 years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27,390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34,582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28,035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8"/>
              </w:rPr>
              <w:t>Trademarks/brand names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Indefinite</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50,034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50,034</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50,034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50,034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Noncompetition</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5 years</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(6,213)</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6,449</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(5,724)</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Supplier relationships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30 years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29,300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26,240</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29,300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26,630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15 years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285,101</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(67,654)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217,447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283,537</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(57,539)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225,998</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Annual amortization expense is expected to approximate $19.2 million in 2009, $16.7 million in 2010, $16.5 million in 2011, $16.3 million in 2012, $13.6 million in 2013 and $85.1 million thereafter. Identifiable intangible assets are initially recorded at fair market value at the time of acquisition generally using an income or cost approach.</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DEBT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85" w:lineRule="exact"/>
        <w:rPr>
          <w:sz w:val="20"/>
          <w:szCs w:val="20"/>
          <w:color w:val="auto"/>
        </w:rPr>
      </w:pPr>
    </w:p>
    <w:p>
      <w:pPr>
        <w:jc w:val="both"/>
        <w:ind w:left="340" w:right="559"/>
        <w:spacing w:after="0" w:line="283" w:lineRule="auto"/>
        <w:rPr>
          <w:sz w:val="20"/>
          <w:szCs w:val="20"/>
          <w:color w:val="auto"/>
        </w:rPr>
      </w:pPr>
      <w:r>
        <w:rPr>
          <w:rFonts w:ascii="Arial" w:cs="Arial" w:eastAsia="Arial" w:hAnsi="Arial"/>
          <w:sz w:val="16"/>
          <w:szCs w:val="16"/>
          <w:color w:val="auto"/>
        </w:rPr>
        <w:t>On June 11, 2007, the Company issued $165 million aggregate principal amount of its 2010 Notes and $165 million aggregate principal amount of its 2012 Notes (the 2010 Notes and the 2012, collectively the “Notes”). The 2010 Notes and the 2012 Notes bear interest at a rate of 2.75% per annum and 2.375% per annum, respectively, in each case payable semi-annually in arrears on December 1 and June 1 of each year. The fair value of the 2010 Notes and the 2012 Notes at June 30, 2009 was approximately $111.3 million and $151.0 million, respectively. The Notes are senior, unsecured obligations of the Company, and are convertible into cash and, if applicable, shares of its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w:t>
      </w:r>
    </w:p>
    <w:p>
      <w:pPr>
        <w:spacing w:after="0" w:line="2" w:lineRule="exact"/>
        <w:rPr>
          <w:sz w:val="20"/>
          <w:szCs w:val="20"/>
          <w:color w:val="auto"/>
        </w:rPr>
      </w:pPr>
    </w:p>
    <w:p>
      <w:pPr>
        <w:jc w:val="both"/>
        <w:ind w:left="340" w:right="559" w:hanging="8"/>
        <w:spacing w:after="0" w:line="253" w:lineRule="auto"/>
        <w:tabs>
          <w:tab w:leader="none" w:pos="617"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June 30, 2009, the 2010 Notes are classified as current due to their maturity date. However, none of these conditions existed and, as a result, the 2012 Notes are classified as long-term.</w:t>
      </w:r>
    </w:p>
    <w:p>
      <w:pPr>
        <w:spacing w:after="0" w:line="164"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Holders of the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Notes for cash at a repurchase price equal to 100% of the principal amount of the notes being repurchased, plus accrued and unpaid interest, if any.</w:t>
      </w:r>
    </w:p>
    <w:p>
      <w:pPr>
        <w:spacing w:after="0" w:line="11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the Company. The 2010 Notes will rank equal in right of payment to the 2012 Notes. The Notes will be the Company’s direct senior unsecured obligations and will rank equal in right of payment to all of the Company’s existing and future unsecured and unsubordinated indebtedness.</w:t>
      </w:r>
    </w:p>
    <w:p>
      <w:pPr>
        <w:spacing w:after="0" w:line="14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connection with the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initial strike price of the call transactions is (1) for the 2010 Notes, approximately $66.26 per share of Common Stock, and</w:t>
      </w:r>
    </w:p>
    <w:p>
      <w:pPr>
        <w:spacing w:after="0" w:line="46" w:lineRule="exact"/>
        <w:rPr>
          <w:sz w:val="20"/>
          <w:szCs w:val="20"/>
          <w:color w:val="auto"/>
        </w:rPr>
      </w:pPr>
    </w:p>
    <w:p>
      <w:pPr>
        <w:jc w:val="both"/>
        <w:ind w:left="340" w:right="559" w:hanging="8"/>
        <w:spacing w:after="0" w:line="302" w:lineRule="auto"/>
        <w:tabs>
          <w:tab w:leader="none" w:pos="608"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2012 Notes, approximately $64.96, in each case subject to anti-dilution adjustments substantially similar to those in the Notes. The initial strike price of the warrant transactions is (x) for the 2010 Notes, approximately $77.96 per share of Common Stock and (y) for the 2012 Notes, approximately $90.95, in each case subject to customary anti-dilution adjustments.</w:t>
      </w:r>
    </w:p>
    <w:p>
      <w:pPr>
        <w:spacing w:after="0" w:line="115"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March 2009, the Company repurchased $32.1 million principal amount of the 2010 Notes and recognized a gain of $1.2 million. Total cash paid for this repurchase was $29.5 million of which $28.0 million related to repayment of the liability component of the Notes and $1.5 million for payment of accreted interest. In June 2009, the Company repurchased $18.7 million principal amount of the 2010 Notes and recognized a loss of $0.1 million. Total cash paid for this repurchase was $18.0 million of which $16.8 million related to repayment of the liability component of the Notes and $1.2 million for payment of accreted interest. The bond hedge contracts were terminated on a pro-rata basis and the number of options was adjusted to reflect the number of convertible securities outstanding that together have a total principal amount of $114.2 million. In separate transactions, we amended the warrant transactions to reduce the number of warrants outstanding to reflect such number of convertible securities outstanding.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See Note 1, “Basis of Presentation,” for a discussion of the liability component associated with the Covered Notes and the retrospective accounting change resulting from the adoption of FSP APB 14-1 effective January 1, 2009.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85"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As of June 30, 2009 the Company had $200.0 million of outstanding borrowings under this credit facility at a weighted average rate of 1.32%. The fair value of the $200.0 million outstanding borrowings on this credit facility at June 30, 2009 was approximately $183.9 million. The Company used a portion of the proceeds to repay all of the remaining 2008 Notes totaling approximately $119.4 million in the second quarter of 2008 and $3.3 million of related accrued and contingent interest during March 2008. On July 28, 2008 and October 30, 2008, the Company borrowed $80.0 million and $60.0 million, respectively, to fund the acquisition of Theken and for other general corporate purposes. During June 2009, the Company repaid $60.0 million of its outstanding borrowings. The Company regularly borrows under the credit facility and makes payments each month with respect thereto and considers $40.0 million of such outstanding amounts to be short-term in nature based on its current intent and ability to repay borrowing within the next twelve months. If additional borrowings are made in connection with, for instance, future acquisitions, such activities could impact the timing of when the Company intends to repay amounts under this credit facility, which expires in December 2011.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STOCK-BASED COMPENSATION</w:t>
      </w:r>
    </w:p>
    <w:p>
      <w:pPr>
        <w:spacing w:after="0" w:line="202"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As of June 30, 2009, the Company had stock options, restricted stock awards, performance stock awards, contract stock awards and restricted stock unit awards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the 1996 Plan or the 1998 Plan.</w:t>
      </w:r>
    </w:p>
    <w:p>
      <w:pPr>
        <w:spacing w:after="0" w:line="124"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three years after the date of grant.</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19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granted 62,500 and no stock options during the six months ended June 30, 2009 and June 30, 2008, respectively. As of June 30, 2009, there were approximately $6.5 million of total unrecognized compensation costs related to unvested stock options. These costs were expected to be recognized over a weighted-average period of approximately 2.2 years. The Company received proceeds of $0.6 million and $3.6 million from stock option exercises for the six months ended June 30, 2009 and 2008, respectively.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or requisite service period, whichever is shorter. As of June 30, 2009, there was approximately $18.1 million of total unrecognized compensation costs related to unvested awards. These costs are expected to be recognized over a weighted-average period of approximately 2.3 years.</w:t>
      </w:r>
    </w:p>
    <w:p>
      <w:pPr>
        <w:spacing w:after="0" w:line="16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14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 xml:space="preserve">The Company also maintains an Employee Stock Purchase Plan (the “ESPP”), which provides eligible employees of the Company with the opportunity to acquire shares of common stock at periodic intervals by means of accumulated payroll deductions. The ESPP is a non-compensatory plan under FASB Statement No. 123(R), </w:t>
      </w:r>
      <w:r>
        <w:rPr>
          <w:rFonts w:ascii="Arial" w:cs="Arial" w:eastAsia="Arial" w:hAnsi="Arial"/>
          <w:sz w:val="17"/>
          <w:szCs w:val="17"/>
          <w:i w:val="1"/>
          <w:iCs w:val="1"/>
          <w:color w:val="auto"/>
        </w:rPr>
        <w:t>Share Based Payments</w:t>
      </w:r>
      <w:r>
        <w:rPr>
          <w:rFonts w:ascii="Arial" w:cs="Arial" w:eastAsia="Arial" w:hAnsi="Arial"/>
          <w:sz w:val="17"/>
          <w:szCs w:val="17"/>
          <w:color w:val="auto"/>
        </w:rPr>
        <w:t>.</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RETIREMENT BENEFIT PLANS</w:t>
      </w:r>
    </w:p>
    <w:p>
      <w:pPr>
        <w:spacing w:after="0" w:line="202" w:lineRule="exact"/>
        <w:rPr>
          <w:sz w:val="20"/>
          <w:szCs w:val="20"/>
          <w:color w:val="auto"/>
        </w:rPr>
      </w:pPr>
    </w:p>
    <w:p>
      <w:pPr>
        <w:jc w:val="both"/>
        <w:ind w:left="340" w:right="1760"/>
        <w:spacing w:after="0" w:line="290" w:lineRule="auto"/>
        <w:rPr>
          <w:sz w:val="20"/>
          <w:szCs w:val="20"/>
          <w:color w:val="auto"/>
        </w:rPr>
      </w:pPr>
      <w:r>
        <w:rPr>
          <w:rFonts w:ascii="Arial" w:cs="Arial" w:eastAsia="Arial" w:hAnsi="Arial"/>
          <w:sz w:val="16"/>
          <w:szCs w:val="16"/>
          <w:color w:val="auto"/>
        </w:rPr>
        <w:t>The Company maintains defined benefit pension plans that cover employees in its manufacturing plants located in Andover, United Kingdom (the “UK Plan”) and Tuttlingen, Germany (the “Germany Plan”). The Company had maintained a plan covering its employees located in York, Pennsylvania (the “Miltex Plan”) which was terminated in the fourth quarter of 2008 with all distributions made to participants. The Miltex Plan was frozen and all future benefits were curtailed prior to the acquisition of Miltex by the Company. Accordingly, the Miltex Plan had no assets or liabilities remaining at December 31, 2008. The Company closed the Tuttlingen, Germany plant in December 2005. However, the Germany Plan was not terminated and the Company remains obligated for the accrued pension benefits related to this plan. The plans cover certain current and former employees. Net periodic benefit costs for the Company’s defined benefit pension plans included the following amounts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8"/>
                <w:szCs w:val="18"/>
                <w:color w:val="auto"/>
                <w:w w:val="90"/>
              </w:rPr>
              <w:t>Three Months Ended June 30,</w:t>
            </w:r>
          </w:p>
        </w:tc>
        <w:tc>
          <w:tcPr>
            <w:tcW w:w="120" w:type="dxa"/>
            <w:vAlign w:val="bottom"/>
          </w:tcPr>
          <w:p>
            <w:pPr>
              <w:spacing w:after="0"/>
              <w:rPr>
                <w:sz w:val="20"/>
                <w:szCs w:val="20"/>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Six Months Ended June 30,</w:t>
            </w: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721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period benefit cost</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Company made $191,623 and $255,000 of contributions to its defined benefit pension plans during the six months ended June 30, 2009 and 2008,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8. COMPREHENSIVE INCOME</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05"/>
        </w:trPr>
        <w:tc>
          <w:tcPr>
            <w:tcW w:w="3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Comprehensive income was as follows (in thousands):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20" w:type="dxa"/>
            <w:vAlign w:val="bottom"/>
            <w:gridSpan w:val="6"/>
          </w:tcPr>
          <w:p>
            <w:pPr>
              <w:ind w:left="60"/>
              <w:spacing w:after="0"/>
              <w:rPr>
                <w:sz w:val="20"/>
                <w:szCs w:val="20"/>
                <w:color w:val="auto"/>
              </w:rPr>
            </w:pPr>
            <w:r>
              <w:rPr>
                <w:rFonts w:ascii="Arial" w:cs="Arial" w:eastAsia="Arial" w:hAnsi="Arial"/>
                <w:sz w:val="18"/>
                <w:szCs w:val="18"/>
                <w:color w:val="auto"/>
              </w:rPr>
              <w:t>Three Months Ended June 30,</w:t>
            </w:r>
          </w:p>
        </w:tc>
        <w:tc>
          <w:tcPr>
            <w:tcW w:w="120" w:type="dxa"/>
            <w:vAlign w:val="bottom"/>
          </w:tcPr>
          <w:p>
            <w:pPr>
              <w:spacing w:after="0"/>
              <w:rPr>
                <w:sz w:val="24"/>
                <w:szCs w:val="24"/>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Six Months Ended June 30,</w:t>
            </w:r>
          </w:p>
        </w:tc>
        <w:tc>
          <w:tcPr>
            <w:tcW w:w="17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20,792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21,327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13,691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5,726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12,238</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26,518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33,565</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15</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NET INCOME PER SHARE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and diluted net income per share was as follows (in thousands, except per share amounts):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2700" w:type="dxa"/>
            <w:vAlign w:val="bottom"/>
            <w:gridSpan w:val="6"/>
          </w:tcPr>
          <w:p>
            <w:pPr>
              <w:jc w:val="right"/>
              <w:ind w:right="480"/>
              <w:spacing w:after="0"/>
              <w:rPr>
                <w:sz w:val="20"/>
                <w:szCs w:val="20"/>
                <w:color w:val="auto"/>
              </w:rPr>
            </w:pPr>
            <w:r>
              <w:rPr>
                <w:rFonts w:ascii="Arial" w:cs="Arial" w:eastAsia="Arial" w:hAnsi="Arial"/>
                <w:sz w:val="18"/>
                <w:szCs w:val="18"/>
                <w:color w:val="auto"/>
                <w:w w:val="90"/>
              </w:rPr>
              <w:t>Three Months Ended June 30,</w:t>
            </w:r>
          </w:p>
        </w:tc>
        <w:tc>
          <w:tcPr>
            <w:tcW w:w="140" w:type="dxa"/>
            <w:vAlign w:val="bottom"/>
          </w:tcPr>
          <w:p>
            <w:pPr>
              <w:spacing w:after="0"/>
              <w:rPr>
                <w:sz w:val="20"/>
                <w:szCs w:val="20"/>
                <w:color w:val="auto"/>
              </w:rPr>
            </w:pPr>
          </w:p>
        </w:tc>
        <w:tc>
          <w:tcPr>
            <w:tcW w:w="2320" w:type="dxa"/>
            <w:vAlign w:val="bottom"/>
            <w:gridSpan w:val="5"/>
          </w:tcPr>
          <w:p>
            <w:pPr>
              <w:jc w:val="right"/>
              <w:ind w:right="320"/>
              <w:spacing w:after="0"/>
              <w:rPr>
                <w:sz w:val="20"/>
                <w:szCs w:val="20"/>
                <w:color w:val="auto"/>
              </w:rPr>
            </w:pPr>
            <w:r>
              <w:rPr>
                <w:rFonts w:ascii="Arial" w:cs="Arial" w:eastAsia="Arial" w:hAnsi="Arial"/>
                <w:sz w:val="18"/>
                <w:szCs w:val="18"/>
                <w:color w:val="auto"/>
                <w:w w:val="89"/>
              </w:rPr>
              <w:t>Six Months Ended June 30,</w:t>
            </w:r>
          </w:p>
        </w:tc>
      </w:tr>
      <w:tr>
        <w:trPr>
          <w:trHeight w:val="210"/>
        </w:trPr>
        <w:tc>
          <w:tcPr>
            <w:tcW w:w="4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income attributable to common shares</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11,225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12,277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20,792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21,327</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Percentage allocated to common shares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income attributable to common shares</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11,135</w:t>
            </w:r>
          </w:p>
        </w:tc>
        <w:tc>
          <w:tcPr>
            <w:tcW w:w="1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12,044</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20,627</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20,922</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29,004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27,664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28,974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27,276</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0.38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0.77</w:t>
            </w:r>
          </w:p>
        </w:tc>
      </w:tr>
      <w:tr>
        <w:trPr>
          <w:trHeight w:val="202"/>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income attributable to diluted shares</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11,135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12,044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20,627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20,922</w:t>
            </w:r>
          </w:p>
        </w:tc>
      </w:tr>
      <w:tr>
        <w:trPr>
          <w:trHeight w:val="202"/>
        </w:trPr>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 —</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29,004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27,664</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28,974</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27,276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w:t>
            </w:r>
          </w:p>
        </w:tc>
      </w:tr>
      <w:tr>
        <w:trPr>
          <w:trHeight w:val="425"/>
        </w:trPr>
        <w:tc>
          <w:tcPr>
            <w:tcW w:w="4160" w:type="dxa"/>
            <w:vAlign w:val="bottom"/>
          </w:tcPr>
          <w:p>
            <w:pPr>
              <w:spacing w:after="0"/>
              <w:rPr>
                <w:sz w:val="20"/>
                <w:szCs w:val="20"/>
                <w:color w:val="auto"/>
              </w:rPr>
            </w:pPr>
            <w:r>
              <w:rPr>
                <w:rFonts w:ascii="Arial" w:cs="Arial" w:eastAsia="Arial" w:hAnsi="Arial"/>
                <w:sz w:val="18"/>
                <w:szCs w:val="18"/>
                <w:color w:val="auto"/>
              </w:rPr>
              <w:t>Weighted average common shares for diluted</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29,202</w:t>
            </w:r>
          </w:p>
        </w:tc>
        <w:tc>
          <w:tcPr>
            <w:tcW w:w="18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28,277</w:t>
            </w:r>
          </w:p>
        </w:tc>
        <w:tc>
          <w:tcPr>
            <w:tcW w:w="1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29,228</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27,884</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0.75</w:t>
            </w: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29,004</w:t>
            </w:r>
          </w:p>
        </w:tc>
        <w:tc>
          <w:tcPr>
            <w:tcW w:w="18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27,664</w:t>
            </w:r>
          </w:p>
        </w:tc>
        <w:tc>
          <w:tcPr>
            <w:tcW w:w="14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28,974</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27,276</w:t>
            </w:r>
          </w:p>
        </w:tc>
      </w:tr>
      <w:tr>
        <w:trPr>
          <w:trHeight w:val="216"/>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and other</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participating securities</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29,246</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28,212</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29,221</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27,803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Common share percentage</w:t>
            </w:r>
          </w:p>
        </w:tc>
        <w:tc>
          <w:tcPr>
            <w:tcW w:w="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98.1%</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 share percentage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r>
    </w:tbl>
    <w:p>
      <w:pPr>
        <w:spacing w:after="0" w:line="16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As described in Note 1, “Basis of Presentation,” the Company adopted FSP 03-6-1 on January 1, 2009. Certain of the Company’s unvested restricted share units contain rights to receive nonforfeitable dividends, and thus, are participating securities requiring the two-class method of computing EPS. The calculation of earnings per share for common stock shown above excludes the income attributable to the unvested restricted share units from the numerator and excludes the dilutive impact of those units from the denominator.</w:t>
      </w:r>
    </w:p>
    <w:p>
      <w:pPr>
        <w:spacing w:after="0" w:line="148"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At June 30, 2009 and 2008, the Company had 2.6 million and 2.7 million of outstanding stock options, respectively. The Company also has warrants outstanding relating to its 2010 Notes and 2012 Notes. Stock options and warrants are included in the diluted earnings per share calculation using the treasury stock method, unless the effect of including the stock options would be anti-dilutive. For the three months ended June 30, 2009 and 2008, 2.3 million and 0.5 million anti-dilutive stock options, respectively, were excluded from the diluted earnings per share calculation. As the strike price of the warrants exceed the Company’s average stock price for the period, the warrants are anti-dilutive and the entire number of warrants, the amount of which is based on the Company’s average stock price, were also excluded from the diluted earnings per share calculation.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SEGMENT AND GEOGRAPHIC INFORMATION</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14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Company presents its revenues in three categories: NeuroSciences, Orthopedics and Medical Instruments. The Company’s revenues were as follows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620" w:type="dxa"/>
            <w:vAlign w:val="bottom"/>
            <w:gridSpan w:val="6"/>
          </w:tcPr>
          <w:p>
            <w:pPr>
              <w:ind w:left="60"/>
              <w:spacing w:after="0"/>
              <w:rPr>
                <w:sz w:val="20"/>
                <w:szCs w:val="20"/>
                <w:color w:val="auto"/>
              </w:rPr>
            </w:pPr>
            <w:r>
              <w:rPr>
                <w:rFonts w:ascii="Arial" w:cs="Arial" w:eastAsia="Arial" w:hAnsi="Arial"/>
                <w:sz w:val="18"/>
                <w:szCs w:val="18"/>
                <w:color w:val="auto"/>
              </w:rPr>
              <w:t>Three Months Ended June 30,</w:t>
            </w:r>
          </w:p>
        </w:tc>
        <w:tc>
          <w:tcPr>
            <w:tcW w:w="120" w:type="dxa"/>
            <w:vAlign w:val="bottom"/>
          </w:tcPr>
          <w:p>
            <w:pPr>
              <w:spacing w:after="0"/>
              <w:rPr>
                <w:sz w:val="20"/>
                <w:szCs w:val="20"/>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Six Months Ended June 30,</w:t>
            </w: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NeuroSciences</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61,448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62,762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121,179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124,466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65,164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50,993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129,530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101,348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Medical Instruments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39,113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43,443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75,966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87,392</w:t>
            </w: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326,675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313,206</w:t>
            </w: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Certain of the Company’s products, including the DuraGen</w:t>
      </w:r>
      <w:r>
        <w:rPr>
          <w:rFonts w:ascii="Arial" w:cs="Arial" w:eastAsia="Arial" w:hAnsi="Arial"/>
          <w:sz w:val="13"/>
          <w:szCs w:val="13"/>
          <w:color w:val="auto"/>
        </w:rPr>
        <w:t>®</w:t>
      </w:r>
      <w:r>
        <w:rPr>
          <w:rFonts w:ascii="Arial" w:cs="Arial" w:eastAsia="Arial" w:hAnsi="Arial"/>
          <w:sz w:val="16"/>
          <w:szCs w:val="16"/>
          <w:color w:val="auto"/>
        </w:rPr>
        <w:t xml:space="preserve"> and NeuraGen</w:t>
      </w:r>
      <w:r>
        <w:rPr>
          <w:rFonts w:ascii="Arial" w:cs="Arial" w:eastAsia="Arial" w:hAnsi="Arial"/>
          <w:sz w:val="13"/>
          <w:szCs w:val="13"/>
          <w:color w:val="auto"/>
        </w:rPr>
        <w:t>®</w:t>
      </w:r>
      <w:r>
        <w:rPr>
          <w:rFonts w:ascii="Arial" w:cs="Arial" w:eastAsia="Arial" w:hAnsi="Arial"/>
          <w:sz w:val="16"/>
          <w:szCs w:val="16"/>
          <w:color w:val="auto"/>
        </w:rPr>
        <w:t xml:space="preserve"> product families and the INTEGRA</w:t>
      </w:r>
      <w:r>
        <w:rPr>
          <w:rFonts w:ascii="Arial" w:cs="Arial" w:eastAsia="Arial" w:hAnsi="Arial"/>
          <w:sz w:val="13"/>
          <w:szCs w:val="13"/>
          <w:color w:val="auto"/>
        </w:rPr>
        <w:t>®</w:t>
      </w:r>
      <w:r>
        <w:rPr>
          <w:rFonts w:ascii="Arial" w:cs="Arial" w:eastAsia="Arial" w:hAnsi="Arial"/>
          <w:sz w:val="16"/>
          <w:szCs w:val="16"/>
          <w:color w:val="auto"/>
        </w:rPr>
        <w:t xml:space="preserve"> Dermal Regeneration Template and wound-dressing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constituted 22.9% and 22.4% of total revenues in each of the three-month periods ended June 30, 2009 and 2008,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by major geographic area are summarized below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620" w:type="dxa"/>
            <w:vAlign w:val="bottom"/>
            <w:gridSpan w:val="6"/>
          </w:tcPr>
          <w:p>
            <w:pPr>
              <w:ind w:left="80"/>
              <w:spacing w:after="0"/>
              <w:rPr>
                <w:sz w:val="20"/>
                <w:szCs w:val="20"/>
                <w:color w:val="auto"/>
              </w:rPr>
            </w:pPr>
            <w:r>
              <w:rPr>
                <w:rFonts w:ascii="Arial" w:cs="Arial" w:eastAsia="Arial" w:hAnsi="Arial"/>
                <w:sz w:val="18"/>
                <w:szCs w:val="18"/>
                <w:color w:val="auto"/>
              </w:rPr>
              <w:t>Three months ended June 30,</w:t>
            </w:r>
          </w:p>
        </w:tc>
        <w:tc>
          <w:tcPr>
            <w:tcW w:w="120" w:type="dxa"/>
            <w:vAlign w:val="bottom"/>
          </w:tcPr>
          <w:p>
            <w:pPr>
              <w:spacing w:after="0"/>
              <w:rPr>
                <w:sz w:val="20"/>
                <w:szCs w:val="20"/>
                <w:color w:val="auto"/>
              </w:rPr>
            </w:pPr>
          </w:p>
        </w:tc>
        <w:tc>
          <w:tcPr>
            <w:tcW w:w="2180" w:type="dxa"/>
            <w:vAlign w:val="bottom"/>
            <w:gridSpan w:val="5"/>
          </w:tcPr>
          <w:p>
            <w:pPr>
              <w:jc w:val="right"/>
              <w:ind w:right="220"/>
              <w:spacing w:after="0"/>
              <w:rPr>
                <w:sz w:val="20"/>
                <w:szCs w:val="20"/>
                <w:color w:val="auto"/>
              </w:rPr>
            </w:pPr>
            <w:r>
              <w:rPr>
                <w:rFonts w:ascii="Arial" w:cs="Arial" w:eastAsia="Arial" w:hAnsi="Arial"/>
                <w:sz w:val="18"/>
                <w:szCs w:val="18"/>
                <w:color w:val="auto"/>
                <w:w w:val="88"/>
              </w:rPr>
              <w:t>Six months ended June 30,</w:t>
            </w: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127,086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115,754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249,671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229,129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23,035</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25,937</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46,429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52,599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7,935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6,142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13,361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Foreign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9,365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15,446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18,117</w:t>
            </w: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326,675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313,206</w:t>
            </w: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COMMITMENTS AND CONTINGENCIES</w:t>
      </w:r>
    </w:p>
    <w:p>
      <w:pPr>
        <w:spacing w:after="0" w:line="18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3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most significant of those are described below.</w:t>
      </w:r>
    </w:p>
    <w:p>
      <w:pPr>
        <w:spacing w:after="0" w:line="13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May 2006, Codman &amp; Shurtleff, Inc., a subsidiary of Johnson &amp; Johnson, commenced an action in the United States District Court for the District of New Jersey for declaratory judgment against the Company with respect to United States Patent No. 5,997,895 (the “‘895 Patent”) held by the Company. The Company’s ‘895 Patent describes dural repair technology related to the Company’s DuraGen</w:t>
      </w:r>
      <w:r>
        <w:rPr>
          <w:rFonts w:ascii="Arial" w:cs="Arial" w:eastAsia="Arial" w:hAnsi="Arial"/>
          <w:sz w:val="15"/>
          <w:szCs w:val="15"/>
          <w:color w:val="auto"/>
        </w:rPr>
        <w:t>®</w:t>
      </w:r>
      <w:r>
        <w:rPr>
          <w:rFonts w:ascii="Arial" w:cs="Arial" w:eastAsia="Arial" w:hAnsi="Arial"/>
          <w:sz w:val="18"/>
          <w:szCs w:val="18"/>
          <w:color w:val="auto"/>
        </w:rPr>
        <w:t xml:space="preserve"> family of duraplasty products.</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action sought declaratory relief that Codman’s DURAFORM</w:t>
      </w:r>
      <w:r>
        <w:rPr>
          <w:rFonts w:ascii="Arial" w:cs="Arial" w:eastAsia="Arial" w:hAnsi="Arial"/>
          <w:sz w:val="15"/>
          <w:szCs w:val="15"/>
          <w:color w:val="auto"/>
        </w:rPr>
        <w:t>®</w:t>
      </w:r>
      <w:r>
        <w:rPr>
          <w:rFonts w:ascii="Arial" w:cs="Arial" w:eastAsia="Arial" w:hAnsi="Arial"/>
          <w:sz w:val="18"/>
          <w:szCs w:val="18"/>
          <w:color w:val="auto"/>
        </w:rPr>
        <w:t xml:space="preserve"> product does not infringe the Company’s ‘895 Patent and that the Company’s ‘895 Patent is invalid and unenforceable. The Company filed a counterclaim seeking a judgment that Codman’s DURAFORM</w:t>
      </w:r>
      <w:r>
        <w:rPr>
          <w:rFonts w:ascii="Arial" w:cs="Arial" w:eastAsia="Arial" w:hAnsi="Arial"/>
          <w:sz w:val="15"/>
          <w:szCs w:val="15"/>
          <w:color w:val="auto"/>
        </w:rPr>
        <w:t>®</w:t>
      </w:r>
      <w:r>
        <w:rPr>
          <w:rFonts w:ascii="Arial" w:cs="Arial" w:eastAsia="Arial" w:hAnsi="Arial"/>
          <w:sz w:val="18"/>
          <w:szCs w:val="18"/>
          <w:color w:val="auto"/>
        </w:rPr>
        <w:t xml:space="preserve"> product infringes the ‘895 Patent. In August 2009, the parties settled the litigation for an immaterial amount and entered into covenants not to sue and mutual releases.</w:t>
      </w:r>
    </w:p>
    <w:p>
      <w:pPr>
        <w:spacing w:after="0" w:line="160"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1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Company accrues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 as permitted by EITF Topic D-77.</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SUBSEQUENT EVENTS</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accordance with SFAS 165, the Company has evaluated subsequent events through August 6, 2009, the date of issuance of the unaudited condensed consolidated financial statements. During this period, the Company did not have any material recognizable subsequent events.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080" w:right="559" w:hanging="742"/>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2008 included in our Annual Report on Form 10-K.</w:t>
      </w:r>
    </w:p>
    <w:p>
      <w:pPr>
        <w:spacing w:after="0" w:line="12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2008. We undertake no obligation to publicly update or revise any forward-looking statements, whether as a result of new information, future events or otherwise.</w:t>
      </w:r>
    </w:p>
    <w:p>
      <w:pPr>
        <w:spacing w:after="0" w:line="14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You can identify these forward-looking statements by forward-looking words such as “believe,” “may,” “could,” “will,” “estimate,” “continue,” “anticipate,” “intend,” “seek,” “plan,” “expect,” “should,” “would” and similar expressions in this report.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46"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We present revenues in three market categories: NeuroSciences, Orthopedics and Medical Instruments. Our neurosurgical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orthopedics products include specialty metal implants for surgery of the extremities and spine, orthobiologics products for repair and grafting of bone, dermal regeneration products and tissue engineered wound dressings and nerve and tendon repair products. Our medical instruments products include a wide range of specialty and general surgical and dental instruments and surgical lighting for sale to hospitals, outpatient surgery centers, and physician, veterinarian and dental practices.</w:t>
      </w:r>
    </w:p>
    <w:p>
      <w:pPr>
        <w:spacing w:after="0" w:line="13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We manage these product groups and distribution channels on a centralized basis. Accordingly, we report our financial results under a single operating segment — the development, manufacture and distribution of medical devices.</w:t>
      </w:r>
    </w:p>
    <w:p>
      <w:pPr>
        <w:spacing w:after="0" w:line="106"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We manufacture many of our products in plants located in the U.S., Puerto Rico, France, Germany, Ireland, the United Kingdom and Mexico. We also source most of our handheld surgical instruments through specialized third-party vendors.</w:t>
      </w:r>
    </w:p>
    <w:p>
      <w:pPr>
        <w:spacing w:after="0" w:line="10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the U.S., we have three sales channels. The largest sales channel, Integra Orthopedics, includes three sales organizations: Integra Extremity Reconstruction, which sells through a large direct sales organization; Integra OrthoBiologics and Integra Spine, which each sell through specialty distributors focused on their respective surgical specialties. Integra NeuroSciences, sells products through directly employed sales representatives. The Integra Medical Instruments market sales channel sells through two main sales organizations: Integra Surgical, which sells both directly and through distributors and Miltex, which sells through distributors and wholesalers.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market certain products through strategic partners or original equipment manufacturer customers.</w:t>
      </w:r>
    </w:p>
    <w:p>
      <w:pPr>
        <w:spacing w:after="0" w:line="185"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13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operating cash flows (which we aim to increase through improved working capital management), and earnings per diluted share of common stock.</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98"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i w:val="1"/>
          <w:iCs w:val="1"/>
          <w:color w:val="auto"/>
        </w:rPr>
        <w:t xml:space="preserve">Developing, manufacturing and selling specialty regenerative technology products. </w:t>
      </w:r>
      <w:r>
        <w:rPr>
          <w:rFonts w:ascii="Arial" w:cs="Arial" w:eastAsia="Arial" w:hAnsi="Arial"/>
          <w:sz w:val="18"/>
          <w:szCs w:val="18"/>
          <w:color w:val="auto"/>
        </w:rPr>
        <w:t>We have a broad technology platform for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products that regenerate or repair soft tissue and bone. We believe that we have a particular advantage in developing, manufacturing and selling tissue repair products derived from bovine collagen. These products comprised 23% and 22% of revenues for the six months ended June 30, 2009 and 2008, respectively. Products that contain materials derived from animal sources, including food, pharmaceuticals and medical devices, have been subject to scrutiny from the media and regulatory authorities. Accordingly, widespread public controversy concerning collagen products, new regulations, or a ban of our products containing material derived from bovine tissue, could have a material adverse effect on our current business and our ability to expand.</w:t>
      </w:r>
    </w:p>
    <w:p>
      <w:pPr>
        <w:spacing w:after="0" w:line="15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i w:val="1"/>
          <w:iCs w:val="1"/>
          <w:color w:val="auto"/>
        </w:rPr>
        <w:t xml:space="preserve">Developing metal implants for bone and joint repair, fixation and fusion. </w:t>
      </w:r>
      <w:r>
        <w:rPr>
          <w:rFonts w:ascii="Arial" w:cs="Arial" w:eastAsia="Arial" w:hAnsi="Arial"/>
          <w:sz w:val="18"/>
          <w:szCs w:val="18"/>
          <w:color w:val="auto"/>
        </w:rPr>
        <w:t>Through acquisitions, particularly those of Theken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and Newdeal Technologies SAS in 2005, we have acquired significant expertise in developing metal implants for use in bone and joint repair, fixation and fusion and in successfully bringing those products to market.</w:t>
      </w:r>
    </w:p>
    <w:p>
      <w:pPr>
        <w:spacing w:after="0" w:line="14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i w:val="1"/>
          <w:iCs w:val="1"/>
          <w:color w:val="auto"/>
        </w:rPr>
        <w:t xml:space="preserve">Acquiring and integrating new product lines and complementary businesses. </w:t>
      </w:r>
      <w:r>
        <w:rPr>
          <w:rFonts w:ascii="Arial" w:cs="Arial" w:eastAsia="Arial" w:hAnsi="Arial"/>
          <w:sz w:val="17"/>
          <w:szCs w:val="17"/>
          <w:color w:val="auto"/>
        </w:rPr>
        <w:t>Since 1999, we have acquired and integrated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30 product lines or businesses through an acquisition program that focuses on acquiring companies or product lines at reasonable valuations which complement our existing product lines or can be used to leverage our broad technology platform in tissue regeneration and metal implants. We also employ a team of seasoned managers and executives who have demonstrated their ability to successfully integrate the acquired product lines and businesses.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Our strategy for growing our business includes the acquisition of complementary product lines and companies. Our recent acquisitions of businesses, assets and product lines may make our financial results for the six months ended June 30, 2009 not directly comparable to those of the corresponding prior-year period. See Note 2 to the unaudited condensed consolidated financial statements for a further discussion. Since the beginning of 2008, we have acquired the following businesses:</w:t>
      </w:r>
    </w:p>
    <w:p>
      <w:pPr>
        <w:spacing w:after="0" w:line="114"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In August 2008, we acquired Theken Spine, LLC, Theken Disc, LLC and Therics, LLC (collectively, “Theken”) for $75.0 million in cash, acquisition expenses of $2.4 million, working capital adjustments of $4.0 million, and up to approximately $121.0 million in future payments based on the revenue performance of the business in the two years after closing. Theken, based in Akron, Ohio, designs, develops and manufactures spinal fixation products, synthetic bone substitute products and spinal arthroplasty products. With Theken, we acquired a unique and comprehensive portfolio of spinal implant products and a robust technology pipeline and demonstrated product development capacity, an established network of spinal hardware distributors with established access to the orthopedic spine market, and a strong management team with extensive experience in the orthopedic spine market. Theken does not currently sell its products outside of the U.S. Accordingly, we expect that the business will benefit from Integra’s large international presence. The Theken products are now being marketed under the name Integra Spine™.</w:t>
      </w:r>
    </w:p>
    <w:p>
      <w:pPr>
        <w:spacing w:after="0" w:line="14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October 2008, we acquired Integra Neurosciences Pty Ltd. in Australia and Integra Neurosciences Pty Ltd. in New Zealand for $4.0 million (6.0 million Australian Dollars) in cash at closing, $0.3 million in acquisition expenses and working capital adjustments, and up to $2.1 million (3.1 million Australian Dollars) in future payments based on the performance of business in the three years after closing. With this acquisition of the Company’s long-standing distributor, we now have a direct selling presence in Australia and New Zealand.</w:t>
      </w:r>
    </w:p>
    <w:p>
      <w:pPr>
        <w:spacing w:after="0" w:line="148"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In December 2008, we acquired Minnesota Scientific, Inc., doing business as Omni-Tract Surgical (“Omni-Tract”), for $6.4 million in cash paid at closing, 310,000 unregistered shares of our common stock valued at $10.7 million (of which 135,000 shares were issued at closing, with the remainder issued in January 2009), working capital adjustments of $0.1 million and $0.3 million in transaction related costs, subject to certain adjustments. Omni-Tract is a global leader in the development and manufacture of table mounted retractors and is based in St. Paul, Minnesota. Omni-Tract markets and sells these retractor systems for use in vascular, bariatric, general, urologic, orthopedic, spine, pediatric, and laparoscopic surgery. We have integrated Omni-Tract’s product lines into our combined offering of JARIT</w:t>
      </w:r>
      <w:r>
        <w:rPr>
          <w:rFonts w:ascii="Arial" w:cs="Arial" w:eastAsia="Arial" w:hAnsi="Arial"/>
          <w:sz w:val="14"/>
          <w:szCs w:val="14"/>
          <w:color w:val="auto"/>
        </w:rPr>
        <w:t>®</w:t>
      </w:r>
      <w:r>
        <w:rPr>
          <w:rFonts w:ascii="Arial" w:cs="Arial" w:eastAsia="Arial" w:hAnsi="Arial"/>
          <w:sz w:val="17"/>
          <w:szCs w:val="17"/>
          <w:color w:val="auto"/>
        </w:rPr>
        <w:t>, Padgett™, R&amp;B Redmond™, and Luxtec</w:t>
      </w:r>
      <w:r>
        <w:rPr>
          <w:rFonts w:ascii="Arial" w:cs="Arial" w:eastAsia="Arial" w:hAnsi="Arial"/>
          <w:sz w:val="14"/>
          <w:szCs w:val="14"/>
          <w:color w:val="auto"/>
        </w:rPr>
        <w:t>®</w:t>
      </w:r>
      <w:r>
        <w:rPr>
          <w:rFonts w:ascii="Arial" w:cs="Arial" w:eastAsia="Arial" w:hAnsi="Arial"/>
          <w:sz w:val="17"/>
          <w:szCs w:val="17"/>
          <w:color w:val="auto"/>
        </w:rPr>
        <w:t xml:space="preserve"> lines of surgical instruments and illumination systems sold by the Integra Medical Instruments sales organization.</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Net income for the three months ended June 30, 2009 was $11.2 million, or $0.38 per diluted share, as compared with net income of $12.3 million, or $0.43 per diluted share, for the three months ended June 30, 2008.</w:t>
      </w:r>
    </w:p>
    <w:p>
      <w:pPr>
        <w:spacing w:after="0" w:line="13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Net income for the six months ended June 30, 2009 was $20.8 million, or $0.71 per diluted share, as compared with net income of $21.3 million, or $0.75 per diluted share, for the six months ended June 30, 2008.</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decrease in net income for the three months ended June 30, 2009 over the prior year period resulted primarily from increases in operating expenses and an increase in the effective tax rate as a percentage of income before taxes from 31.3% during the 2008 period to 35.4% in the second quarter of 2009, offset by a 5% increase in revenues, and an improvement in gross margin percentage from 63% in the 2008 period to 64% in 2009.</w:t>
      </w:r>
    </w:p>
    <w:p>
      <w:pPr>
        <w:spacing w:after="0" w:line="146"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 decrease in net income for the six months ended June 30, 2009 over the prior year period resulted primarily from increases in research and development and selling, general and administrative expenses and an increase in the estimated tax rate, offset by a 4% increase in revenues, and an improvement in gross margin percentage from 62% in the 2008 period to 64% in 2009.</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costs and expenses include the following charges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620" w:type="dxa"/>
            <w:vAlign w:val="bottom"/>
            <w:gridSpan w:val="6"/>
          </w:tcPr>
          <w:p>
            <w:pPr>
              <w:ind w:left="60"/>
              <w:spacing w:after="0"/>
              <w:rPr>
                <w:sz w:val="20"/>
                <w:szCs w:val="20"/>
                <w:color w:val="auto"/>
              </w:rPr>
            </w:pPr>
            <w:r>
              <w:rPr>
                <w:rFonts w:ascii="Arial" w:cs="Arial" w:eastAsia="Arial" w:hAnsi="Arial"/>
                <w:sz w:val="18"/>
                <w:szCs w:val="18"/>
                <w:color w:val="auto"/>
              </w:rPr>
              <w:t>Three Months Ended June 30,</w:t>
            </w:r>
          </w:p>
        </w:tc>
        <w:tc>
          <w:tcPr>
            <w:tcW w:w="120" w:type="dxa"/>
            <w:vAlign w:val="bottom"/>
          </w:tcPr>
          <w:p>
            <w:pPr>
              <w:spacing w:after="0"/>
              <w:rPr>
                <w:sz w:val="20"/>
                <w:szCs w:val="20"/>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Six Months Ended June 30,</w:t>
            </w: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and related costs</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Inventory fair market value purchase accounting</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1,924</w:t>
            </w: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3,931</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3,661</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Facility consolidation, acquisition integration,</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manufacturing and distribution transfer, and system</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integration charges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Discontinued product lines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Incremental professional and bank fees related to (a) the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delayed filing of financial statements and (b) waivers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 possibility of obtaining waivers under our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w:t>
            </w: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(Gain)/loss related to early extinguishment of</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convertible note</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(1,124)</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interest expense related to the application of</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FSP APB 14-1</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2,765</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5,527</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Foreign exchange loss on intercompany loan (1)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1,876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11,844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5,267</w:t>
            </w: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86"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foreign exchange loss is associated with our intercompany loan set up in connection with the restructuring of a German subsidiary in the fourth quarter of 2008. Net income for the six months ended June 30, 2009 and prior periods include foreign exchange gains and losses associated with intercompany loans not related to any restructuring.</w:t>
      </w:r>
    </w:p>
    <w:p>
      <w:pPr>
        <w:spacing w:after="0" w:line="13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Of these amounts, $4.4 million and $4.1 million were charged to cost of product revenues in the six-month periods ended June 30, 2009 and 2008, respectively. The remaining amounts, except for intangible asset amortization and interest expense, were charged to selling, general and administrative expenses.</w:t>
      </w:r>
    </w:p>
    <w:p>
      <w:pPr>
        <w:spacing w:after="0" w:line="14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We believe that, given our strategy of seeking new acquisitions and integrating recent acquisitions, our current focus on rationalizing our existing manufacturing and distribution infrastructure, our recent review of various product lines in relation to our current business strategy, and a 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 across reporting periods.</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gross margin on product revenues were as follows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jc w:val="right"/>
              <w:ind w:right="800"/>
              <w:spacing w:after="0"/>
              <w:rPr>
                <w:sz w:val="20"/>
                <w:szCs w:val="20"/>
                <w:color w:val="auto"/>
              </w:rPr>
            </w:pPr>
            <w:r>
              <w:rPr>
                <w:rFonts w:ascii="Arial" w:cs="Arial" w:eastAsia="Arial" w:hAnsi="Arial"/>
                <w:sz w:val="18"/>
                <w:szCs w:val="18"/>
                <w:color w:val="auto"/>
                <w:w w:val="99"/>
              </w:rPr>
              <w:t>Three Months Ended</w:t>
            </w:r>
          </w:p>
        </w:tc>
        <w:tc>
          <w:tcPr>
            <w:tcW w:w="200" w:type="dxa"/>
            <w:vAlign w:val="bottom"/>
          </w:tcPr>
          <w:p>
            <w:pPr>
              <w:spacing w:after="0"/>
              <w:rPr>
                <w:sz w:val="18"/>
                <w:szCs w:val="18"/>
                <w:color w:val="auto"/>
              </w:rPr>
            </w:pPr>
          </w:p>
        </w:tc>
        <w:tc>
          <w:tcPr>
            <w:tcW w:w="2260" w:type="dxa"/>
            <w:vAlign w:val="bottom"/>
            <w:gridSpan w:val="5"/>
          </w:tcPr>
          <w:p>
            <w:pPr>
              <w:jc w:val="right"/>
              <w:ind w:right="640"/>
              <w:spacing w:after="0"/>
              <w:rPr>
                <w:sz w:val="20"/>
                <w:szCs w:val="20"/>
                <w:color w:val="auto"/>
              </w:rPr>
            </w:pPr>
            <w:r>
              <w:rPr>
                <w:rFonts w:ascii="Arial" w:cs="Arial" w:eastAsia="Arial" w:hAnsi="Arial"/>
                <w:sz w:val="18"/>
                <w:szCs w:val="18"/>
                <w:color w:val="auto"/>
              </w:rPr>
              <w:t>Six Months Ended</w:t>
            </w:r>
          </w:p>
        </w:tc>
      </w:tr>
      <w:tr>
        <w:trPr>
          <w:trHeight w:val="230"/>
        </w:trPr>
        <w:tc>
          <w:tcPr>
            <w:tcW w:w="4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NeuroSciences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61,448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62,762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121,179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124,466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Orthopedics</w:t>
            </w:r>
          </w:p>
        </w:tc>
        <w:tc>
          <w:tcPr>
            <w:tcW w:w="2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65,164</w:t>
            </w:r>
          </w:p>
        </w:tc>
        <w:tc>
          <w:tcPr>
            <w:tcW w:w="1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50,993</w:t>
            </w:r>
          </w:p>
        </w:tc>
        <w:tc>
          <w:tcPr>
            <w:tcW w:w="2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129,530</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101,348</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Medical Instruments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39,113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43,443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75,966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87,392</w:t>
            </w: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165,725</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157,198</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326,675</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313,206</w:t>
            </w:r>
          </w:p>
        </w:tc>
        <w:tc>
          <w:tcPr>
            <w:tcW w:w="16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59,805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58,159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117,953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120,371</w:t>
            </w: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Gross margin on total revenues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105,920</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99,039</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208,722</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192,835</w:t>
            </w:r>
          </w:p>
        </w:tc>
        <w:tc>
          <w:tcPr>
            <w:tcW w:w="16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total revenues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right="1499"/>
        <w:spacing w:after="0" w:line="464" w:lineRule="auto"/>
        <w:rPr>
          <w:sz w:val="20"/>
          <w:szCs w:val="20"/>
          <w:color w:val="auto"/>
        </w:rPr>
      </w:pPr>
      <w:r>
        <w:rPr>
          <w:rFonts w:ascii="Arial" w:cs="Arial" w:eastAsia="Arial" w:hAnsi="Arial"/>
          <w:sz w:val="18"/>
          <w:szCs w:val="18"/>
          <w:b w:val="1"/>
          <w:bCs w:val="1"/>
          <w:color w:val="auto"/>
        </w:rPr>
        <w:t>THREE MONTHS ENDED JUNE 30, 2009 AS COMPARED TO THREE MONTHS ENDED JUNE 30, 2008 Revenues and Gross Margin</w:t>
      </w:r>
    </w:p>
    <w:p>
      <w:pPr>
        <w:jc w:val="both"/>
        <w:ind w:left="340" w:right="559"/>
        <w:spacing w:after="0" w:line="302" w:lineRule="auto"/>
        <w:rPr>
          <w:sz w:val="20"/>
          <w:szCs w:val="20"/>
          <w:color w:val="auto"/>
        </w:rPr>
      </w:pPr>
      <w:r>
        <w:rPr>
          <w:rFonts w:ascii="Arial" w:cs="Arial" w:eastAsia="Arial" w:hAnsi="Arial"/>
          <w:sz w:val="16"/>
          <w:szCs w:val="16"/>
          <w:color w:val="auto"/>
        </w:rPr>
        <w:t>For the three months ended June 30, 2009, total revenues increased by $8.5 million, or 5%, to $165.7 million from $157.2 million for the same period during 2008. Domestic revenues increased by $11.3 million to $127.1 million, or 77% of total revenues, for the three months ended June 30, 2009 from $115.8 million, or 74% of total revenues, for the three months ended June 30, 2008. International revenues decreased to $38.6 million from $41.4 million in the prior-year period, a decrease of 7%.</w:t>
      </w:r>
    </w:p>
    <w:p>
      <w:pPr>
        <w:spacing w:after="0" w:line="11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the NeuroSciences category, sales of hospital capital equipment decreased from 2008, particularly in our Radionics</w:t>
      </w:r>
      <w:r>
        <w:rPr>
          <w:rFonts w:ascii="Arial" w:cs="Arial" w:eastAsia="Arial" w:hAnsi="Arial"/>
          <w:sz w:val="15"/>
          <w:szCs w:val="15"/>
          <w:color w:val="auto"/>
        </w:rPr>
        <w:t>®</w:t>
      </w:r>
      <w:r>
        <w:rPr>
          <w:rFonts w:ascii="Arial" w:cs="Arial" w:eastAsia="Arial" w:hAnsi="Arial"/>
          <w:sz w:val="18"/>
          <w:szCs w:val="18"/>
          <w:color w:val="auto"/>
        </w:rPr>
        <w:t xml:space="preserve"> image-guided surgery and stereotactic radio surgery systems and ultrasonic surgery systems. We expect that hospitals will continue to spend less on capital equipment than in prior years for several more quarters. Revenues from implants, particularly our DuraGen family of products, continued to grow.</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the Orthopedics category, sales of our neurosurgical metal spine implants provided most of the year-over-year growth, and sales of extremity reconstruction products for skin/wound, mid/hindfoot, and upper extremity applications also grew according to plan. Private label orthopedics revenues were down significantly.</w:t>
      </w:r>
    </w:p>
    <w:p>
      <w:pPr>
        <w:spacing w:after="0" w:line="154"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the Medical Instruments category, sales decreased due to eliminated distributed lines and declining in office-based instruments and pain management sales. Sales of hospital-based instruments increased as a result of the acquisition of the Omni-Tract line in December 2008.</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Foreign exchange fluctuations, primarily due to the weakening of the euro, British pound, and Canadian, Australian and New Zealand dollars versus the dollar, accounted for a $4.6 million decrease in second quarter of 2009 revenues as compared to the same period last year.</w:t>
      </w:r>
    </w:p>
    <w:p>
      <w:pPr>
        <w:spacing w:after="0" w:line="14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We expect that the following factors will continue to temper sales growth in the short term: reduced spending by hospitals on capital equipment, the occurrence of fewer elective surgical procedures in the current global recessionary economic environment, and our recent elimination of many of the product lines we distributed for third parties. However, we do expect these factors to produce a benefit in our gross margin as a percentage of revenue, as most of our capital equipment products and products distributed for third parties tend to generate lower gross margins as compared to our other products.</w:t>
      </w:r>
    </w:p>
    <w:p>
      <w:pPr>
        <w:spacing w:after="0" w:line="146"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While most of our products are not used in elective surgical procedures, approximately 9% of our revenues in the three-month period ended June 30, 2009 consisted of sales of capital equipment. Given the current economic conditions, lower hospital spending on capital equipment is expected to continue throughout 2009 and potentially beyond then. With our large installed base of capital equipment, such as Camino</w:t>
      </w:r>
      <w:r>
        <w:rPr>
          <w:rFonts w:ascii="Arial" w:cs="Arial" w:eastAsia="Arial" w:hAnsi="Arial"/>
          <w:sz w:val="14"/>
          <w:szCs w:val="14"/>
          <w:color w:val="auto"/>
        </w:rPr>
        <w:t>®</w:t>
      </w:r>
      <w:r>
        <w:rPr>
          <w:rFonts w:ascii="Arial" w:cs="Arial" w:eastAsia="Arial" w:hAnsi="Arial"/>
          <w:sz w:val="17"/>
          <w:szCs w:val="17"/>
          <w:color w:val="auto"/>
        </w:rPr>
        <w:t xml:space="preserve"> intracranial pressure monitors, CUSA</w:t>
      </w:r>
      <w:r>
        <w:rPr>
          <w:rFonts w:ascii="Arial" w:cs="Arial" w:eastAsia="Arial" w:hAnsi="Arial"/>
          <w:sz w:val="14"/>
          <w:szCs w:val="14"/>
          <w:color w:val="auto"/>
        </w:rPr>
        <w:t>®</w:t>
      </w:r>
      <w:r>
        <w:rPr>
          <w:rFonts w:ascii="Arial" w:cs="Arial" w:eastAsia="Arial" w:hAnsi="Arial"/>
          <w:sz w:val="17"/>
          <w:szCs w:val="17"/>
          <w:color w:val="auto"/>
        </w:rPr>
        <w:t xml:space="preserve"> ultrasonic surgical systems, and Radionics</w:t>
      </w:r>
      <w:r>
        <w:rPr>
          <w:rFonts w:ascii="Arial" w:cs="Arial" w:eastAsia="Arial" w:hAnsi="Arial"/>
          <w:sz w:val="14"/>
          <w:szCs w:val="14"/>
          <w:color w:val="auto"/>
        </w:rPr>
        <w:t>®</w:t>
      </w:r>
      <w:r>
        <w:rPr>
          <w:rFonts w:ascii="Arial" w:cs="Arial" w:eastAsia="Arial" w:hAnsi="Arial"/>
          <w:sz w:val="17"/>
          <w:szCs w:val="17"/>
          <w:color w:val="auto"/>
        </w:rPr>
        <w:t xml:space="preserve"> image-guided surgery and stereotactic radio surgery systems, we expect to continue to generate revenue growth from the related disposable products. We expect to drive future revenue growth by continuing to launch new products and acquire businesses and products that can be sold through our existing sales organizations, and by gaining additional market share through the expansion of our Integra Extremity Reconstruction and Integra Spine sales organizations in the U.S. and leveraging the distribution channels in our Integra Spine, Integra NeuroSciences, and Integra OrthoBiologics sales organizations to broaden each organization’s access to spine surgeons. We believe that the biggest opportunities for revenue growth exist in the extremity reconstruction and spine markets.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Gross margin increased by $7.0 million to $106.0 million for the three-month period ended June 30, 2009, from $99.0 million for the same period last year. Gross margin as a percentage of total revenue was 64% for the second quarter 2009 compared to 63% for the same period last year. This increase results from a higher portion of product sales coming from higher margin implants, particularly spine and extremity reconstruction, in combination with reduced sales of lower margin instrument, distributed and capital products. The mix change offset a decrease in margin caused by an increase in inventory purchase accounting adjustments, where charges of $1.9 million related to Theken in the second quarter of 2009 versus charges related to our Precise Dental acquisitions affected the second quarter of 2008 by $0.2 million.</w:t>
      </w:r>
    </w:p>
    <w:p>
      <w:pPr>
        <w:spacing w:after="0" w:line="151"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We expect our consolidated gross margin to improve in 2009 as sales of our higher gross margin implant products, particularly those from the spine business, are expected to continue to increase as a proportion of total revenues. Our gross margin as a percentage of sales will improve further if the U.S. dollar continues to weaken against the euro and British pound, as such a weakening would increase our euro and pound-denominated sales contrasted with a relatively lower cost to procure and produce inventory from foreign currency denominated sources in prior periods when the dollar was relatively stronger. Although we continuously identify and implement programs to reduce costs at our manufacturing plants and to manage our inventory more efficiently, gross margin improvements in our business are expected to continue to result primarily from changes in sales mix to a larger proportion of sales of our higher gross margin implant products.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Operating Expenses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other operating expenses as a percent of total revenues (in thousands):</w:t>
      </w:r>
    </w:p>
    <w:p>
      <w:pPr>
        <w:spacing w:after="0" w:line="225"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Three Months Ended June 30,</w:t>
      </w:r>
    </w:p>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r>
      <w:tr>
        <w:trPr>
          <w:trHeight w:val="210"/>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Total other operating expenses</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w:t>
            </w:r>
          </w:p>
        </w:tc>
      </w:tr>
    </w:tbl>
    <w:p>
      <w:pPr>
        <w:spacing w:after="0" w:line="16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Total other operating expenses, which consist of research and development expenses, selling, general and administrative expenses, and amortization expenses, increased $7.8 million, or 11%, to $82.0 million in the second quarter of 2009 compared to $74.2 million in the second quarter of 2008. Research and development expenses in the second quarter of 2009 increased by $2.5 million to $10.3 million, compared to $7.8 million in the same period last year. Most of the increase in research and development spending is attributable to our spine business and our multi-center clinical trial to support FDA approval of the DuraGen Plus</w:t>
      </w:r>
      <w:r>
        <w:rPr>
          <w:rFonts w:ascii="Arial" w:cs="Arial" w:eastAsia="Arial" w:hAnsi="Arial"/>
          <w:sz w:val="15"/>
          <w:szCs w:val="15"/>
          <w:color w:val="auto"/>
        </w:rPr>
        <w:t>®</w:t>
      </w:r>
      <w:r>
        <w:rPr>
          <w:rFonts w:ascii="Arial" w:cs="Arial" w:eastAsia="Arial" w:hAnsi="Arial"/>
          <w:sz w:val="18"/>
          <w:szCs w:val="18"/>
          <w:color w:val="auto"/>
        </w:rPr>
        <w:t xml:space="preserve"> Adhesion Barrier Matrix product.</w:t>
      </w:r>
    </w:p>
    <w:p>
      <w:pPr>
        <w:spacing w:after="0" w:line="15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Excluding acquisition-related and other special charges, we target 2009 spending on research and development to be between 5% and 7% of total revenues. Most of this planned spending for 2009 is concentrated on product development efforts for our spine, neurosurgery and extremity reconstruction product lines. Additionally, we are continuing the Adhesion Barrier Matrix clinical trial and the clinical trial to support FDA approval of expanded claims for our INTEGRA</w:t>
      </w:r>
      <w:r>
        <w:rPr>
          <w:rFonts w:ascii="Arial" w:cs="Arial" w:eastAsia="Arial" w:hAnsi="Arial"/>
          <w:sz w:val="15"/>
          <w:szCs w:val="15"/>
          <w:color w:val="auto"/>
        </w:rPr>
        <w:t>®</w:t>
      </w:r>
      <w:r>
        <w:rPr>
          <w:rFonts w:ascii="Arial" w:cs="Arial" w:eastAsia="Arial" w:hAnsi="Arial"/>
          <w:sz w:val="18"/>
          <w:szCs w:val="18"/>
          <w:color w:val="auto"/>
        </w:rPr>
        <w:t xml:space="preserve"> Dermal Regeneration Template product.</w:t>
      </w:r>
    </w:p>
    <w:p>
      <w:pPr>
        <w:spacing w:after="0" w:line="14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Selling, general and administrative expenses in the second quarter of 2009 increased by $4.8 million to $68.3 million, compared to $63.5 million in the same period last year. Selling expenses increased by $4.1 million primarily due to increase in revenues and the corresponding commission costs, particularly in connection with our spine fixation product revenues, which generate relatively higher distributor commission costs. In addition to spine, selling expenses also increased in the first quarter of 2009 compared to the same period last year in connection with the acquisitions of the Integra Neurosciences Pty Ltd. in Australia and New Zealand and Omni-Tract businesses. General and administrative costs increased $0.7 million primarily due to the acquisitions of the Theken, Integra Neurosciences Pty Ltd. in Australia and New Zealand, and Omni-Tract businesses. We will continue to expand our direct sales organizations in our direct selling platforms where business opportunities are most attractive, including extremity reconstruction, and increase corporate staff to support our information systems infrastructure to facilitate future growth.</w:t>
      </w: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Amortization expense in the second quarter of 2009 increased by $0.5 million to $3.5 million, compared to $3.0 million in the same period last year. The increase was primarily related to the acquisitions of the Theken, Integra Neurosciences Pty Ltd. in Australia and New Zealand, and Omni-Tract businesses.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Non-Operating Income and Expenses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6980" w:type="dxa"/>
            <w:vAlign w:val="bottom"/>
          </w:tcPr>
          <w:p>
            <w:pPr>
              <w:spacing w:after="0"/>
              <w:rPr>
                <w:sz w:val="20"/>
                <w:szCs w:val="20"/>
                <w:color w:val="auto"/>
              </w:rPr>
            </w:pPr>
            <w:r>
              <w:rPr>
                <w:rFonts w:ascii="Arial" w:cs="Arial" w:eastAsia="Arial" w:hAnsi="Arial"/>
                <w:sz w:val="18"/>
                <w:szCs w:val="18"/>
                <w:color w:val="auto"/>
              </w:rPr>
              <w:t>The following is a summary of non-operating income and expenses (in thousands):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980" w:type="dxa"/>
            <w:vAlign w:val="bottom"/>
          </w:tcPr>
          <w:p>
            <w:pPr>
              <w:spacing w:after="0"/>
              <w:rPr>
                <w:sz w:val="24"/>
                <w:szCs w:val="24"/>
                <w:color w:val="auto"/>
              </w:rPr>
            </w:pPr>
          </w:p>
        </w:tc>
        <w:tc>
          <w:tcPr>
            <w:tcW w:w="2340" w:type="dxa"/>
            <w:vAlign w:val="bottom"/>
            <w:gridSpan w:val="6"/>
          </w:tcPr>
          <w:p>
            <w:pPr>
              <w:spacing w:after="0"/>
              <w:rPr>
                <w:sz w:val="20"/>
                <w:szCs w:val="20"/>
                <w:color w:val="auto"/>
              </w:rPr>
            </w:pPr>
            <w:r>
              <w:rPr>
                <w:rFonts w:ascii="Arial" w:cs="Arial" w:eastAsia="Arial" w:hAnsi="Arial"/>
                <w:sz w:val="18"/>
                <w:szCs w:val="18"/>
                <w:b w:val="1"/>
                <w:bCs w:val="1"/>
                <w:color w:val="auto"/>
                <w:w w:val="92"/>
              </w:rPr>
              <w:t>Three Months Ended June 30</w:t>
            </w:r>
          </w:p>
        </w:tc>
      </w:tr>
      <w:tr>
        <w:trPr>
          <w:trHeight w:val="210"/>
        </w:trPr>
        <w:tc>
          <w:tcPr>
            <w:tcW w:w="69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(6,174)</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(6,922)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Interest income decreased in the three months ended June 30, 2009 compared to the same period last year, primarily as a result of lower interest rates of return.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Interest expense for the three months ended June 30, 2009 and 2008 included the impact of the additional interest expense from the adoption of FSP APB 14-1 (see Note 1 for more information). Interest expense decreased in the three-month period ended June 30, 2009, compared to the same period last year, primarily due to the settlement of our 2008 Notes, which were fully repaid in April 2008, and waiver fees paid in 2008. Our reported interest expense for the three-month periods ended June 30, 2009 and 2008, respectively, includes $4.8 million and $3.4 million of cash interest expense. The remainder of the expense represents non-cash interest expense related to the adoption of FSP APB 14-1 and the amortization of debt issuance costs.</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vMerge w:val="restart"/>
          </w:tcPr>
          <w:p>
            <w:pPr>
              <w:spacing w:after="0"/>
              <w:rPr>
                <w:sz w:val="24"/>
                <w:szCs w:val="24"/>
                <w:color w:val="auto"/>
              </w:rPr>
            </w:pPr>
          </w:p>
        </w:tc>
        <w:tc>
          <w:tcPr>
            <w:tcW w:w="252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Three Months Ended June 30,</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17,384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17,869</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6,159</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02"/>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12,277</w:t>
            </w: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20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Our effective income tax rate for the three months ended June 30, 2009 and 2008 was 35.4% and 31.3%, respectively. Income tax expense included certain discrete items in the quarter.</w:t>
      </w:r>
    </w:p>
    <w:p>
      <w:pPr>
        <w:spacing w:after="0" w:line="13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the full year to be approximately 33%.</w:t>
      </w:r>
    </w:p>
    <w:p>
      <w:pPr>
        <w:spacing w:after="0" w:line="156" w:lineRule="exact"/>
        <w:rPr>
          <w:sz w:val="20"/>
          <w:szCs w:val="20"/>
          <w:color w:val="auto"/>
        </w:rPr>
      </w:pPr>
    </w:p>
    <w:p>
      <w:pPr>
        <w:ind w:left="340" w:right="2159"/>
        <w:spacing w:after="0" w:line="456" w:lineRule="auto"/>
        <w:rPr>
          <w:sz w:val="20"/>
          <w:szCs w:val="20"/>
          <w:color w:val="auto"/>
        </w:rPr>
      </w:pPr>
      <w:r>
        <w:rPr>
          <w:rFonts w:ascii="Arial" w:cs="Arial" w:eastAsia="Arial" w:hAnsi="Arial"/>
          <w:sz w:val="18"/>
          <w:szCs w:val="18"/>
          <w:b w:val="1"/>
          <w:bCs w:val="1"/>
          <w:color w:val="auto"/>
        </w:rPr>
        <w:t>SIX MONTHS ENDED JUNE 30, 2009 AS COMPARED TO SIX MONTHS ENDED JUNE 30, 2008 Revenues and Gross Margin</w:t>
      </w:r>
    </w:p>
    <w:p>
      <w:pPr>
        <w:spacing w:after="0" w:line="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For the six-month period ended June 30, 2009, total revenues increased by $13.5 million or 4%, to $326.7 million from $313.2 million during the prior-year period. Domestic revenues increased by $20.6 million to $249.7 million and were 76% of total revenues, as compared to 73% of revenues in the six months ended June 30, 2008. International revenues decreased $7.1 million to $77.0 million, a decrease of 8% compared to the same period in 2008.</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the NeuroSciences category, sales of hospital capital equipment decreased from 2008, particularly in our Radionics</w:t>
      </w:r>
      <w:r>
        <w:rPr>
          <w:rFonts w:ascii="Arial" w:cs="Arial" w:eastAsia="Arial" w:hAnsi="Arial"/>
          <w:sz w:val="15"/>
          <w:szCs w:val="15"/>
          <w:color w:val="auto"/>
        </w:rPr>
        <w:t>®</w:t>
      </w:r>
      <w:r>
        <w:rPr>
          <w:rFonts w:ascii="Arial" w:cs="Arial" w:eastAsia="Arial" w:hAnsi="Arial"/>
          <w:sz w:val="18"/>
          <w:szCs w:val="18"/>
          <w:color w:val="auto"/>
        </w:rPr>
        <w:t xml:space="preserve"> image-guided surgery and stereotactic radio surgery systems and ultrasonic surgery systems. We expect that hospitals will continue to spend less on capital equipment than in prior years for several more quarters. Revenues from implants, particularly our DuraGen family of products, continued to grow.</w:t>
      </w:r>
    </w:p>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the Orthopedics category, sales of our neurosurgical metal spine implants provided most of the year-over-year growth, and sales of extremity reconstruction products for skin/wound, mid/hindfoot, and upper extremity applications also grew accordingly to plan. Private label orthopedics revenues were down significantly.</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the Medical Instruments category, sales decreased due to eliminated distributed lines and declining in office-based instruments and pain management sales. Sales of hospital-based instruments increased as a result of the acquisition of the Omni-Tract line in December 2008.</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Foreign exchange fluctuations, primarily due to the weakening of the euro, British pound, and Canadian, Australian and New Zealand dollars versus the dollar, accounted for a $9.8 million decrease in the six month period ended June 30, 2009 revenues as compared to the same period last year.</w:t>
      </w:r>
    </w:p>
    <w:p>
      <w:pPr>
        <w:spacing w:after="0" w:line="154"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Gross margin increased by $15.9 million to $208.7 million for the six-month period ended June 30, 2009, from $192.8 million for the same period last year. Gross margin as a percentage of total revenue was 64% for the first two quarters of 2009, compared to 62% for this same period during 2008. This increase results from a higher portion of product sales coming from higher margin implants, particularly spine and extremity reconstruction, in combination with reduced sales of lower margin instrument, distributed and capital products. Inventory purchase accounting adjustment charges totaled $4.0 million in the six month period ended June 30, 2009 related to our Theken, Integra Neurosciences Pty. Ltd. in Australia and New Zealand, and Omni-Tract acquisitions, versus $3.4 million of charges in the same period during 2008 related to our Precise Dental and IsoTis acquisitions.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Operating Expenses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other operating expenses as a percent of total revenues (in thousands):</w:t>
      </w:r>
    </w:p>
    <w:p>
      <w:pPr>
        <w:spacing w:after="0" w:line="225"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June 30,</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r>
      <w:tr>
        <w:trPr>
          <w:trHeight w:val="210"/>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Total other operating expenses</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w:t>
            </w:r>
          </w:p>
        </w:tc>
      </w:tr>
    </w:tbl>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Total other operating expenses, which consist of research and development expenses, selling, general and administrative expenses and amortization expenses, increased $15.1 million, or 10%, to $162.6 million in the first half of 2009, compared to $147.5 million in the same period last year.</w:t>
      </w:r>
    </w:p>
    <w:p>
      <w:pPr>
        <w:spacing w:after="0" w:line="141"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Research and development expenses in the first half of 2009 increased by $5.4 million to $21.0 million, compared to $15.6 million in the same period last year. The increase was due largely to the acquisition of Theken in August 2008 and to increased spending in our multi-center clinical trial being conducted under a FDA Investigational Device Exemption initiated in 2006 to support FDA of our DuraGen Plus</w:t>
      </w:r>
      <w:r>
        <w:rPr>
          <w:rFonts w:ascii="Arial" w:cs="Arial" w:eastAsia="Arial" w:hAnsi="Arial"/>
          <w:sz w:val="14"/>
          <w:szCs w:val="14"/>
          <w:color w:val="auto"/>
        </w:rPr>
        <w:t>®</w:t>
      </w:r>
      <w:r>
        <w:rPr>
          <w:rFonts w:ascii="Arial" w:cs="Arial" w:eastAsia="Arial" w:hAnsi="Arial"/>
          <w:sz w:val="17"/>
          <w:szCs w:val="17"/>
          <w:color w:val="auto"/>
        </w:rPr>
        <w:t xml:space="preserve"> Adhesion Barrier Matrix product in the United States.</w:t>
      </w:r>
    </w:p>
    <w:p>
      <w:pPr>
        <w:spacing w:after="0" w:line="131"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Selling, general and administrative expenses in the first half of 2009 increased by $8.7 million to $134.7 million, compared to $126.0 million in the same period last year. Selling expenses increased by $9.7 million primarily due to increase in revenues and the corresponding commission costs, particularly in connection with our spine fixation product revenues, which generate relatively higher distributor commission costs. In addition to spine, selling expenses also increased in the first half of 2009 compared to the same period last year in connection with the acquisitions of the Integra Neurosciences Pty Ltd. in Australia and New Zealand and Omni-Tract businesses. General and administrative costs decreased $1.0 million from the prior period primarily due to decreases in cash bonus accruals and lower professional and consulting fees related to financial operations, partially offset by increases in connection with the acquisitions of the Theken, Integra Neurosciences Pty Ltd. in Australia and New Zealand, and Omni-Tract businesses.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Amortization expense in the first six months of 2009 increased by $1.0 million to $6.9 million, compared to $5.9 million in the same period last year. The increase was primarily related to the acquisitions of the Theken, Integra Neurosciences Pty Ltd. in Australia and New Zealand, and Omni-Tract businesses.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Non-Operating Income and Expenses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000" w:type="dxa"/>
            <w:vAlign w:val="bottom"/>
          </w:tcPr>
          <w:p>
            <w:pPr>
              <w:spacing w:after="0"/>
              <w:rPr>
                <w:sz w:val="20"/>
                <w:szCs w:val="20"/>
                <w:color w:val="auto"/>
              </w:rPr>
            </w:pPr>
            <w:r>
              <w:rPr>
                <w:rFonts w:ascii="Arial" w:cs="Arial" w:eastAsia="Arial" w:hAnsi="Arial"/>
                <w:sz w:val="18"/>
                <w:szCs w:val="18"/>
                <w:color w:val="auto"/>
              </w:rPr>
              <w:t>The following is a summary of non-operating income and expenses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Six Months Ended</w:t>
            </w:r>
          </w:p>
        </w:tc>
      </w:tr>
      <w:tr>
        <w:trPr>
          <w:trHeight w:val="230"/>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(12,858)</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(15,489)</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Interest income decreased in the six-month period ended June 30, 2009, compared to the same period last year, primarily due to lower interest rates and lower average cash and investment balances.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Interest expense for the six months ended June 30, 2009 and 2008 included the impact of the additional interest expense from the adoption of FSP APB 14-1 (see Note 1 for more information). Interest expense decreased in the six-month period ended June 30, 2009, compared to the same period last year, primarily due to the settlement of our 2008 Notes, which were fully repaid in April 2008, waiver fees paid in 2008, and a larger accretion of interest expense related to FSP APB 14-1.</w:t>
      </w:r>
    </w:p>
    <w:p>
      <w:pPr>
        <w:spacing w:after="0" w:line="144"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Our reported interest expense for the six-month periods ended June 30, 2009 and 2008 include $6.6 million of cash interest expense. The remainder of the expense represents non-cash interest expense related to the adoption of FSP APB 14-1 and the amortization of debt issuance costs.</w:t>
      </w:r>
    </w:p>
    <w:p>
      <w:pPr>
        <w:spacing w:after="0" w:line="141"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On March 17, 2008, our 2008 Notes matured and we paid $1.8 million of contingent interest because our common stock price was greater than $37.56 at thirty days prior to the maturity date. The value of this contingent interest obligation was marked to its fair value at each balance sheet date, with changes in the fair value recorded to interest expense. In accordance with the terms of the 2008 Notes we paid approximately $0.2 million and $119.4 million and issued 12,000 and 756,000 shares of our common stock in March and April 2008, respectively. We borrowed $120 million under our credit facility in March 2008 in order to repay the 2008 Notes, which were entirely repaid in April 2008. The changes in the estimated fair value of the contingent interest obligation increased/decreased interest expense by $25,000 for the six months ended June 30, 2008.</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w:t>
      </w:r>
    </w:p>
    <w:p>
      <w:pPr>
        <w:spacing w:after="0" w:line="202"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Other income (expense) decreased in the six months ended June 30, 2009, compared to the same period last year, primarily as a result of foreign exchange losses of $2.9 million in the six months ended June 30, 2009, compared to foreign exchange gains of $0.9 million in the six months ended June 30, 2008 Offsetting this loss in 2009 was $1.1 million of net gains related to the March and June 2009 repurchases of our 2010 Notes totaling $50.8 million (as defined below).</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6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550"/>
              <w:spacing w:after="0"/>
              <w:rPr>
                <w:sz w:val="20"/>
                <w:szCs w:val="20"/>
                <w:color w:val="auto"/>
              </w:rPr>
            </w:pPr>
            <w:r>
              <w:rPr>
                <w:rFonts w:ascii="Arial" w:cs="Arial" w:eastAsia="Arial" w:hAnsi="Arial"/>
                <w:sz w:val="18"/>
                <w:szCs w:val="18"/>
                <w:color w:val="auto"/>
                <w:w w:val="78"/>
              </w:rPr>
              <w:t>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32,331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11,539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10,705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0" w:type="dxa"/>
            <w:vAlign w:val="bottom"/>
          </w:tcPr>
          <w:p>
            <w:pPr>
              <w:spacing w:after="0"/>
              <w:rPr>
                <w:sz w:val="18"/>
                <w:szCs w:val="18"/>
                <w:color w:val="auto"/>
              </w:rPr>
            </w:pPr>
          </w:p>
        </w:tc>
        <w:tc>
          <w:tcPr>
            <w:tcW w:w="6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Our effective income tax rate for the six months ended June 30, 2009 and 2008 was 35.7% and 33.4%, respectively. 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United</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States</w:t>
            </w:r>
          </w:p>
        </w:tc>
        <w:tc>
          <w:tcPr>
            <w:tcW w:w="380" w:type="dxa"/>
            <w:vAlign w:val="bottom"/>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Europe</w:t>
            </w:r>
          </w:p>
        </w:tc>
        <w:tc>
          <w:tcPr>
            <w:tcW w:w="380" w:type="dxa"/>
            <w:vAlign w:val="bottom"/>
          </w:tcPr>
          <w:p>
            <w:pPr>
              <w:spacing w:after="0"/>
              <w:rPr>
                <w:sz w:val="20"/>
                <w:szCs w:val="20"/>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Asia Pacific</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Foreign</w:t>
            </w:r>
          </w:p>
        </w:tc>
        <w:tc>
          <w:tcPr>
            <w:tcW w:w="400" w:type="dxa"/>
            <w:vAlign w:val="bottom"/>
          </w:tcPr>
          <w:p>
            <w:pPr>
              <w:spacing w:after="0"/>
              <w:rPr>
                <w:sz w:val="20"/>
                <w:szCs w:val="20"/>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  127,086</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23,035</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7,669</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  165,725</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Three months ended June 30, 2008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115,754</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25,937</w:t>
            </w:r>
          </w:p>
        </w:tc>
        <w:tc>
          <w:tcPr>
            <w:tcW w:w="3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6,142</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9,365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157,198</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249,671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46,429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15,129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15,446</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326,675</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Six months ended June 30, 2008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229,129</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52,599</w:t>
            </w:r>
          </w:p>
        </w:tc>
        <w:tc>
          <w:tcPr>
            <w:tcW w:w="3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13,361</w:t>
            </w:r>
          </w:p>
        </w:tc>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18,117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313,206</w:t>
            </w:r>
          </w:p>
        </w:tc>
      </w:tr>
    </w:tbl>
    <w:p>
      <w:pPr>
        <w:spacing w:after="0" w:line="160"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For the six months ended June 30, 2009, revenues from customers outside the United States totaled $77.0 million, or 24% of total revenues, of which approximately 60% were from European customers. Revenues from customers outside the United States included $59.4 million of revenues generated in foreign currencies. For the six months ended June 30, 2008, revenues from customers outside the United States totaled $84.1 million, or 27% of total revenues, of which approximately 63% were from European customers. Revenues from customers outside the United States included $60.4 million of revenues generated in foreign currencies. Because we have operations based in Europe and we generate revenues and incur operating expenses in euros, British pounds, Swiss francs, Canadian dollars, Australian dollars, New Zealand dollars, Mexican pesos, and the Japanese yen, we experience currency exchange risk with respect to those foreign currency denominated revenues or expenses. We currently do not hedge our exposure to foreign currency risk. Accordingly, fluctuations of the dollar against these other currencies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12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and Marketable Securities</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We had cash and cash equivalents totaling approximately $138.7 million and $183.5 million at June 30, 2009 and December 31, 2008, respectively.</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32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2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w w:val="72"/>
              </w:rPr>
              <w:t>thousands)</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67,825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18,371</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rPr>
              <w:t>(12,410)</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(6,136)</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(104,220)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4,729</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Effect of exchange rate fluctuations on cash</w:t>
            </w:r>
          </w:p>
        </w:tc>
        <w:tc>
          <w:tcPr>
            <w:tcW w:w="200" w:type="dxa"/>
            <w:vAlign w:val="bottom"/>
          </w:tcPr>
          <w:p>
            <w:pPr>
              <w:spacing w:after="0"/>
              <w:rPr>
                <w:sz w:val="18"/>
                <w:szCs w:val="18"/>
                <w:color w:val="auto"/>
              </w:rPr>
            </w:pPr>
          </w:p>
        </w:tc>
        <w:tc>
          <w:tcPr>
            <w:tcW w:w="1120" w:type="dxa"/>
            <w:vAlign w:val="bottom"/>
            <w:gridSpan w:val="2"/>
          </w:tcPr>
          <w:p>
            <w:pPr>
              <w:jc w:val="right"/>
              <w:ind w:right="270"/>
              <w:spacing w:after="0"/>
              <w:rPr>
                <w:sz w:val="20"/>
                <w:szCs w:val="20"/>
                <w:color w:val="auto"/>
              </w:rPr>
            </w:pPr>
            <w:r>
              <w:rPr>
                <w:rFonts w:ascii="Arial" w:cs="Arial" w:eastAsia="Arial" w:hAnsi="Arial"/>
                <w:sz w:val="18"/>
                <w:szCs w:val="18"/>
                <w:color w:val="auto"/>
              </w:rPr>
              <w:t>3,976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3,035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(44,829)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19,999</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have generated positive operating cash flows on an annual basis, including $72.6 million for the year ended December 31, 2008 and $67.8 million for the six months ended June 30, 2009, resulting from net income and non-cash add-backs, partially offset by deferred tax benefit and changes in working capital items.</w:t>
      </w:r>
    </w:p>
    <w:p>
      <w:pPr>
        <w:spacing w:after="0" w:line="141"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Cash provided by operations has recently been, and is expected to continue to be our primary means of funding existing operations and capital expenditures. Despite comparable net incomes for the six months ended June 30, 2009 and June 30, 2008, operating cash flows increased in 2009 as a result of improved collections of accounts receivable, usage of prepaid expenses, particularly prepaid income taxes, reductions in inventory and other working capital adjustments.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(Used in) Provided by Investing and Financing Activities</w:t>
      </w:r>
    </w:p>
    <w:p>
      <w:pPr>
        <w:spacing w:after="0" w:line="189"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Our principal use of funds during the six months ended June 30, 2009 was $44.8 million used to repurchase the liability component of the 2010 Notes and repayment of $60.0 million of our senior credit facility. These Notes had a face value amount of $50.8 million, and their purchase will result in overall reduced net interest costs. Other uses in the period included $8.3 million in capital expenditures and $4.1 million of payments related to previous business acquisitions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Working Capital</w:t>
      </w:r>
    </w:p>
    <w:p>
      <w:pPr>
        <w:spacing w:after="0" w:line="202"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At June 30, 2009 and December 31, 2008, working capital was $206.4 million and $322.6 million, respectively. The decrease in working capital is primarily related to the inclusion of our 2010 Notes in current liabilities due to their maturity date.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Debt and Senior Secured Revolving Credit Facility</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pay interest each June 1 and December 1 on our $114.2 million senior convertible notes due June 2010 (“2010 Notes”) at an annual rate of 2.75% and on our $165 million senior convertible notes due June 2012 (“2012 Notes” and, collectively with the “2010 Notes”, the “Notes”) at an annual rate of 2.375%.</w:t>
      </w:r>
    </w:p>
    <w:p>
      <w:pPr>
        <w:spacing w:after="0" w:line="154"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The Notes are senior, unsecured obligations of Integra, and are convertible into cash and, if applicable, shares of our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 The Notes are convertible only in the following circumstances: (1) if the closing sale price of our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June 30, 2009, the 2010 Notes are classified as current due to their maturity date. However, none of these conditions existed and, as a result, the entire balance of the 2012 Notes is classified as long-term.</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Integra. The 2010 Notes will rank equal in right of payment to the 2012 Notes. The Notes will be Integra’s direct senior unsecured obligations and will rank equal in right of payment to all of our existing and future unsecured and unsubordinated indebtedness.</w:t>
      </w:r>
    </w:p>
    <w:p>
      <w:pPr>
        <w:spacing w:after="0" w:line="160"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connection with the issuance of the Notes, we entered into call transactions and warrant transactions, primarily with affiliates of the initial purchasers of the Notes (the “hedge participants”), in connection with each series of Notes.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initial strike price of the call transactions is (1) for the 2010 Notes, approximately $66.26 per share of Common Stock, and</w:t>
      </w:r>
    </w:p>
    <w:p>
      <w:pPr>
        <w:spacing w:after="0" w:line="46" w:lineRule="exact"/>
        <w:rPr>
          <w:sz w:val="20"/>
          <w:szCs w:val="20"/>
          <w:color w:val="auto"/>
        </w:rPr>
      </w:pPr>
    </w:p>
    <w:p>
      <w:pPr>
        <w:jc w:val="both"/>
        <w:ind w:left="340" w:right="559" w:hanging="8"/>
        <w:spacing w:after="0" w:line="302" w:lineRule="auto"/>
        <w:tabs>
          <w:tab w:leader="none" w:pos="608"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2012 Notes, approximately $64.96, in each case subject to anti-dilution adjustments substantially similar to those in the Notes. The initial strike price of the warrant transactions is (i) for the 2010 Notes, approximately $77.96 per share of Common Stock and (ii) for the 2012 Notes, approximately $90.95, in each case subject to customary anti-dilution adjustments.</w:t>
      </w:r>
    </w:p>
    <w:p>
      <w:pPr>
        <w:spacing w:after="0" w:line="115"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In March 2009, we repurchased $32.1 million principal amount of the 2010 Notes and recognized a gain of $1.2 million. Total cash paid for this repurchase was $29.5 million of which $28.0 million related to repayment of the liability component of the Notes and $1.5 million for payment of accreted interest. In June 2009, we repurchased $18.7 million principal amount of the 2010 Notes and recognized a loss of $0.1 million. Total cash paid for this repurchase was $18.0 million of which $16.8 million related to repayment of the liability component of the Notes and $1.2 million for payment of accreted interest. The bond hedge contracts were terminated on a pro-rata basis and the number of options was adjusted to reflect the number of convertible securities outstanding that together have a total principal amount of $114.2 million. In separate transactions, we amended the warrant transactions to reduce the number of warrants outstanding to reflect such number of convertible securities outstanding.</w:t>
      </w:r>
    </w:p>
    <w:p>
      <w:pPr>
        <w:spacing w:after="0" w:line="139"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We may from time to time seek to retire or purchase additional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pacing w:after="0" w:line="11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As of June 30, 2009 we had $200 million of outstanding borrowings under our credit facility at a weighted average rate of 1.32%. We used a portion of the proceeds to repay all of the remaining 2008 Notes totaling approximately $119.4 million in the second quarter of 2008 and $3.3 million of related accrued and contingent interest during March 2008. On July 28, 2008 and October 30, 2008, we borrowed $80.0 million and $60.0 million, respectively, to fund the acquisition of Theken and for other general corporate purposes. During June 2009, we repaid $60.0 million of our outstanding borrowings. We consider $40.0 million of such outstanding amounts to be short-term in nature based on its current intent and ability to repay this borrowing. If additional borrowings are made in connection with, for instance, future acquisitions, such activities could impact the timing of when we intend to repay amounts under this credit facility, which expires in December, 2011. We believe that our cash and available borrowings under the senior secured revolving credit facility are sufficient to finance our operations, capital expenditures and potential acquisition-related earn-out payments in the near 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Repurchase Plan</w:t>
      </w:r>
    </w:p>
    <w:p>
      <w:pPr>
        <w:spacing w:after="0" w:line="202"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In October 2007, our Board of Directors adopted a program that authorized us to repurchase shares of our common stock for an aggregate purchase price not to exceed $75.0 million through December 31, 2008. On October 30, 2008, our Board of Directors terminated the repurchase authorization it adopted in October 2007 and authorized us to repurchase shares of our common stock for an aggregate purchase price not to exceed $75.0 million through December 31, 2010. Shares may be purchased either in the open market or in privately negotiated transactions. We did not repurchase any shares of our common stock in 2008 or during the first six months of 2009 under either of these programs.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believe that our cash and available borrowings under the senior secured revolving credit facility are sufficient to finance our operations and capital expenditures, and potential acquisition-related earn-out payments in the near term based on our current intent. We regularly borrow under the credit facility and make payments with respect thereto and consider $40.0 million of such outstanding amounts to be short-term in nature. See “Convertible Debt and Senior Secured Revolving Credit Facility” for a description of the material terms of our credit facility.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2009, we were obligated to pay the following amounts under various agreements: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More</w:t>
            </w: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Less than</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Years</w:t>
            </w: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than</w:t>
            </w:r>
          </w:p>
        </w:tc>
      </w:tr>
      <w:tr>
        <w:trPr>
          <w:trHeight w:val="234"/>
        </w:trPr>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360" w:type="dxa"/>
            <w:vAlign w:val="bottom"/>
          </w:tcPr>
          <w:p>
            <w:pPr>
              <w:spacing w:after="0"/>
              <w:rPr>
                <w:sz w:val="20"/>
                <w:szCs w:val="20"/>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(in millions)</w:t>
            </w:r>
          </w:p>
        </w:tc>
        <w:tc>
          <w:tcPr>
            <w:tcW w:w="3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Years</w:t>
            </w:r>
          </w:p>
        </w:tc>
        <w:tc>
          <w:tcPr>
            <w:tcW w:w="2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5 years</w:t>
            </w:r>
          </w:p>
        </w:tc>
        <w:tc>
          <w:tcPr>
            <w:tcW w:w="80" w:type="dxa"/>
            <w:vAlign w:val="bottom"/>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165.0</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Revolving Credit Facility (1)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160.0</w:t>
            </w:r>
          </w:p>
        </w:tc>
        <w:tc>
          <w:tcPr>
            <w:tcW w:w="70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Securities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Employment Agreements (2)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70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6.9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70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Warranty Obligations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Pension Contributions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356.5</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r>
      <w:tr>
        <w:trPr>
          <w:trHeight w:val="20"/>
        </w:trPr>
        <w:tc>
          <w:tcPr>
            <w:tcW w:w="3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0636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680" w:right="559" w:hanging="348"/>
        <w:spacing w:after="0" w:line="259"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regularly borrow and make payment each month against the credit facility and consider $40.0 million of such outstanding amounts to be short-term in nature based on our current intent and ability. If additional borrowings are made in connection with, for instance, future acquisitions, this could impact the timing of when we intend to repay amounts under this credit facility which expires in December 2011.</w:t>
      </w:r>
    </w:p>
    <w:p>
      <w:pPr>
        <w:spacing w:after="0" w:line="38"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executive compensation or compensation resulting from a change in control relating to our executive officers.</w:t>
      </w:r>
    </w:p>
    <w:p>
      <w:pPr>
        <w:spacing w:after="0" w:line="13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Excluded from the contractual obligations table is the liability for unrecognized tax benefits totaling $11.6 million. This liability for unrecognized tax benefits has been excluded because we cannot make a reliable estimate of the period in which the unrecognized tax benefits will be realized.</w:t>
      </w:r>
    </w:p>
    <w:p>
      <w:pPr>
        <w:spacing w:after="0" w:line="141"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In addition, the terms of the purchase agreements executed in connection with certain acquisitions we closed in the last several years require us to make payments to the sellers of those businesses based on the performance of such businesses after the acquisition. The purchase adjustments could require payments up to a total of approximately $122.0 million in 2009 and 2010, the actual amounts to depend primarily on the revenues attributable to the Theken Spine, LLC acquisition.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critical accounting estimates included in our Annual Report on Form 10-K for the fiscal year ended December 31, 2008 have not materially changed. Certain of these estimates, such as the valuation of identifiable intangible assets, have been affected by lower revenues and profitability than had been originally anticipated. Such valuations have accordingly become more sensitive to factors such as prevailing interest rates and assumptions about market royalty rates.</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02"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 xml:space="preserve">Effective January 1, 2009, we adopted Financial Accounting Standards Board (“FASB”) Staff Position No. APB 14-1, </w:t>
      </w:r>
      <w:r>
        <w:rPr>
          <w:rFonts w:ascii="Arial" w:cs="Arial" w:eastAsia="Arial" w:hAnsi="Arial"/>
          <w:sz w:val="16"/>
          <w:szCs w:val="16"/>
          <w:i w:val="1"/>
          <w:iCs w:val="1"/>
          <w:color w:val="auto"/>
        </w:rPr>
        <w:t>Accounting for Convertible Debt Instruments that May be Settled in Cash Upon Conversion (Including Partial Cash Settlement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(“FSP APB 14-1”). 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FSP APB 14-1 is effective for our $330.0 million, of which $279.2 million remains outstanding, aggregate principal amount of our senior convertible notes due June 2010 and June 2012 with an annual rate of 2.75% and 2.375%, respectively, (the “2010 Notes” and the “2012 Notes,” respectively), and the $119.5 million exchanged portion of our contingent convertible subordinated notes due March 2008 with an annual rate of 2.5% (the “2008 Notes”) and requires retrospective application for all periods presented. FSP APB 14-1 requires the issuer of convertible debt instruments with cash settlement features to separately account for the liability. As of the date of issuance for the 2010 Notes and the 2012 Notes, and the date of modification for the 2008 Notes (collectively, the “Covered Notes”), the result of the impact of FSP APB 14-1 for each of the Covered Notes is as follows (in millions):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Notes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Notes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Notes</w:t>
            </w:r>
          </w:p>
        </w:tc>
        <w:tc>
          <w:tcPr>
            <w:tcW w:w="8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Date impacted by FSP APB 14-1</w:t>
            </w:r>
          </w:p>
        </w:tc>
        <w:tc>
          <w:tcPr>
            <w:tcW w:w="15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September 2006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7"/>
              </w:rPr>
              <w:t>June 2007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June 2007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Amount</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165.0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Equity Component</w:t>
            </w:r>
          </w:p>
        </w:tc>
        <w:tc>
          <w:tcPr>
            <w:tcW w:w="2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Component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r>
    </w:tbl>
    <w:p>
      <w:pPr>
        <w:spacing w:after="0" w:line="16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liability component was recognized at the present value of its cash flows discounted using discount rates of 9.70%, 6.47% and 6.81%, our borrowing rate at the date of exchange of the 2008 Notes and the dates of the issuance of the 2010 Notes and the 2012 Notes, respectively, for a similar debt instrument without the conversion feature. For additional information, see Note 5, “Debt.”</w:t>
      </w:r>
    </w:p>
    <w:p>
      <w:pPr>
        <w:spacing w:after="0" w:line="14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FSP APB 14-1 also requires an accretion of the resultant debt discount over the expected life of the Covered Notes, which is March, 2008 to June, 2012.</w:t>
      </w:r>
    </w:p>
    <w:p>
      <w:pPr>
        <w:spacing w:after="0" w:line="14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For the three months ended June 30, 2009, the additional pre-tax non-cash interest expense recognized in the condensed consolidated income statement was $2.9 million. Accumulated amortization related to the debt discount was $19.0 million and $11.5 million as of June 30, 2009 and December 31, 2008, respectively. The pre-tax increase in non-cash interest expense on our condensed consolidated statements of income to be recognized through 2012, the latest maturity date of the Notes, is as follows (in millions):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Pre-tax increase in non-cash interest expense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bl>
    <w:p>
      <w:pPr>
        <w:spacing w:after="0" w:line="16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 xml:space="preserve">Effective January 1, 2009, we adopted FASB Staff Position No. EITF 03-6-1, </w:t>
      </w:r>
      <w:r>
        <w:rPr>
          <w:rFonts w:ascii="Arial" w:cs="Arial" w:eastAsia="Arial" w:hAnsi="Arial"/>
          <w:sz w:val="17"/>
          <w:szCs w:val="17"/>
          <w:i w:val="1"/>
          <w:iCs w:val="1"/>
          <w:color w:val="auto"/>
        </w:rPr>
        <w:t>Determining Whether Instruments Granted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Share-Based Payment Transactions Are Participating Securities </w:t>
      </w:r>
      <w:r>
        <w:rPr>
          <w:rFonts w:ascii="Arial" w:cs="Arial" w:eastAsia="Arial" w:hAnsi="Arial"/>
          <w:sz w:val="17"/>
          <w:szCs w:val="17"/>
          <w:color w:val="auto"/>
        </w:rPr>
        <w:t>(“FSP 03-6-1”). In FSP 03-6-1, unvested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that contain rights to receive nonforfeitable dividends or dividend equivalents (whether paid or unpaid) are participating securities, and thus, should be included in the two-class method of computing earnings per share (“EPS”). The adoption of this standard did not have a material impact on our disclosure of EPS. See Note 9, “Net Income Per Share.”</w:t>
      </w:r>
    </w:p>
    <w:p>
      <w:pPr>
        <w:spacing w:after="0" w:line="132"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 xml:space="preserve">Effective January 1, 2009, we adopted FASB Statement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(“Statement 141(R)”), a replacement of FASB Statement No. 141. Statement 141(R) changes the practice for accounting for business combinations, such as requiring that we (1) expense transaction costs as incurred, rather than capitalizing them as part of the purchase price;</w:t>
      </w:r>
    </w:p>
    <w:p>
      <w:pPr>
        <w:jc w:val="both"/>
        <w:ind w:left="340" w:right="559" w:hanging="8"/>
        <w:spacing w:after="0" w:line="267" w:lineRule="auto"/>
        <w:tabs>
          <w:tab w:leader="none" w:pos="623"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record contingent consideration arrangements and pre-acquisition contingencies, such as legal issues, at fair value at the acquisition date, with subsequent changes in fair value recorded in the income statement; (3) capitalize the fair value of acquired research and development assets separately from goodwill, whereas we previously determined the acquisition-date fair value and then immediately charged the value to expense; and (4) limit the conditions under which restructuring expenses can be accrued in the opening balance sheet of a target to only those where the requirements in FASB Statement No. 146, </w:t>
      </w:r>
      <w:r>
        <w:rPr>
          <w:rFonts w:ascii="Arial" w:cs="Arial" w:eastAsia="Arial" w:hAnsi="Arial"/>
          <w:sz w:val="17"/>
          <w:szCs w:val="17"/>
          <w:i w:val="1"/>
          <w:iCs w:val="1"/>
          <w:color w:val="auto"/>
        </w:rPr>
        <w:t>Accounting for Costs</w:t>
      </w:r>
      <w:r>
        <w:rPr>
          <w:rFonts w:ascii="Arial" w:cs="Arial" w:eastAsia="Arial" w:hAnsi="Arial"/>
          <w:sz w:val="17"/>
          <w:szCs w:val="17"/>
          <w:color w:val="auto"/>
        </w:rPr>
        <w:t xml:space="preserve"> </w:t>
      </w:r>
      <w:r>
        <w:rPr>
          <w:rFonts w:ascii="Arial" w:cs="Arial" w:eastAsia="Arial" w:hAnsi="Arial"/>
          <w:sz w:val="17"/>
          <w:szCs w:val="17"/>
          <w:i w:val="1"/>
          <w:iCs w:val="1"/>
          <w:color w:val="auto"/>
        </w:rPr>
        <w:t>Associated with Exit or Disposal Activities</w:t>
      </w:r>
      <w:r>
        <w:rPr>
          <w:rFonts w:ascii="Arial" w:cs="Arial" w:eastAsia="Arial" w:hAnsi="Arial"/>
          <w:sz w:val="17"/>
          <w:szCs w:val="17"/>
          <w:color w:val="auto"/>
        </w:rPr>
        <w:t>, would have been met at the acquisition date. Additionally, Statement 141(R)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that, upon initially obtaining control, an acquirer shall recognize 100 percent of the fair values of acquired assets, including goodwill, and assumed liabilities, with only limited exceptions, even if the acquirer has not acquired 100 percent of its target. The implementation of Statement 141(R) could result in an increase or decrease in future selling, general and administrative and other operating expenses, depending upon the extent of our acquisition related activities going forward. No business combination transactions occurred during the three months ended June 30, 2009. The adoption of this standard did not have a material impact on our financial condition and results of operations.</w:t>
      </w:r>
    </w:p>
    <w:p>
      <w:pPr>
        <w:sectPr>
          <w:pgSz w:w="11900" w:h="16838" w:orient="portrait"/>
          <w:cols w:equalWidth="0" w:num="1">
            <w:col w:w="10219"/>
          </w:cols>
          <w:pgMar w:left="240" w:top="419" w:right="1440" w:bottom="1149"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49"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 xml:space="preserve">In April 2008, the FASB issued FASB Staff Position No. FAS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(“FAS 142-3”). FAS 142-3 amends the factors that should be considered in developing renewal or extension assumptions used to determine the useful life of a recognized intangible asset under Statement of Financial Accounting Standards No. 142,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Intangible Assets </w:t>
      </w:r>
      <w:r>
        <w:rPr>
          <w:rFonts w:ascii="Arial" w:cs="Arial" w:eastAsia="Arial" w:hAnsi="Arial"/>
          <w:sz w:val="18"/>
          <w:szCs w:val="18"/>
          <w:color w:val="auto"/>
        </w:rPr>
        <w:t>(“SFAS 142”). The intent of FAS 142-3 is to improve the consistency between the useful life of a</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intangible asset under SFAS 142 and the period of expected cash flows used to measure the fair value of the asset under SFAS 141(R), and other generally accepted accounting principles. FAS 142-3 is effective for fiscal years beginning after December 15, 2008. The adoption of this standard did not have a material impact on our financial condition and results of operations.</w:t>
      </w:r>
    </w:p>
    <w:p>
      <w:pPr>
        <w:spacing w:after="0" w:line="16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 xml:space="preserve">We adopted FASB Staff Position No.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xml:space="preserve"> (“FSP 157-2”), on January 1, 2009, which delayed the effective date of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for all non-financial assets and non-financial liabilities, except for items that are recognized or disclosed at fair value on a recurring basis (at least annually). The adoption of this standard did not have a material impact on our financial condition and results of operations.</w:t>
      </w:r>
    </w:p>
    <w:p>
      <w:pPr>
        <w:spacing w:after="0" w:line="148"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 xml:space="preserve">We adopted FASB Statement No. 161, </w:t>
      </w:r>
      <w:r>
        <w:rPr>
          <w:rFonts w:ascii="Arial" w:cs="Arial" w:eastAsia="Arial" w:hAnsi="Arial"/>
          <w:sz w:val="17"/>
          <w:szCs w:val="17"/>
          <w:i w:val="1"/>
          <w:iCs w:val="1"/>
          <w:color w:val="auto"/>
        </w:rPr>
        <w:t>Disclosures about Derivative Instruments and Hedging Activities</w:t>
      </w:r>
      <w:r>
        <w:rPr>
          <w:rFonts w:ascii="Arial" w:cs="Arial" w:eastAsia="Arial" w:hAnsi="Arial"/>
          <w:sz w:val="17"/>
          <w:szCs w:val="17"/>
          <w:color w:val="auto"/>
        </w:rPr>
        <w:t xml:space="preserve">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our derivatives and hedging activities, the adoption of FAS 161 does not affect our financial position or results of operations.</w:t>
      </w:r>
    </w:p>
    <w:p>
      <w:pPr>
        <w:spacing w:after="0" w:line="138"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 xml:space="preserve">In June 2008, the FASB ratified Emerging Issues Task Force (“EITF”) Issue No. 07-05, </w:t>
      </w:r>
      <w:r>
        <w:rPr>
          <w:rFonts w:ascii="Arial" w:cs="Arial" w:eastAsia="Arial" w:hAnsi="Arial"/>
          <w:sz w:val="18"/>
          <w:szCs w:val="18"/>
          <w:i w:val="1"/>
          <w:iCs w:val="1"/>
          <w:color w:val="auto"/>
        </w:rPr>
        <w:t>Determining Whether an Instrument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Embedded Feature) is Indexed to an Entity’s Own Stock </w:t>
      </w:r>
      <w:r>
        <w:rPr>
          <w:rFonts w:ascii="Arial" w:cs="Arial" w:eastAsia="Arial" w:hAnsi="Arial"/>
          <w:sz w:val="18"/>
          <w:szCs w:val="18"/>
          <w:color w:val="auto"/>
        </w:rPr>
        <w:t>(“EITF 07-05”). EITF 07-05 mandates a two-step process for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whether an equity-linked financial instrument or embedded feature is indexed to the entity’s own stock, for the purposes of applying the Paragraph 11(a) scope of exception in FASB Statement No. 133,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 Equity instruments that a company issues that contain a strike price adjustment feature, upon the adoption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EITF 07-05, may no longer being considered indexed to the company’s own stock. Accordingly, adoption of EITF 07-05 may change the current classification (from equity to liability) and the related accounting for such equity instruments outstanding at that date. EITF 07-05 is effective for fiscal years beginning after December 15, 2008, and interim periods within those fiscal years. We are currently evaluating the impact the adoption of EITF 07-05 will have on its financial statement presentation and disclosures.</w:t>
      </w:r>
    </w:p>
    <w:p>
      <w:pPr>
        <w:spacing w:after="0" w:line="168"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 xml:space="preserve">In May 2009, the FASB issued and we adopted SFAS No. 165,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(“SFAS 165”). SFAS 165 establishes general standards of accounting for and disclosure of events that occur after the balance sheet date but before the financial statements are issued. SFAS 165 requires disclosure of the date through which an entity has evaluated subsequent events and the basis for that date. That is, whether the date represents the date the financial statements were issued or were available to be issued. SFAS 165 is effective in the first interim period ending after June 15, 2009. The adoption of this standard did not have a material impact on our financial condition and results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 xml:space="preserve">In May 2008, the FASB issued Statement of Financial Accounting Standards No. 162, </w:t>
      </w:r>
      <w:r>
        <w:rPr>
          <w:rFonts w:ascii="Arial" w:cs="Arial" w:eastAsia="Arial" w:hAnsi="Arial"/>
          <w:sz w:val="18"/>
          <w:szCs w:val="18"/>
          <w:i w:val="1"/>
          <w:iCs w:val="1"/>
          <w:color w:val="auto"/>
        </w:rPr>
        <w:t>The Hierarchy of Generally Accepted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Principles </w:t>
      </w:r>
      <w:r>
        <w:rPr>
          <w:rFonts w:ascii="Arial" w:cs="Arial" w:eastAsia="Arial" w:hAnsi="Arial"/>
          <w:sz w:val="18"/>
          <w:szCs w:val="18"/>
          <w:color w:val="auto"/>
        </w:rPr>
        <w:t>(“SFAS 162”). SFAS 162 identifies the sources of accounting principles and the framework for selecting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principles used in the preparation of financial statements of nongovernmental entities that are presented in conformity with GAAP in the U.S. Any effect of applying the provisions of SFAS 162 shall be reported as a change in accounting principle in accordance with Statement of Financial Accounting Standards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SFAS 162 is effective 60 days following approval by the Securities and Exchange Commission of the Public Company Accounting Oversight Board amendments to AU Section 411, The Meaning of Present Fairly in Conformity with Generally Accepted Accounting Principles. We do not anticipate that the adoption of SFAS 162 will have a material impact on our financial statements.</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 xml:space="preserve">In June 2009, the FASB issued SFAS 168, </w:t>
      </w:r>
      <w:r>
        <w:rPr>
          <w:rFonts w:ascii="Arial" w:cs="Arial" w:eastAsia="Arial" w:hAnsi="Arial"/>
          <w:sz w:val="17"/>
          <w:szCs w:val="17"/>
          <w:i w:val="1"/>
          <w:iCs w:val="1"/>
          <w:color w:val="auto"/>
        </w:rPr>
        <w:t>The FASB Accounting Standards Codification™ and the Hierarchy of Generally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Accepted Accounting Principles </w:t>
      </w:r>
      <w:r>
        <w:rPr>
          <w:rFonts w:ascii="Arial" w:cs="Arial" w:eastAsia="Arial" w:hAnsi="Arial"/>
          <w:sz w:val="17"/>
          <w:szCs w:val="17"/>
          <w:color w:val="auto"/>
        </w:rPr>
        <w:t>(“SFAS 168”). When effective, SFAS 168 will become the single official source of authoritative,</w:t>
      </w:r>
      <w:r>
        <w:rPr>
          <w:rFonts w:ascii="Arial" w:cs="Arial" w:eastAsia="Arial" w:hAnsi="Arial"/>
          <w:sz w:val="17"/>
          <w:szCs w:val="17"/>
          <w:i w:val="1"/>
          <w:iCs w:val="1"/>
          <w:color w:val="auto"/>
        </w:rPr>
        <w:t xml:space="preserve"> </w:t>
      </w:r>
      <w:r>
        <w:rPr>
          <w:rFonts w:ascii="Arial" w:cs="Arial" w:eastAsia="Arial" w:hAnsi="Arial"/>
          <w:sz w:val="17"/>
          <w:szCs w:val="17"/>
          <w:color w:val="auto"/>
        </w:rPr>
        <w:t>nongovernmental U.S. generally accepted accounting principles. SFAS 168 will be effective for interim and annual periods ending after September 15, 2009. We are required to report using SFAS 168 for the quarter ended September 30, 2009. We do not anticipate reporting under SFAS 168 to have a material impact on our financial statements.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 Risk</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 discussion of foreign currency exchange risks is provided under the caption “International Product Revenues and Operations” under “Management’s Discussion and Analysis of Financial Condition and Results of Operations.”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 — Senior Secured Credit Facility</w:t>
      </w:r>
    </w:p>
    <w:p>
      <w:pPr>
        <w:spacing w:after="0" w:line="189"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We are exposed to the risk of interest rate fluctuations on the interest paid under the terms of our senior secured credit facility. Based on our outstanding borrowings as of June 30, 2009, a hypothetical 100 basis point movement in interest rates applicable to this credit facility would increase or decrease interest expense by approximately $2.0 million on an annual basis.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2009. Based upon this evaluation, our principal executive officer and principal financial officer concluded that our disclosure controls and procedures were effective as of June 30, 2009 to provide such reasonable assurance.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Exchange Act) that occurred during the quarter ended June 30, 2009 that have materially affected, or are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us. The most significant of those are described below.</w:t>
      </w:r>
    </w:p>
    <w:p>
      <w:pPr>
        <w:spacing w:after="0" w:line="13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May 2006, Codman &amp; Shurtleff, Inc., a subsidiary of Johnson &amp; Johnson, commenced an action in the United States District Court for the District of New Jersey for declaratory judgment against the Company with respect to United States Patent No. 5,997,895 (the “‘895 Patent”) held by the Company. The Company’s ‘895 Patent describes dural repair technology related to the Company’s DuraGen</w:t>
      </w:r>
      <w:r>
        <w:rPr>
          <w:rFonts w:ascii="Arial" w:cs="Arial" w:eastAsia="Arial" w:hAnsi="Arial"/>
          <w:sz w:val="15"/>
          <w:szCs w:val="15"/>
          <w:color w:val="auto"/>
        </w:rPr>
        <w:t>®</w:t>
      </w:r>
      <w:r>
        <w:rPr>
          <w:rFonts w:ascii="Arial" w:cs="Arial" w:eastAsia="Arial" w:hAnsi="Arial"/>
          <w:sz w:val="18"/>
          <w:szCs w:val="18"/>
          <w:color w:val="auto"/>
        </w:rPr>
        <w:t xml:space="preserve"> family of duraplasty products.</w:t>
      </w:r>
    </w:p>
    <w:p>
      <w:pPr>
        <w:spacing w:after="0" w:line="16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action sought declaratory relief that Codman’s DURAFORM</w:t>
      </w:r>
      <w:r>
        <w:rPr>
          <w:rFonts w:ascii="Arial" w:cs="Arial" w:eastAsia="Arial" w:hAnsi="Arial"/>
          <w:sz w:val="15"/>
          <w:szCs w:val="15"/>
          <w:color w:val="auto"/>
        </w:rPr>
        <w:t>®</w:t>
      </w:r>
      <w:r>
        <w:rPr>
          <w:rFonts w:ascii="Arial" w:cs="Arial" w:eastAsia="Arial" w:hAnsi="Arial"/>
          <w:sz w:val="18"/>
          <w:szCs w:val="18"/>
          <w:color w:val="auto"/>
        </w:rPr>
        <w:t xml:space="preserve"> product does not infringe the Company’s ‘895 Patent and that the Company’s ‘895 Patent is invalid and unenforceable. The Company filed a counterclaim seeking a judgment that Codman’s DURAFORM</w:t>
      </w:r>
      <w:r>
        <w:rPr>
          <w:rFonts w:ascii="Arial" w:cs="Arial" w:eastAsia="Arial" w:hAnsi="Arial"/>
          <w:sz w:val="15"/>
          <w:szCs w:val="15"/>
          <w:color w:val="auto"/>
        </w:rPr>
        <w:t>®</w:t>
      </w:r>
      <w:r>
        <w:rPr>
          <w:rFonts w:ascii="Arial" w:cs="Arial" w:eastAsia="Arial" w:hAnsi="Arial"/>
          <w:sz w:val="18"/>
          <w:szCs w:val="18"/>
          <w:color w:val="auto"/>
        </w:rPr>
        <w:t xml:space="preserve"> product infringes the ‘895 Patent. In August 2009, the parties settled the litigation for an immaterial amount and entered into covenants not to sue and mutual releases.</w:t>
      </w:r>
    </w:p>
    <w:p>
      <w:pPr>
        <w:spacing w:after="0" w:line="146"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2008 (as modified by the subsequent Quarterly Report on Form 10-Q for the quarterly period ended March 31, 2009) have not materially changed other than the modifications to the risk factors as set forth below.</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185"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Since we have grown through acquisitions, we had $211.8 million of goodwill and $50.0 million of indefinite-lived intangible assets as of June 30, 2009. Under Statement of Financial Accounting Standards (“SFAS”) No. 142, “Goodwill and Other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we experience a significant change in discount rates used in the calculations of discounted cash flow,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15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SFAS No. 144, “Accounting for the Impairment or Disposal of Long-Lived Assets,” requires that we assess the impairment of our long-lived assets, including definite-lived intangible assets, whenever events or changes in circumstances indicate that the carrying value may not be recoverable as measured by the sum of the expected future undiscounted cash flows. As of June 30, 2009, we had $167.4 million of other intangible assets.</w:t>
      </w:r>
    </w:p>
    <w:p>
      <w:pPr>
        <w:spacing w:after="0" w:line="14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value of medical device businesses is often volatile, and the assumptions underlying our estimates made in connection with our assessments under SFAS No. 142 or 144 may change as a result of that volatility or other factors outside our control and may result in impairment charges. The amount of any such impairment charges under SFAS No. 142 or 144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019"/>
        <w:spacing w:after="0" w:line="264" w:lineRule="auto"/>
        <w:rPr>
          <w:sz w:val="20"/>
          <w:szCs w:val="20"/>
          <w:color w:val="auto"/>
        </w:rPr>
      </w:pPr>
      <w:r>
        <w:rPr>
          <w:rFonts w:ascii="Arial" w:cs="Arial" w:eastAsia="Arial" w:hAnsi="Arial"/>
          <w:sz w:val="18"/>
          <w:szCs w:val="18"/>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154" w:lineRule="exact"/>
        <w:rPr>
          <w:sz w:val="20"/>
          <w:szCs w:val="20"/>
          <w:color w:val="auto"/>
        </w:rPr>
      </w:pPr>
    </w:p>
    <w:p>
      <w:pPr>
        <w:jc w:val="both"/>
        <w:ind w:left="340" w:right="1019"/>
        <w:spacing w:after="0" w:line="289" w:lineRule="auto"/>
        <w:rPr>
          <w:sz w:val="20"/>
          <w:szCs w:val="20"/>
          <w:color w:val="auto"/>
        </w:rPr>
      </w:pPr>
      <w:r>
        <w:rPr>
          <w:rFonts w:ascii="Arial" w:cs="Arial" w:eastAsia="Arial" w:hAnsi="Arial"/>
          <w:sz w:val="16"/>
          <w:szCs w:val="16"/>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are implementing additional procedures, controls and tracking and reporting processes, as well as paying additional permit and license fees, where required.</w:t>
      </w:r>
    </w:p>
    <w:p>
      <w:pPr>
        <w:spacing w:after="0" w:line="126" w:lineRule="exact"/>
        <w:rPr>
          <w:sz w:val="20"/>
          <w:szCs w:val="20"/>
          <w:color w:val="auto"/>
        </w:rPr>
      </w:pPr>
    </w:p>
    <w:p>
      <w:pPr>
        <w:jc w:val="both"/>
        <w:ind w:left="340" w:right="1019"/>
        <w:spacing w:after="0" w:line="284" w:lineRule="auto"/>
        <w:rPr>
          <w:sz w:val="20"/>
          <w:szCs w:val="20"/>
          <w:color w:val="auto"/>
        </w:rPr>
      </w:pPr>
      <w:r>
        <w:rPr>
          <w:rFonts w:ascii="Arial" w:cs="Arial" w:eastAsia="Arial" w:hAnsi="Arial"/>
          <w:sz w:val="16"/>
          <w:szCs w:val="16"/>
          <w:color w:val="auto"/>
        </w:rPr>
        <w:t>Our products under development are subject to FDA approval or clearance prior to marketing for commercial use. The process of obtaining necessary FDA approvals or clearances can take years and is expensive and uncertain. The FDA has announced that it is reviewing the 510(k) Premarket Notification process, and there may be requirements for more extensive testing and/or clinical trials required for products cleared to market under the 510(k) process. The FDA may also require the more extensive PMA process for certain products. 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including as a result of any interim analysis which we may do with respect to our clinical trials from time to time, could adversely affect our ability to launch new products, which could affect our sales.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intermediaries require clinical trial data for products cleared through the 510(k) process in order to continue reimbursement coverage. These clinical trials could take years to complete and be expensive and there is no guarantee that the FDA will approve the additional indications for use. If the FDA does not approve the additional indications for use, this could affect our ability to obtain reimbursement for these products and adversely affect our ability to compete against alternative products or technologies, which could affect our sales.</w:t>
      </w:r>
    </w:p>
    <w:p>
      <w:pPr>
        <w:spacing w:after="0" w:line="141" w:lineRule="exact"/>
        <w:rPr>
          <w:sz w:val="20"/>
          <w:szCs w:val="20"/>
          <w:color w:val="auto"/>
        </w:rPr>
      </w:pPr>
    </w:p>
    <w:p>
      <w:pPr>
        <w:jc w:val="both"/>
        <w:ind w:left="340" w:right="1019"/>
        <w:spacing w:after="0" w:line="255" w:lineRule="auto"/>
        <w:rPr>
          <w:sz w:val="20"/>
          <w:szCs w:val="20"/>
          <w:color w:val="auto"/>
        </w:rPr>
      </w:pPr>
      <w:r>
        <w:rPr>
          <w:rFonts w:ascii="Arial" w:cs="Arial" w:eastAsia="Arial" w:hAnsi="Arial"/>
          <w:sz w:val="18"/>
          <w:szCs w:val="18"/>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019"/>
        <w:spacing w:after="0" w:line="289" w:lineRule="auto"/>
        <w:rPr>
          <w:sz w:val="20"/>
          <w:szCs w:val="20"/>
          <w:color w:val="auto"/>
        </w:rPr>
      </w:pPr>
      <w:r>
        <w:rPr>
          <w:rFonts w:ascii="Arial" w:cs="Arial" w:eastAsia="Arial" w:hAnsi="Arial"/>
          <w:sz w:val="16"/>
          <w:szCs w:val="16"/>
          <w:color w:val="auto"/>
        </w:rPr>
        <w:t>Approved products are subject to continuing FDA requirements relating to quality control and quality assurance, maintenance of records, reporting of adverse events and product recalls, documentation, and labeling and promotion of medical devices. For example,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American Association of Tissue Banks, or the AATB. The AATB has issued operating standards for tissue banking. Compliance with these standards is a requirement in order to become a licensed tissue bank.</w:t>
      </w:r>
    </w:p>
    <w:p>
      <w:pPr>
        <w:spacing w:after="0" w:line="140" w:lineRule="exact"/>
        <w:rPr>
          <w:sz w:val="20"/>
          <w:szCs w:val="20"/>
          <w:color w:val="auto"/>
        </w:rPr>
      </w:pPr>
    </w:p>
    <w:p>
      <w:pPr>
        <w:jc w:val="both"/>
        <w:ind w:left="340" w:right="1019"/>
        <w:spacing w:after="0" w:line="288" w:lineRule="auto"/>
        <w:rPr>
          <w:sz w:val="20"/>
          <w:szCs w:val="20"/>
          <w:color w:val="auto"/>
        </w:rPr>
      </w:pPr>
      <w:r>
        <w:rPr>
          <w:rFonts w:ascii="Arial" w:cs="Arial" w:eastAsia="Arial" w:hAnsi="Arial"/>
          <w:sz w:val="16"/>
          <w:szCs w:val="16"/>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 including product seizures, recalls, withdrawal of clearances or approvals, restrictions on or injunctions against marketing our product or products based on our technology, cessation of operations and civil and criminal penalties.</w:t>
      </w:r>
    </w:p>
    <w:p>
      <w:pPr>
        <w:spacing w:after="0" w:line="129" w:lineRule="exact"/>
        <w:rPr>
          <w:sz w:val="20"/>
          <w:szCs w:val="20"/>
          <w:color w:val="auto"/>
        </w:rPr>
      </w:pPr>
    </w:p>
    <w:p>
      <w:pPr>
        <w:jc w:val="both"/>
        <w:ind w:left="340" w:right="1019"/>
        <w:spacing w:after="0" w:line="285" w:lineRule="auto"/>
        <w:rPr>
          <w:sz w:val="20"/>
          <w:szCs w:val="20"/>
          <w:color w:val="auto"/>
        </w:rPr>
      </w:pPr>
      <w:r>
        <w:rPr>
          <w:rFonts w:ascii="Arial" w:cs="Arial" w:eastAsia="Arial" w:hAnsi="Arial"/>
          <w:sz w:val="16"/>
          <w:szCs w:val="16"/>
          <w:color w:val="auto"/>
        </w:rPr>
        <w:t>We are also subject to the regulatory requirements of countries outside the U.S. where we do business. For example, under the European Union Medical Device Directive, all medical devices must meet the Medical Device Directive standards and receive CE Mark Certification prior to marketing in the European Union. CE Mark Certification requires a comprehensive Quality System program, comprehensive technical documentation and data on the product, which a “Notified Body” in Europe reviews. In addition, we must be certified to the ISO 13485:2003 Quality System standards and maintain this certification in order to market our products in the European Union, Canada, Japan, Latin America, Asia-Pacific and most other countries outside the U.S. As a result of an amendment to Japan’s Pharmaceutical Affairs Law that went into effect on April 1, 2005, new regulations and requirements exist for obtaining approval of medical devices, including new requirements governing the conduct of clinical trials, the manufacturing of products and the distribution of products in Japan. Significant resources may be needed to comply with the extensive auditing of and requests for documentation relating to all manufacturing facilities of our company and our vendors by the Pharmaceutical Medical Device Agency and the Ministry of Health, Labor and Welfare in Japan to comply with the amendment to the Pharmaceutical Affairs Law. These new regulations may affect our ability to obtain approvals of new products for sale in Japan. Additionally, the European Union as well as many other countries outside the U.S. have or may be considering implementing new or amended medical device regulations that require extensive documentation, including clinical trial data, as well as may require audits of our manufacturing facilities. There are also associated fees with these new regulations. These regulations are required for all new products and re-registration of our medical devices.</w:t>
      </w:r>
    </w:p>
    <w:p>
      <w:pPr>
        <w:spacing w:after="0" w:line="135" w:lineRule="exact"/>
        <w:rPr>
          <w:sz w:val="20"/>
          <w:szCs w:val="20"/>
          <w:color w:val="auto"/>
        </w:rPr>
      </w:pPr>
    </w:p>
    <w:p>
      <w:pPr>
        <w:jc w:val="both"/>
        <w:ind w:left="340" w:right="1019"/>
        <w:spacing w:after="0" w:line="269" w:lineRule="auto"/>
        <w:rPr>
          <w:sz w:val="20"/>
          <w:szCs w:val="20"/>
          <w:color w:val="auto"/>
        </w:rPr>
      </w:pPr>
      <w:r>
        <w:rPr>
          <w:rFonts w:ascii="Arial" w:cs="Arial" w:eastAsia="Arial" w:hAnsi="Arial"/>
          <w:sz w:val="17"/>
          <w:szCs w:val="17"/>
          <w:color w:val="auto"/>
        </w:rPr>
        <w:t>Our products that contain human derived tissue, including those containing de-mineralized bone matrices, are not medical devices in the European Union as defined in the Medical Device Directive (93/42/EC). They are also not medicinal products as defined in Directive 2001/83/EC. Today, regulations, if applicable, are different from one EU member state to the next. Due to the absence of a harmonized regulatory framework and the proposed regulation for advanced therapy medicinal products in the EU, as well as for other countries, the approval process for human derived cell or tissue based medical products may be extensive, lengthy, expensive, and unpredictable. Among others, some of our orthobiologics products are subject to European Union member states’ regulations that govern the donation, procurement, testing, coding, traceability, processing, preservation, storage, and distribution of human tissues and cells and cellular or tissue-based products. These European Union member states’ regulations include requirements for registration, listing, labeling, adverse-event reporting, and inspection and enforcement. Some EU member states have their own tissue banking regulations.</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In October 2008, our Board of Directors adopted a new program that authorizes us to repurchase shares of our common stock for an aggregate purchase price not to exceed $75 million through December 31, 2010. Shares may be repurchased either in the open market or in privately negotiated transactions.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such repurchases of our common stock during the quarter ended June 30, 2009 under this program.</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2"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Our Annual Meeting of Stockholders was held on May 20, 2009 and in connection therewith, management solicited proxies pursuant to Regulation 14A under the Exchange Act. An aggregate of 28,143,464 shares of our common stock was outstanding and entitled to vote at the meeting. At the meeting the following matters (not including ordinary procedural matters) were submitted to a vote of the holders of the common stock, with the results indicated below:</w:t>
      </w:r>
    </w:p>
    <w:p>
      <w:pPr>
        <w:spacing w:after="0" w:line="146" w:lineRule="exact"/>
        <w:rPr>
          <w:sz w:val="20"/>
          <w:szCs w:val="20"/>
          <w:color w:val="auto"/>
        </w:rPr>
      </w:pPr>
    </w:p>
    <w:p>
      <w:pPr>
        <w:jc w:val="both"/>
        <w:ind w:left="340" w:right="1760" w:firstLine="365"/>
        <w:spacing w:after="0" w:line="264" w:lineRule="auto"/>
        <w:tabs>
          <w:tab w:leader="none" w:pos="947"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Election of directors to serve until the 2010 Annual Meeting</w:t>
      </w:r>
      <w:r>
        <w:rPr>
          <w:rFonts w:ascii="Arial" w:cs="Arial" w:eastAsia="Arial" w:hAnsi="Arial"/>
          <w:sz w:val="18"/>
          <w:szCs w:val="18"/>
          <w:color w:val="auto"/>
        </w:rPr>
        <w:t>. The following persons were elected. All were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management’s nominees for election, and all were serving as directors. There was no solicitation in opposition to such nominees. The tabulation of votes was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Nominee</w:t>
            </w:r>
          </w:p>
        </w:tc>
        <w:tc>
          <w:tcPr>
            <w:tcW w:w="300" w:type="dxa"/>
            <w:vAlign w:val="bottom"/>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For</w:t>
            </w:r>
          </w:p>
        </w:tc>
        <w:tc>
          <w:tcPr>
            <w:tcW w:w="380" w:type="dxa"/>
            <w:vAlign w:val="bottom"/>
          </w:tcPr>
          <w:p>
            <w:pPr>
              <w:spacing w:after="0"/>
              <w:rPr>
                <w:sz w:val="20"/>
                <w:szCs w:val="20"/>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Against</w:t>
            </w:r>
          </w:p>
        </w:tc>
        <w:tc>
          <w:tcPr>
            <w:tcW w:w="360" w:type="dxa"/>
            <w:vAlign w:val="bottom"/>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Abstain</w:t>
            </w:r>
          </w:p>
        </w:tc>
        <w:tc>
          <w:tcPr>
            <w:tcW w:w="80" w:type="dxa"/>
            <w:vAlign w:val="bottom"/>
          </w:tcPr>
          <w:p>
            <w:pPr>
              <w:spacing w:after="0"/>
              <w:rPr>
                <w:sz w:val="20"/>
                <w:szCs w:val="20"/>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Thomas J. Baltimore, Jr.</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19,437,983</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6,960,616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22,131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Keith Bradley</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19,183,680</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7,218,162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18,889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Richard E. Caruso</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14,577,867</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11,823,876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18,989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Stuart M. Essig</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20,312,551</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6,089,017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19,163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Neal Moszkowski</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19,041,403</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7,356,816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22,510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Raymond G. Murphy</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26,247,217</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151,067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22,447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Christian S. Schade</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20,561,813</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5,836,683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22,237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James M. Sullivan</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15,059,091</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11,339,311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22,332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Anne M. VanLent</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20,571,498</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5,830,218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19,015</w:t>
            </w:r>
          </w:p>
        </w:tc>
      </w:tr>
    </w:tbl>
    <w:p>
      <w:pPr>
        <w:spacing w:after="0" w:line="161" w:lineRule="exact"/>
        <w:rPr>
          <w:sz w:val="20"/>
          <w:szCs w:val="20"/>
          <w:color w:val="auto"/>
        </w:rPr>
      </w:pPr>
    </w:p>
    <w:p>
      <w:pPr>
        <w:jc w:val="both"/>
        <w:ind w:left="340" w:right="1760" w:firstLine="365"/>
        <w:spacing w:after="0" w:line="264" w:lineRule="auto"/>
        <w:tabs>
          <w:tab w:leader="none" w:pos="907"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Ratification of independent registered public accounting firm</w:t>
      </w:r>
      <w:r>
        <w:rPr>
          <w:rFonts w:ascii="Arial" w:cs="Arial" w:eastAsia="Arial" w:hAnsi="Arial"/>
          <w:sz w:val="18"/>
          <w:szCs w:val="18"/>
          <w:color w:val="auto"/>
        </w:rPr>
        <w:t>. The appointment of PricewaterhouseCoopers LLP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independent registered public accounting firm for the 2009 fiscal year was ratified. The tabulation of votes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For</w:t>
            </w:r>
          </w:p>
        </w:tc>
        <w:tc>
          <w:tcPr>
            <w:tcW w:w="480" w:type="dxa"/>
            <w:vAlign w:val="bottom"/>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46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Abstentions</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8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26,088,817</w:t>
            </w:r>
          </w:p>
        </w:tc>
        <w:tc>
          <w:tcPr>
            <w:tcW w:w="32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299,309</w:t>
            </w:r>
          </w:p>
        </w:tc>
        <w:tc>
          <w:tcPr>
            <w:tcW w:w="326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32,608</w:t>
            </w:r>
          </w:p>
        </w:tc>
        <w:tc>
          <w:tcPr>
            <w:tcW w:w="17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6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36</w:t>
            </w: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8140" w:type="dxa"/>
            <w:vAlign w:val="bottom"/>
          </w:tcPr>
          <w:p>
            <w:pPr>
              <w:ind w:left="360"/>
              <w:spacing w:after="0"/>
              <w:rPr>
                <w:sz w:val="20"/>
                <w:szCs w:val="20"/>
                <w:color w:val="auto"/>
              </w:rPr>
            </w:pPr>
            <w:r>
              <w:rPr>
                <w:rFonts w:ascii="Arial" w:cs="Arial" w:eastAsia="Arial" w:hAnsi="Arial"/>
                <w:sz w:val="18"/>
                <w:szCs w:val="18"/>
                <w:color w:val="auto"/>
                <w:w w:val="95"/>
              </w:rPr>
              <w:t>Form of Restricted Stock Agreement for Non-Employee Directors (Incorporated by reference to Exhibit</w:t>
            </w:r>
          </w:p>
        </w:tc>
      </w:tr>
      <w:tr>
        <w:trPr>
          <w:trHeight w:val="230"/>
        </w:trPr>
        <w:tc>
          <w:tcPr>
            <w:tcW w:w="760" w:type="dxa"/>
            <w:vAlign w:val="bottom"/>
          </w:tcPr>
          <w:p>
            <w:pPr>
              <w:spacing w:after="0"/>
              <w:rPr>
                <w:sz w:val="20"/>
                <w:szCs w:val="20"/>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rPr>
              <w:t>10.1 to the Company’s Current Report on Form 8-K filed on April 13, 2009)</w:t>
            </w:r>
          </w:p>
        </w:tc>
      </w:tr>
      <w:tr>
        <w:trPr>
          <w:trHeight w:val="418"/>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10.2</w:t>
            </w:r>
          </w:p>
        </w:tc>
        <w:tc>
          <w:tcPr>
            <w:tcW w:w="8140" w:type="dxa"/>
            <w:vAlign w:val="bottom"/>
          </w:tcPr>
          <w:p>
            <w:pPr>
              <w:ind w:left="360"/>
              <w:spacing w:after="0"/>
              <w:rPr>
                <w:sz w:val="20"/>
                <w:szCs w:val="20"/>
                <w:color w:val="auto"/>
              </w:rPr>
            </w:pPr>
            <w:r>
              <w:rPr>
                <w:rFonts w:ascii="Arial" w:cs="Arial" w:eastAsia="Arial" w:hAnsi="Arial"/>
                <w:sz w:val="18"/>
                <w:szCs w:val="18"/>
                <w:color w:val="auto"/>
                <w:w w:val="93"/>
              </w:rPr>
              <w:t>2009-1 Amendment to Employment Agreement, dated as of April 13, 2009, to the Second Amended and</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3"/>
              </w:rPr>
              <w:t>Restated Employment Agreement, between the Company and Mr. Essig, which is filed as Exhibit 10.1 to</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9"/>
              </w:rPr>
              <w:t>the Company’s Quarterly Report on Form 10-Q for the quarter ended September 30, 2004 filed on</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3"/>
              </w:rPr>
              <w:t>November 9, 2004, and previously amended by Amendment 2006-1, which is filed as Exhibit 10.1 to the</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4"/>
              </w:rPr>
              <w:t>Company’s Current Report on Form 8-K filed on December 22, 2006, Amendment 2008-1, which is filed</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2"/>
              </w:rPr>
              <w:t>as Exhibit 10.12(c) to the Company’s Annual Report on Form 10-K for the year ended December 31, 2007</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3"/>
              </w:rPr>
              <w:t>filed on May 16, 2008 and Amendment 2008-2, which is filed as Exhibit 10.7 to the Company’s Quarterly</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7"/>
              </w:rPr>
              <w:t>Report on Form 10-Q for the quarter ended June 30, 2008 filed on August 11, 2008 (Incorporated by</w:t>
            </w:r>
          </w:p>
        </w:tc>
      </w:tr>
      <w:tr>
        <w:trPr>
          <w:trHeight w:val="230"/>
        </w:trPr>
        <w:tc>
          <w:tcPr>
            <w:tcW w:w="760" w:type="dxa"/>
            <w:vAlign w:val="bottom"/>
          </w:tcPr>
          <w:p>
            <w:pPr>
              <w:spacing w:after="0"/>
              <w:rPr>
                <w:sz w:val="20"/>
                <w:szCs w:val="20"/>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rPr>
              <w:t>reference to Exhibit 10.2 to the Company’s Current Report on Form 8-K filed on April 13, 2009)</w:t>
            </w:r>
          </w:p>
        </w:tc>
      </w:tr>
      <w:tr>
        <w:trPr>
          <w:trHeight w:val="418"/>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10.3</w:t>
            </w:r>
          </w:p>
        </w:tc>
        <w:tc>
          <w:tcPr>
            <w:tcW w:w="8140" w:type="dxa"/>
            <w:vAlign w:val="bottom"/>
          </w:tcPr>
          <w:p>
            <w:pPr>
              <w:ind w:left="360"/>
              <w:spacing w:after="0"/>
              <w:rPr>
                <w:sz w:val="20"/>
                <w:szCs w:val="20"/>
                <w:color w:val="auto"/>
              </w:rPr>
            </w:pPr>
            <w:r>
              <w:rPr>
                <w:rFonts w:ascii="Arial" w:cs="Arial" w:eastAsia="Arial" w:hAnsi="Arial"/>
                <w:sz w:val="18"/>
                <w:szCs w:val="18"/>
                <w:color w:val="auto"/>
                <w:w w:val="94"/>
              </w:rPr>
              <w:t>Form of Restricted Stock Agreement for Mr. Essig for 2009 (Incorporated by reference to Exhibit 10.3 to</w:t>
            </w:r>
          </w:p>
        </w:tc>
      </w:tr>
      <w:tr>
        <w:trPr>
          <w:trHeight w:val="230"/>
        </w:trPr>
        <w:tc>
          <w:tcPr>
            <w:tcW w:w="760" w:type="dxa"/>
            <w:vAlign w:val="bottom"/>
          </w:tcPr>
          <w:p>
            <w:pPr>
              <w:spacing w:after="0"/>
              <w:rPr>
                <w:sz w:val="20"/>
                <w:szCs w:val="20"/>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rPr>
              <w:t>the Company’s Current Report on Form 8-K filed on April 13, 2009)</w:t>
            </w:r>
          </w:p>
        </w:tc>
      </w:tr>
      <w:tr>
        <w:trPr>
          <w:trHeight w:val="418"/>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8140" w:type="dxa"/>
            <w:vAlign w:val="bottom"/>
          </w:tcPr>
          <w:p>
            <w:pPr>
              <w:ind w:left="360"/>
              <w:spacing w:after="0"/>
              <w:rPr>
                <w:sz w:val="20"/>
                <w:szCs w:val="20"/>
                <w:color w:val="auto"/>
              </w:rPr>
            </w:pPr>
            <w:r>
              <w:rPr>
                <w:rFonts w:ascii="Arial" w:cs="Arial" w:eastAsia="Arial" w:hAnsi="Arial"/>
                <w:sz w:val="18"/>
                <w:szCs w:val="18"/>
                <w:color w:val="auto"/>
                <w:w w:val="91"/>
              </w:rPr>
              <w:t>2009-1 Amendment to Employment Agreement, dated as of April 13, 2009, to Mr. Carlozzi’s Amended and</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2"/>
              </w:rPr>
              <w:t>Restated 2005 Employment Agreement, between the Company and Mr. Carlozzi, which is filed as Exhibit</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6"/>
              </w:rPr>
              <w:t>10.17 to the Company’s Annual Report on Form 10-K for the year ended December 31, 2005 filed on</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rPr>
              <w:t>March 15, 2006, and previously amended by Amendment 2008-1 filed as Exhibit 10.16(b) to the</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1"/>
              </w:rPr>
              <w:t>Company’s Annual Report on Form 10-K for the year ended December 31, 2007 filed on May 16, 2008 and</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rPr>
              <w:t>Amendment 2008-2, filed as Exhibit 10.2 to the Company’s Current Report on Form 8-K filed on</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8"/>
              </w:rPr>
              <w:t>December 24, 2008 (Incorporated by reference to Exhibit 10.4 to the Company’s Current Report on</w:t>
            </w:r>
          </w:p>
        </w:tc>
      </w:tr>
      <w:tr>
        <w:trPr>
          <w:trHeight w:val="230"/>
        </w:trPr>
        <w:tc>
          <w:tcPr>
            <w:tcW w:w="760" w:type="dxa"/>
            <w:vAlign w:val="bottom"/>
          </w:tcPr>
          <w:p>
            <w:pPr>
              <w:spacing w:after="0"/>
              <w:rPr>
                <w:sz w:val="20"/>
                <w:szCs w:val="20"/>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rPr>
              <w:t>Form 8-K filed on April 13, 2009)</w:t>
            </w:r>
          </w:p>
        </w:tc>
      </w:tr>
      <w:tr>
        <w:trPr>
          <w:trHeight w:val="418"/>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10.5</w:t>
            </w:r>
          </w:p>
        </w:tc>
        <w:tc>
          <w:tcPr>
            <w:tcW w:w="8140" w:type="dxa"/>
            <w:vAlign w:val="bottom"/>
          </w:tcPr>
          <w:p>
            <w:pPr>
              <w:ind w:left="360"/>
              <w:spacing w:after="0"/>
              <w:rPr>
                <w:sz w:val="20"/>
                <w:szCs w:val="20"/>
                <w:color w:val="auto"/>
              </w:rPr>
            </w:pPr>
            <w:r>
              <w:rPr>
                <w:rFonts w:ascii="Arial" w:cs="Arial" w:eastAsia="Arial" w:hAnsi="Arial"/>
                <w:sz w:val="18"/>
                <w:szCs w:val="18"/>
                <w:color w:val="auto"/>
                <w:w w:val="92"/>
              </w:rPr>
              <w:t>2009-1 Amendment to Employment Agreement, dated as of April 13, 2009, to Mr. Henneman’s Amended</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3"/>
              </w:rPr>
              <w:t>and Restated 2005 Employment Agreement between the Company and Mr. Henneman, which is filed as</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2"/>
              </w:rPr>
              <w:t>Exhibit 10.16 to the Company’s Annual Report on Form 10-K for the year ended December 31, 2005 filed</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8"/>
              </w:rPr>
              <w:t>on March 15, 2006, and previously amended by Amendment 2008-1 filed as Exhibit 10.15(b) to the</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1"/>
              </w:rPr>
              <w:t>Company’s Annual Report on Form 10-K for the year ended December 31, 2007 filed on May 16, 2008 and</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rPr>
              <w:t>Amendment 2008-2, filed as Exhibit 10.3 to the Company’s Current Report on Form 8-K filed on</w:t>
            </w:r>
          </w:p>
        </w:tc>
      </w:tr>
      <w:tr>
        <w:trPr>
          <w:trHeight w:val="216"/>
        </w:trPr>
        <w:tc>
          <w:tcPr>
            <w:tcW w:w="760" w:type="dxa"/>
            <w:vAlign w:val="bottom"/>
          </w:tcPr>
          <w:p>
            <w:pPr>
              <w:spacing w:after="0"/>
              <w:rPr>
                <w:sz w:val="18"/>
                <w:szCs w:val="18"/>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8"/>
              </w:rPr>
              <w:t>December 24, 2008 (Incorporated by reference to Exhibit 10.5 to the Company’s Current Report on</w:t>
            </w:r>
          </w:p>
        </w:tc>
      </w:tr>
      <w:tr>
        <w:trPr>
          <w:trHeight w:val="230"/>
        </w:trPr>
        <w:tc>
          <w:tcPr>
            <w:tcW w:w="760" w:type="dxa"/>
            <w:vAlign w:val="bottom"/>
          </w:tcPr>
          <w:p>
            <w:pPr>
              <w:spacing w:after="0"/>
              <w:rPr>
                <w:sz w:val="20"/>
                <w:szCs w:val="20"/>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rPr>
              <w:t>Form 8-K filed on April 13, 2009)</w:t>
            </w:r>
          </w:p>
        </w:tc>
      </w:tr>
      <w:tr>
        <w:trPr>
          <w:trHeight w:val="418"/>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10.6</w:t>
            </w:r>
          </w:p>
        </w:tc>
        <w:tc>
          <w:tcPr>
            <w:tcW w:w="8140" w:type="dxa"/>
            <w:vAlign w:val="bottom"/>
          </w:tcPr>
          <w:p>
            <w:pPr>
              <w:ind w:left="360"/>
              <w:spacing w:after="0"/>
              <w:rPr>
                <w:sz w:val="20"/>
                <w:szCs w:val="20"/>
                <w:color w:val="auto"/>
              </w:rPr>
            </w:pPr>
            <w:r>
              <w:rPr>
                <w:rFonts w:ascii="Arial" w:cs="Arial" w:eastAsia="Arial" w:hAnsi="Arial"/>
                <w:sz w:val="18"/>
                <w:szCs w:val="18"/>
                <w:color w:val="auto"/>
                <w:w w:val="91"/>
              </w:rPr>
              <w:t>Form of Restricted Stock Agreement for 2008 and 2009 for Messrs. Carlozzi and Henneman (Incorporated</w:t>
            </w:r>
          </w:p>
        </w:tc>
      </w:tr>
      <w:tr>
        <w:trPr>
          <w:trHeight w:val="230"/>
        </w:trPr>
        <w:tc>
          <w:tcPr>
            <w:tcW w:w="760" w:type="dxa"/>
            <w:vAlign w:val="bottom"/>
          </w:tcPr>
          <w:p>
            <w:pPr>
              <w:spacing w:after="0"/>
              <w:rPr>
                <w:sz w:val="20"/>
                <w:szCs w:val="20"/>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w w:val="99"/>
              </w:rPr>
              <w:t>by reference to Exhibit 10.6 to the Company’s Current Report on Form 8-K filed on April 13, 2009)</w:t>
            </w:r>
          </w:p>
        </w:tc>
      </w:tr>
      <w:tr>
        <w:trPr>
          <w:trHeight w:val="432"/>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95"/>
              </w:rPr>
              <w:t>*31.1</w:t>
            </w:r>
          </w:p>
        </w:tc>
        <w:tc>
          <w:tcPr>
            <w:tcW w:w="8140" w:type="dxa"/>
            <w:vAlign w:val="bottom"/>
          </w:tcPr>
          <w:p>
            <w:pPr>
              <w:ind w:left="360"/>
              <w:spacing w:after="0"/>
              <w:rPr>
                <w:sz w:val="20"/>
                <w:szCs w:val="20"/>
                <w:color w:val="auto"/>
              </w:rPr>
            </w:pPr>
            <w:r>
              <w:rPr>
                <w:rFonts w:ascii="Arial" w:cs="Arial" w:eastAsia="Arial" w:hAnsi="Arial"/>
                <w:sz w:val="18"/>
                <w:szCs w:val="18"/>
                <w:color w:val="auto"/>
                <w:w w:val="96"/>
              </w:rPr>
              <w:t>Certification of Principal Executive Officer Pursuant to Section 302 of the Sarbanes-Oxley Act of 2002</w:t>
            </w:r>
          </w:p>
        </w:tc>
      </w:tr>
      <w:tr>
        <w:trPr>
          <w:trHeight w:val="432"/>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95"/>
              </w:rPr>
              <w:t>*31.2</w:t>
            </w:r>
          </w:p>
        </w:tc>
        <w:tc>
          <w:tcPr>
            <w:tcW w:w="8140" w:type="dxa"/>
            <w:vAlign w:val="bottom"/>
          </w:tcPr>
          <w:p>
            <w:pPr>
              <w:ind w:left="360"/>
              <w:spacing w:after="0"/>
              <w:rPr>
                <w:sz w:val="20"/>
                <w:szCs w:val="20"/>
                <w:color w:val="auto"/>
              </w:rPr>
            </w:pPr>
            <w:r>
              <w:rPr>
                <w:rFonts w:ascii="Arial" w:cs="Arial" w:eastAsia="Arial" w:hAnsi="Arial"/>
                <w:sz w:val="18"/>
                <w:szCs w:val="18"/>
                <w:color w:val="auto"/>
                <w:w w:val="96"/>
              </w:rPr>
              <w:t>Certification of Principal Financial Officer Pursuant to Section 302 of the Sarbanes-Oxley Act of 2002</w:t>
            </w:r>
          </w:p>
        </w:tc>
      </w:tr>
      <w:tr>
        <w:trPr>
          <w:trHeight w:val="432"/>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95"/>
              </w:rPr>
              <w:t>*32.1</w:t>
            </w:r>
          </w:p>
        </w:tc>
        <w:tc>
          <w:tcPr>
            <w:tcW w:w="8140" w:type="dxa"/>
            <w:vAlign w:val="bottom"/>
          </w:tcPr>
          <w:p>
            <w:pPr>
              <w:ind w:left="360"/>
              <w:spacing w:after="0"/>
              <w:rPr>
                <w:sz w:val="20"/>
                <w:szCs w:val="20"/>
                <w:color w:val="auto"/>
              </w:rPr>
            </w:pPr>
            <w:r>
              <w:rPr>
                <w:rFonts w:ascii="Arial" w:cs="Arial" w:eastAsia="Arial" w:hAnsi="Arial"/>
                <w:sz w:val="18"/>
                <w:szCs w:val="18"/>
                <w:color w:val="auto"/>
                <w:w w:val="96"/>
              </w:rPr>
              <w:t>Certification of Principal Executive Officer Pursuant to Section 906 of the Sarbanes-Oxley Act of 2002</w:t>
            </w:r>
          </w:p>
        </w:tc>
      </w:tr>
      <w:tr>
        <w:trPr>
          <w:trHeight w:val="432"/>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95"/>
              </w:rPr>
              <w:t>*32.2</w:t>
            </w:r>
          </w:p>
        </w:tc>
        <w:tc>
          <w:tcPr>
            <w:tcW w:w="8140" w:type="dxa"/>
            <w:vAlign w:val="bottom"/>
          </w:tcPr>
          <w:p>
            <w:pPr>
              <w:ind w:left="360"/>
              <w:spacing w:after="0"/>
              <w:rPr>
                <w:sz w:val="20"/>
                <w:szCs w:val="20"/>
                <w:color w:val="auto"/>
              </w:rPr>
            </w:pPr>
            <w:r>
              <w:rPr>
                <w:rFonts w:ascii="Arial" w:cs="Arial" w:eastAsia="Arial" w:hAnsi="Arial"/>
                <w:sz w:val="18"/>
                <w:szCs w:val="18"/>
                <w:color w:val="auto"/>
                <w:w w:val="96"/>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INTEGRA LIFESCIENCES HOLDINGS</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ind w:left="340"/>
        <w:spacing w:after="0"/>
        <w:tabs>
          <w:tab w:leader="none" w:pos="5340" w:val="left"/>
        </w:tabs>
        <w:rPr>
          <w:sz w:val="20"/>
          <w:szCs w:val="20"/>
          <w:color w:val="auto"/>
        </w:rPr>
      </w:pPr>
      <w:r>
        <w:rPr>
          <w:rFonts w:ascii="Arial" w:cs="Arial" w:eastAsia="Arial" w:hAnsi="Arial"/>
          <w:sz w:val="18"/>
          <w:szCs w:val="18"/>
          <w:color w:val="auto"/>
        </w:rPr>
        <w:t>Date: August 6, 2009</w:t>
      </w:r>
      <w:r>
        <w:rPr>
          <w:sz w:val="20"/>
          <w:szCs w:val="20"/>
          <w:color w:val="auto"/>
        </w:rPr>
        <w:tab/>
      </w:r>
      <w:r>
        <w:rPr>
          <w:rFonts w:ascii="Arial" w:cs="Arial" w:eastAsia="Arial" w:hAnsi="Arial"/>
          <w:sz w:val="16"/>
          <w:szCs w:val="16"/>
          <w:i w:val="1"/>
          <w:iCs w:val="1"/>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14605</wp:posOffset>
            </wp:positionV>
            <wp:extent cx="23412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Stuart M. Essig</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340"/>
        <w:spacing w:after="0"/>
        <w:tabs>
          <w:tab w:leader="none" w:pos="5340" w:val="left"/>
        </w:tabs>
        <w:rPr>
          <w:sz w:val="20"/>
          <w:szCs w:val="20"/>
          <w:color w:val="auto"/>
        </w:rPr>
      </w:pPr>
      <w:r>
        <w:rPr>
          <w:rFonts w:ascii="Arial" w:cs="Arial" w:eastAsia="Arial" w:hAnsi="Arial"/>
          <w:sz w:val="18"/>
          <w:szCs w:val="18"/>
          <w:color w:val="auto"/>
        </w:rPr>
        <w:t>Date: August 6, 2009</w:t>
      </w:r>
      <w:r>
        <w:rPr>
          <w:sz w:val="20"/>
          <w:szCs w:val="20"/>
          <w:color w:val="auto"/>
        </w:rPr>
        <w:tab/>
      </w:r>
      <w:r>
        <w:rPr>
          <w:rFonts w:ascii="Arial" w:cs="Arial" w:eastAsia="Arial" w:hAnsi="Arial"/>
          <w:sz w:val="16"/>
          <w:szCs w:val="16"/>
          <w:i w:val="1"/>
          <w:iCs w:val="1"/>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14605</wp:posOffset>
            </wp:positionV>
            <wp:extent cx="23412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John B. Henneman, III</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Executive Vice President, Finance and</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Administration, and Chief Financial Officer</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60" w:type="dxa"/>
            <w:vAlign w:val="bottom"/>
          </w:tcPr>
          <w:p>
            <w:pPr>
              <w:spacing w:after="0"/>
              <w:rPr>
                <w:sz w:val="17"/>
                <w:szCs w:val="17"/>
                <w:color w:val="auto"/>
              </w:rPr>
            </w:pPr>
          </w:p>
        </w:tc>
        <w:tc>
          <w:tcPr>
            <w:tcW w:w="8040" w:type="dxa"/>
            <w:vAlign w:val="bottom"/>
          </w:tcPr>
          <w:p>
            <w:pPr>
              <w:spacing w:after="0"/>
              <w:rPr>
                <w:sz w:val="17"/>
                <w:szCs w:val="17"/>
                <w:color w:val="auto"/>
              </w:rPr>
            </w:pPr>
          </w:p>
        </w:tc>
      </w:tr>
      <w:tr>
        <w:trPr>
          <w:trHeight w:val="534"/>
        </w:trPr>
        <w:tc>
          <w:tcPr>
            <w:tcW w:w="1620" w:type="dxa"/>
            <w:vAlign w:val="bottom"/>
            <w:gridSpan w:val="2"/>
          </w:tcPr>
          <w:p>
            <w:pPr>
              <w:ind w:left="340"/>
              <w:spacing w:after="0"/>
              <w:rPr>
                <w:sz w:val="20"/>
                <w:szCs w:val="20"/>
                <w:color w:val="auto"/>
              </w:rPr>
            </w:pPr>
            <w:r>
              <w:rPr>
                <w:rFonts w:ascii="Arial" w:cs="Arial" w:eastAsia="Arial" w:hAnsi="Arial"/>
                <w:sz w:val="18"/>
                <w:szCs w:val="18"/>
                <w:b w:val="1"/>
                <w:bCs w:val="1"/>
                <w:color w:val="auto"/>
              </w:rPr>
              <w:t>Exhibits</w:t>
            </w:r>
          </w:p>
        </w:tc>
        <w:tc>
          <w:tcPr>
            <w:tcW w:w="8040" w:type="dxa"/>
            <w:vAlign w:val="bottom"/>
          </w:tcPr>
          <w:p>
            <w:pPr>
              <w:spacing w:after="0"/>
              <w:rPr>
                <w:sz w:val="24"/>
                <w:szCs w:val="24"/>
                <w:color w:val="auto"/>
              </w:rPr>
            </w:pPr>
          </w:p>
        </w:tc>
      </w:tr>
      <w:tr>
        <w:trPr>
          <w:trHeight w:val="418"/>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5"/>
              </w:rPr>
              <w:t>Form of Restricted Stock Agreement for Non-Employee Directors (Incorporated by reference to Exhibit</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10.1 to the Company’s Current Report on Form 8-K filed on April 13, 2009)</w:t>
            </w:r>
          </w:p>
        </w:tc>
      </w:tr>
      <w:tr>
        <w:trPr>
          <w:trHeight w:val="418"/>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3"/>
              </w:rPr>
              <w:t>2009-1 Amendment to Employment Agreement, dated as of April 13, 2009, to the Second Amended and</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3"/>
              </w:rPr>
              <w:t>Restated Employment Agreement, between the Company and Mr. Essig, which is filed as Exhibit 10.1 to</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9"/>
              </w:rPr>
              <w:t>the Company’s Quarterly Report on Form 10-Q for the quarter ended September 30, 2004 filed on</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3"/>
              </w:rPr>
              <w:t>November 9, 2004, and previously amended by Amendment 2006-1, which is filed as Exhibit 10.1 to the</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4"/>
              </w:rPr>
              <w:t>Company’s Current Report on Form 8-K filed on December 22, 2006, Amendment 2008-1, which is filed</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2"/>
              </w:rPr>
              <w:t>as Exhibit 10.12(c) to the Company’s Annual Report on Form 10-K for the year ended December 31, 2007</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3"/>
              </w:rPr>
              <w:t>filed on May 16, 2008 and Amendment 2008-2, which is filed as Exhibit 10.7 to the Company’s Quarterly</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7"/>
              </w:rPr>
              <w:t>Report on Form 10-Q for the quarter ended June 30, 2008 filed on August 11, 2008 (Incorporated by</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reference to Exhibit 10.2 to the Company’s Current Report on Form 8-K filed on April 13, 2009)</w:t>
            </w:r>
          </w:p>
        </w:tc>
      </w:tr>
      <w:tr>
        <w:trPr>
          <w:trHeight w:val="418"/>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4"/>
              </w:rPr>
              <w:t>Form of Restricted Stock Agreement for Mr. Essig for 2009 (Incorporated by reference to Exhibit 10.3 to</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the Company’s Current Report on Form 8-K filed on April 13, 2009)</w:t>
            </w:r>
          </w:p>
        </w:tc>
      </w:tr>
      <w:tr>
        <w:trPr>
          <w:trHeight w:val="418"/>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1"/>
              </w:rPr>
              <w:t>2009-1 Amendment to Employment Agreement, dated as of April 13, 2009, to Mr. Carlozzi’s Amended and</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2"/>
              </w:rPr>
              <w:t>Restated 2005 Employment Agreement, between the Company and Mr. Carlozzi, which is filed as Exhibit</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6"/>
              </w:rPr>
              <w:t>10.17 to the Company’s Annual Report on Form 10-K for the year ended December 31, 2005 filed on</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March 15, 2006, and previously amended by Amendment 2008-1 filed as Exhibit 10.16(b) to the</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1"/>
              </w:rPr>
              <w:t>Company’s Annual Report on Form 10-K for the year ended December 31, 2007 filed on May 16, 2008 and</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Amendment 2008-2, filed as Exhibit 10.2 to the Company’s Current Report on Form 8-K filed on</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8"/>
              </w:rPr>
              <w:t>December 24, 2008 (Incorporated by reference to Exhibit 10.4 to the Company’s Current Report on</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Form 8-K filed on April 13, 2009)</w:t>
            </w:r>
          </w:p>
        </w:tc>
      </w:tr>
      <w:tr>
        <w:trPr>
          <w:trHeight w:val="418"/>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2"/>
              </w:rPr>
              <w:t>2009-1 Amendment to Employment Agreement, dated as of April 13, 2009, to Mr. Henneman’s Amended</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3"/>
              </w:rPr>
              <w:t>and Restated 2005 Employment Agreement between the Company and Mr. Henneman, which is filed as</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2"/>
              </w:rPr>
              <w:t>Exhibit 10.16 to the Company’s Annual Report on Form 10-K for the year ended December 31, 2005 filed</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8"/>
              </w:rPr>
              <w:t>on March 15, 2006, and previously amended by Amendment 2008-1 filed as Exhibit 10.15(b) to the</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1"/>
              </w:rPr>
              <w:t>Company’s Annual Report on Form 10-K for the year ended December 31, 2007 filed on May 16, 2008 and</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Amendment 2008-2, filed as Exhibit 10.3 to the Company’s Current Report on Form 8-K filed on</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8"/>
              </w:rPr>
              <w:t>December 24, 2008 (Incorporated by reference to Exhibit 10.5 to the Company’s Current Report on</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Form 8-K filed on April 13, 2009)</w:t>
            </w:r>
          </w:p>
        </w:tc>
      </w:tr>
      <w:tr>
        <w:trPr>
          <w:trHeight w:val="418"/>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1"/>
              </w:rPr>
              <w:t>Form of Restricted Stock Agreement for 2008 and 2009 for Messrs. Carlozzi and Henneman (Incorporated</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9"/>
              </w:rPr>
              <w:t>by reference to Exhibit 10.6 to the Company’s Current Report on Form 8-K filed on April 13, 2009)</w:t>
            </w:r>
          </w:p>
        </w:tc>
      </w:tr>
      <w:tr>
        <w:trPr>
          <w:trHeight w:val="432"/>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6"/>
              </w:rPr>
              <w:t>Certification of Principal Executive Officer Pursuant to Section 302 of the Sarbanes-Oxley Act of 2002</w:t>
            </w:r>
          </w:p>
        </w:tc>
      </w:tr>
      <w:tr>
        <w:trPr>
          <w:trHeight w:val="432"/>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6"/>
              </w:rPr>
              <w:t>Certification of Principal Financial Officer Pursuant to Section 302 of the Sarbanes-Oxley Act of 2002</w:t>
            </w:r>
          </w:p>
        </w:tc>
      </w:tr>
      <w:tr>
        <w:trPr>
          <w:trHeight w:val="432"/>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6"/>
              </w:rPr>
              <w:t>Certification of Principal Executive Officer Pursuant to Section 906 of the Sarbanes-Oxley Act of 2002</w:t>
            </w:r>
          </w:p>
        </w:tc>
      </w:tr>
      <w:tr>
        <w:trPr>
          <w:trHeight w:val="432"/>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6"/>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405" w:right="1440" w:bottom="1440" w:gutter="0" w:footer="0" w:header="0"/>
        </w:sectPr>
      </w:pPr>
    </w:p>
    <w:bookmarkStart w:id="40" w:name="page41"/>
    <w:bookmarkEnd w:id="40"/>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Stuart M. Essig, certify that:</w:t>
      </w:r>
    </w:p>
    <w:p>
      <w:pPr>
        <w:spacing w:after="0" w:line="185" w:lineRule="exact"/>
        <w:rPr>
          <w:sz w:val="20"/>
          <w:szCs w:val="20"/>
          <w:color w:val="auto"/>
        </w:rPr>
      </w:pPr>
    </w:p>
    <w:p>
      <w:pPr>
        <w:ind w:left="348" w:hanging="348"/>
        <w:spacing w:after="0"/>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8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5007" w:val="left"/>
        </w:tabs>
        <w:rPr>
          <w:sz w:val="20"/>
          <w:szCs w:val="20"/>
          <w:color w:val="auto"/>
        </w:rPr>
      </w:pPr>
      <w:r>
        <w:rPr>
          <w:rFonts w:ascii="Arial" w:cs="Arial" w:eastAsia="Arial" w:hAnsi="Arial"/>
          <w:sz w:val="18"/>
          <w:szCs w:val="18"/>
          <w:color w:val="auto"/>
        </w:rPr>
        <w:t>Date: August 6, 2009</w:t>
      </w:r>
      <w:r>
        <w:rPr>
          <w:sz w:val="20"/>
          <w:szCs w:val="20"/>
          <w:color w:val="auto"/>
        </w:rPr>
        <w:tab/>
      </w:r>
      <w:r>
        <w:rPr>
          <w:rFonts w:ascii="Arial" w:cs="Arial" w:eastAsia="Arial" w:hAnsi="Arial"/>
          <w:sz w:val="16"/>
          <w:szCs w:val="16"/>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14605</wp:posOffset>
            </wp:positionV>
            <wp:extent cx="23412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5028"/>
        <w:spacing w:after="0"/>
        <w:rPr>
          <w:sz w:val="20"/>
          <w:szCs w:val="20"/>
          <w:color w:val="auto"/>
        </w:rPr>
      </w:pPr>
      <w:r>
        <w:rPr>
          <w:rFonts w:ascii="Arial" w:cs="Arial" w:eastAsia="Arial" w:hAnsi="Arial"/>
          <w:sz w:val="18"/>
          <w:szCs w:val="18"/>
          <w:color w:val="auto"/>
        </w:rPr>
        <w:t>Stuart M. Essig</w:t>
      </w:r>
    </w:p>
    <w:p>
      <w:pPr>
        <w:spacing w:after="0" w:line="23" w:lineRule="exact"/>
        <w:rPr>
          <w:sz w:val="20"/>
          <w:szCs w:val="20"/>
          <w:color w:val="auto"/>
        </w:rPr>
      </w:pPr>
    </w:p>
    <w:p>
      <w:pPr>
        <w:ind w:left="5028"/>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87"/>
          </w:cols>
          <w:pgMar w:left="572" w:top="121" w:right="1440" w:bottom="1440" w:gutter="0" w:footer="0" w:header="0"/>
        </w:sectPr>
      </w:pPr>
    </w:p>
    <w:bookmarkStart w:id="41" w:name="page42"/>
    <w:bookmarkEnd w:id="41"/>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John B. Henneman, III, certify that:</w:t>
      </w:r>
    </w:p>
    <w:p>
      <w:pPr>
        <w:spacing w:after="0" w:line="185" w:lineRule="exact"/>
        <w:rPr>
          <w:sz w:val="20"/>
          <w:szCs w:val="20"/>
          <w:color w:val="auto"/>
        </w:rPr>
      </w:pPr>
    </w:p>
    <w:p>
      <w:pPr>
        <w:ind w:left="348" w:hanging="348"/>
        <w:spacing w:after="0"/>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8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5007" w:val="left"/>
        </w:tabs>
        <w:rPr>
          <w:sz w:val="20"/>
          <w:szCs w:val="20"/>
          <w:color w:val="auto"/>
        </w:rPr>
      </w:pPr>
      <w:r>
        <w:rPr>
          <w:rFonts w:ascii="Arial" w:cs="Arial" w:eastAsia="Arial" w:hAnsi="Arial"/>
          <w:sz w:val="18"/>
          <w:szCs w:val="18"/>
          <w:color w:val="auto"/>
        </w:rPr>
        <w:t>Date: August 6, 2009</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14605</wp:posOffset>
            </wp:positionV>
            <wp:extent cx="23412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5028"/>
        <w:spacing w:after="0"/>
        <w:rPr>
          <w:sz w:val="20"/>
          <w:szCs w:val="20"/>
          <w:color w:val="auto"/>
        </w:rPr>
      </w:pPr>
      <w:r>
        <w:rPr>
          <w:rFonts w:ascii="Arial" w:cs="Arial" w:eastAsia="Arial" w:hAnsi="Arial"/>
          <w:sz w:val="18"/>
          <w:szCs w:val="18"/>
          <w:color w:val="auto"/>
        </w:rPr>
        <w:t>John B. Henneman, III</w:t>
      </w:r>
    </w:p>
    <w:p>
      <w:pPr>
        <w:spacing w:after="0" w:line="23" w:lineRule="exact"/>
        <w:rPr>
          <w:sz w:val="20"/>
          <w:szCs w:val="20"/>
          <w:color w:val="auto"/>
        </w:rPr>
      </w:pPr>
    </w:p>
    <w:p>
      <w:pPr>
        <w:ind w:left="5028"/>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5028"/>
        <w:spacing w:after="0"/>
        <w:rPr>
          <w:sz w:val="20"/>
          <w:szCs w:val="20"/>
          <w:color w:val="auto"/>
        </w:rPr>
      </w:pPr>
      <w:r>
        <w:rPr>
          <w:rFonts w:ascii="Arial" w:cs="Arial" w:eastAsia="Arial" w:hAnsi="Arial"/>
          <w:sz w:val="18"/>
          <w:szCs w:val="18"/>
          <w:i w:val="1"/>
          <w:iCs w:val="1"/>
          <w:color w:val="auto"/>
        </w:rPr>
        <w:t>Finance and Administration, and</w:t>
      </w:r>
    </w:p>
    <w:p>
      <w:pPr>
        <w:spacing w:after="0" w:line="9" w:lineRule="exact"/>
        <w:rPr>
          <w:sz w:val="20"/>
          <w:szCs w:val="20"/>
          <w:color w:val="auto"/>
        </w:rPr>
      </w:pPr>
    </w:p>
    <w:p>
      <w:pPr>
        <w:ind w:left="5028"/>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9887"/>
          </w:cols>
          <w:pgMar w:left="572" w:top="121" w:right="1440" w:bottom="1440" w:gutter="0" w:footer="0" w:header="0"/>
        </w:sectPr>
      </w:pPr>
    </w:p>
    <w:bookmarkStart w:id="42" w:name="page43"/>
    <w:bookmarkEnd w:id="42"/>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Stuart M. Essig, Chief Executive Officer and Director of Integra LifeSciences Holdings Corporation (the “Company”), hereby certify that, to my knowledge:</w:t>
      </w:r>
    </w:p>
    <w:p>
      <w:pPr>
        <w:spacing w:after="0" w:line="130" w:lineRule="exact"/>
        <w:rPr>
          <w:sz w:val="20"/>
          <w:szCs w:val="20"/>
          <w:color w:val="auto"/>
        </w:rPr>
      </w:pPr>
    </w:p>
    <w:p>
      <w:pPr>
        <w:ind w:left="348" w:right="559" w:hanging="348"/>
        <w:spacing w:after="0" w:line="342" w:lineRule="auto"/>
        <w:tabs>
          <w:tab w:leader="none" w:pos="3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2009 (the “Report”) fully complies with the requirement of Section 13(a) or Section 15(d), as applicable, of the Securities Exchange Act of 1934, as amended; and</w:t>
      </w:r>
    </w:p>
    <w:p>
      <w:pPr>
        <w:spacing w:after="0" w:line="83" w:lineRule="exact"/>
        <w:rPr>
          <w:rFonts w:ascii="Arial" w:cs="Arial" w:eastAsia="Arial" w:hAnsi="Arial"/>
          <w:sz w:val="16"/>
          <w:szCs w:val="16"/>
          <w:color w:val="auto"/>
        </w:rPr>
      </w:pPr>
    </w:p>
    <w:p>
      <w:pPr>
        <w:ind w:left="348" w:right="559" w:hanging="348"/>
        <w:spacing w:after="0" w:line="277" w:lineRule="auto"/>
        <w:tabs>
          <w:tab w:leader="none" w:pos="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8"/>
        <w:spacing w:after="0"/>
        <w:tabs>
          <w:tab w:leader="none" w:pos="5007" w:val="left"/>
        </w:tabs>
        <w:rPr>
          <w:sz w:val="20"/>
          <w:szCs w:val="20"/>
          <w:color w:val="auto"/>
        </w:rPr>
      </w:pPr>
      <w:r>
        <w:rPr>
          <w:rFonts w:ascii="Arial" w:cs="Arial" w:eastAsia="Arial" w:hAnsi="Arial"/>
          <w:sz w:val="18"/>
          <w:szCs w:val="18"/>
          <w:color w:val="auto"/>
        </w:rPr>
        <w:t>Date: August 6, 2009</w:t>
      </w:r>
      <w:r>
        <w:rPr>
          <w:sz w:val="20"/>
          <w:szCs w:val="20"/>
          <w:color w:val="auto"/>
        </w:rPr>
        <w:tab/>
      </w:r>
      <w:r>
        <w:rPr>
          <w:rFonts w:ascii="Arial" w:cs="Arial" w:eastAsia="Arial" w:hAnsi="Arial"/>
          <w:sz w:val="16"/>
          <w:szCs w:val="16"/>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14605</wp:posOffset>
            </wp:positionV>
            <wp:extent cx="23412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5028"/>
        <w:spacing w:after="0"/>
        <w:rPr>
          <w:sz w:val="20"/>
          <w:szCs w:val="20"/>
          <w:color w:val="auto"/>
        </w:rPr>
      </w:pPr>
      <w:r>
        <w:rPr>
          <w:rFonts w:ascii="Arial" w:cs="Arial" w:eastAsia="Arial" w:hAnsi="Arial"/>
          <w:sz w:val="18"/>
          <w:szCs w:val="18"/>
          <w:color w:val="auto"/>
        </w:rPr>
        <w:t>Stuart M. Essig</w:t>
      </w:r>
    </w:p>
    <w:p>
      <w:pPr>
        <w:spacing w:after="0" w:line="23" w:lineRule="exact"/>
        <w:rPr>
          <w:sz w:val="20"/>
          <w:szCs w:val="20"/>
          <w:color w:val="auto"/>
        </w:rPr>
      </w:pPr>
    </w:p>
    <w:p>
      <w:pPr>
        <w:ind w:left="5028"/>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87"/>
          </w:cols>
          <w:pgMar w:left="572" w:top="121" w:right="1440" w:bottom="1440" w:gutter="0" w:footer="0" w:header="0"/>
        </w:sectPr>
      </w:pPr>
    </w:p>
    <w:bookmarkStart w:id="43" w:name="page44"/>
    <w:bookmarkEnd w:id="43"/>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130" w:lineRule="exact"/>
        <w:rPr>
          <w:sz w:val="20"/>
          <w:szCs w:val="20"/>
          <w:color w:val="auto"/>
        </w:rPr>
      </w:pPr>
    </w:p>
    <w:p>
      <w:pPr>
        <w:ind w:left="348" w:right="559" w:hanging="348"/>
        <w:spacing w:after="0" w:line="342" w:lineRule="auto"/>
        <w:tabs>
          <w:tab w:leader="none" w:pos="3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2009 (the “Report”) fully complies with the requirement of Section 13(a) or Section 15(d), as applicable, of the Securities Exchange Act of 1934, as amended; and</w:t>
      </w:r>
    </w:p>
    <w:p>
      <w:pPr>
        <w:spacing w:after="0" w:line="83" w:lineRule="exact"/>
        <w:rPr>
          <w:rFonts w:ascii="Arial" w:cs="Arial" w:eastAsia="Arial" w:hAnsi="Arial"/>
          <w:sz w:val="16"/>
          <w:szCs w:val="16"/>
          <w:color w:val="auto"/>
        </w:rPr>
      </w:pPr>
    </w:p>
    <w:p>
      <w:pPr>
        <w:ind w:left="348" w:right="559" w:hanging="348"/>
        <w:spacing w:after="0" w:line="277" w:lineRule="auto"/>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8"/>
        <w:spacing w:after="0"/>
        <w:tabs>
          <w:tab w:leader="none" w:pos="5007" w:val="left"/>
        </w:tabs>
        <w:rPr>
          <w:sz w:val="20"/>
          <w:szCs w:val="20"/>
          <w:color w:val="auto"/>
        </w:rPr>
      </w:pPr>
      <w:r>
        <w:rPr>
          <w:rFonts w:ascii="Arial" w:cs="Arial" w:eastAsia="Arial" w:hAnsi="Arial"/>
          <w:sz w:val="18"/>
          <w:szCs w:val="18"/>
          <w:color w:val="auto"/>
        </w:rPr>
        <w:t>Date: August 6, 2009</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14605</wp:posOffset>
            </wp:positionV>
            <wp:extent cx="23412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5028"/>
        <w:spacing w:after="0"/>
        <w:rPr>
          <w:sz w:val="20"/>
          <w:szCs w:val="20"/>
          <w:color w:val="auto"/>
        </w:rPr>
      </w:pPr>
      <w:r>
        <w:rPr>
          <w:rFonts w:ascii="Arial" w:cs="Arial" w:eastAsia="Arial" w:hAnsi="Arial"/>
          <w:sz w:val="18"/>
          <w:szCs w:val="18"/>
          <w:color w:val="auto"/>
        </w:rPr>
        <w:t>John B. Henneman, III</w:t>
      </w:r>
    </w:p>
    <w:p>
      <w:pPr>
        <w:spacing w:after="0" w:line="23" w:lineRule="exact"/>
        <w:rPr>
          <w:sz w:val="20"/>
          <w:szCs w:val="20"/>
          <w:color w:val="auto"/>
        </w:rPr>
      </w:pPr>
    </w:p>
    <w:p>
      <w:pPr>
        <w:ind w:left="5028"/>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028"/>
        <w:spacing w:after="0"/>
        <w:rPr>
          <w:sz w:val="20"/>
          <w:szCs w:val="20"/>
          <w:color w:val="auto"/>
        </w:rPr>
      </w:pPr>
      <w:r>
        <w:rPr>
          <w:rFonts w:ascii="Arial" w:cs="Arial" w:eastAsia="Arial" w:hAnsi="Arial"/>
          <w:sz w:val="18"/>
          <w:szCs w:val="18"/>
          <w:color w:val="auto"/>
        </w:rPr>
        <w:t>Finance and Administration, and</w:t>
      </w:r>
    </w:p>
    <w:p>
      <w:pPr>
        <w:spacing w:after="0" w:line="9" w:lineRule="exact"/>
        <w:rPr>
          <w:sz w:val="20"/>
          <w:szCs w:val="20"/>
          <w:color w:val="auto"/>
        </w:rPr>
      </w:pPr>
    </w:p>
    <w:p>
      <w:pPr>
        <w:ind w:left="5028"/>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2"/>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2"/>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2019-12-10T12:40:41Z</dcterms:created>
  <dcterms:modified xsi:type="dcterms:W3CDTF">2019-12-10T12:40:41Z</dcterms:modified>
</cp:coreProperties>
</file>