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59"/>
        <w:spacing w:after="0"/>
        <w:rPr>
          <w:sz w:val="20"/>
          <w:szCs w:val="20"/>
          <w:color w:val="auto"/>
        </w:rPr>
      </w:pPr>
      <w:r>
        <w:rPr>
          <w:rFonts w:ascii="Courier New" w:cs="Courier New" w:eastAsia="Courier New" w:hAnsi="Courier New"/>
          <w:sz w:val="17"/>
          <w:szCs w:val="17"/>
          <w:color w:val="auto"/>
        </w:rPr>
        <w:t>UNITED STATES</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ind w:left="3720"/>
        <w:spacing w:after="0"/>
        <w:rPr>
          <w:sz w:val="20"/>
          <w:szCs w:val="20"/>
          <w:color w:val="auto"/>
        </w:rPr>
      </w:pPr>
      <w:r>
        <w:rPr>
          <w:rFonts w:ascii="Courier New" w:cs="Courier New" w:eastAsia="Courier New" w:hAnsi="Courier New"/>
          <w:sz w:val="17"/>
          <w:szCs w:val="17"/>
          <w:color w:val="auto"/>
        </w:rPr>
        <w:t>FORM 10-Q</w:t>
      </w:r>
    </w:p>
    <w:p>
      <w:pPr>
        <w:spacing w:after="0" w:line="203"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(Mark One)</w:t>
      </w:r>
    </w:p>
    <w:p>
      <w:pPr>
        <w:spacing w:after="0" w:line="203" w:lineRule="exact"/>
        <w:rPr>
          <w:sz w:val="24"/>
          <w:szCs w:val="24"/>
          <w:color w:val="auto"/>
        </w:rPr>
      </w:pPr>
    </w:p>
    <w:p>
      <w:pPr>
        <w:ind w:left="3600" w:right="1979" w:hanging="3491"/>
        <w:spacing w:after="0" w:line="247" w:lineRule="auto"/>
        <w:tabs>
          <w:tab w:leader="none" w:pos="512"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8" w:lineRule="exact"/>
        <w:rPr>
          <w:sz w:val="24"/>
          <w:szCs w:val="24"/>
          <w:color w:val="auto"/>
        </w:rPr>
      </w:pPr>
    </w:p>
    <w:p>
      <w:pPr>
        <w:ind w:left="1860"/>
        <w:spacing w:after="0"/>
        <w:rPr>
          <w:sz w:val="20"/>
          <w:szCs w:val="20"/>
          <w:color w:val="auto"/>
        </w:rPr>
      </w:pPr>
      <w:r>
        <w:rPr>
          <w:rFonts w:ascii="Courier New" w:cs="Courier New" w:eastAsia="Courier New" w:hAnsi="Courier New"/>
          <w:sz w:val="17"/>
          <w:szCs w:val="17"/>
          <w:color w:val="auto"/>
        </w:rPr>
        <w:t>For the quarterly period ended June 30, 2006</w:t>
      </w:r>
    </w:p>
    <w:p>
      <w:pPr>
        <w:spacing w:after="0" w:line="203" w:lineRule="exact"/>
        <w:rPr>
          <w:sz w:val="24"/>
          <w:szCs w:val="24"/>
          <w:color w:val="auto"/>
        </w:rPr>
      </w:pPr>
    </w:p>
    <w:p>
      <w:pPr>
        <w:ind w:left="220" w:hanging="214"/>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w:t>
      </w:r>
    </w:p>
    <w:p>
      <w:pPr>
        <w:spacing w:after="0" w:line="5" w:lineRule="exact"/>
        <w:rPr>
          <w:rFonts w:ascii="Courier New" w:cs="Courier New" w:eastAsia="Courier New" w:hAnsi="Courier New"/>
          <w:sz w:val="17"/>
          <w:szCs w:val="17"/>
          <w:color w:val="auto"/>
        </w:rPr>
      </w:pPr>
    </w:p>
    <w:p>
      <w:pPr>
        <w:ind w:left="3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w:t>
      </w:r>
    </w:p>
    <w:p>
      <w:pPr>
        <w:spacing w:after="0" w:line="203" w:lineRule="exact"/>
        <w:rPr>
          <w:sz w:val="24"/>
          <w:szCs w:val="24"/>
          <w:color w:val="auto"/>
        </w:rPr>
      </w:pPr>
    </w:p>
    <w:p>
      <w:pPr>
        <w:jc w:val="center"/>
        <w:ind w:right="1859"/>
        <w:spacing w:after="0"/>
        <w:rPr>
          <w:sz w:val="20"/>
          <w:szCs w:val="20"/>
          <w:color w:val="auto"/>
        </w:rPr>
      </w:pPr>
      <w:r>
        <w:rPr>
          <w:rFonts w:ascii="Courier New" w:cs="Courier New" w:eastAsia="Courier New" w:hAnsi="Courier New"/>
          <w:sz w:val="17"/>
          <w:szCs w:val="17"/>
          <w:color w:val="auto"/>
        </w:rPr>
        <w:t>For the transition period from to</w:t>
      </w:r>
    </w:p>
    <w:p>
      <w:pPr>
        <w:spacing w:after="0" w:line="203" w:lineRule="exact"/>
        <w:rPr>
          <w:sz w:val="24"/>
          <w:szCs w:val="24"/>
          <w:color w:val="auto"/>
        </w:rPr>
      </w:pPr>
    </w:p>
    <w:p>
      <w:pPr>
        <w:jc w:val="center"/>
        <w:ind w:right="1859"/>
        <w:spacing w:after="0"/>
        <w:rPr>
          <w:sz w:val="20"/>
          <w:szCs w:val="20"/>
          <w:color w:val="auto"/>
        </w:rPr>
      </w:pPr>
      <w:r>
        <w:rPr>
          <w:rFonts w:ascii="Courier New" w:cs="Courier New" w:eastAsia="Courier New" w:hAnsi="Courier New"/>
          <w:sz w:val="17"/>
          <w:szCs w:val="17"/>
          <w:color w:val="auto"/>
        </w:rPr>
        <w:t>COMMISSION FILE NO. 0-26224</w:t>
      </w:r>
    </w:p>
    <w:p>
      <w:pPr>
        <w:spacing w:after="0" w:line="203" w:lineRule="exact"/>
        <w:rPr>
          <w:sz w:val="24"/>
          <w:szCs w:val="24"/>
          <w:color w:val="auto"/>
        </w:rPr>
      </w:pPr>
    </w:p>
    <w:p>
      <w:pPr>
        <w:ind w:left="2060"/>
        <w:spacing w:after="0"/>
        <w:rPr>
          <w:sz w:val="20"/>
          <w:szCs w:val="20"/>
          <w:color w:val="auto"/>
        </w:rPr>
      </w:pPr>
      <w:r>
        <w:rPr>
          <w:rFonts w:ascii="Courier New" w:cs="Courier New" w:eastAsia="Courier New" w:hAnsi="Courier New"/>
          <w:sz w:val="17"/>
          <w:szCs w:val="17"/>
          <w:color w:val="auto"/>
        </w:rPr>
        <w:t>INTEGRA LIFESCIENCES HOLDINGS CORPORATION</w:t>
      </w:r>
    </w:p>
    <w:p>
      <w:pPr>
        <w:spacing w:after="0" w:line="203"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800" w:type="dxa"/>
            <w:vAlign w:val="bottom"/>
            <w:gridSpan w:val="2"/>
          </w:tcPr>
          <w:p>
            <w:pPr>
              <w:ind w:left="1140"/>
              <w:spacing w:after="0"/>
              <w:rPr>
                <w:sz w:val="20"/>
                <w:szCs w:val="20"/>
                <w:color w:val="auto"/>
              </w:rPr>
            </w:pPr>
            <w:r>
              <w:rPr>
                <w:rFonts w:ascii="Courier New" w:cs="Courier New" w:eastAsia="Courier New" w:hAnsi="Courier New"/>
                <w:sz w:val="17"/>
                <w:szCs w:val="17"/>
                <w:color w:val="auto"/>
              </w:rPr>
              <w:t>DELAWARE</w:t>
            </w:r>
          </w:p>
        </w:tc>
        <w:tc>
          <w:tcPr>
            <w:tcW w:w="3640" w:type="dxa"/>
            <w:vAlign w:val="bottom"/>
          </w:tcPr>
          <w:p>
            <w:pPr>
              <w:ind w:left="1800"/>
              <w:spacing w:after="0"/>
              <w:rPr>
                <w:sz w:val="20"/>
                <w:szCs w:val="20"/>
                <w:color w:val="auto"/>
              </w:rPr>
            </w:pPr>
            <w:r>
              <w:rPr>
                <w:rFonts w:ascii="Courier New" w:cs="Courier New" w:eastAsia="Courier New" w:hAnsi="Courier New"/>
                <w:sz w:val="17"/>
                <w:szCs w:val="17"/>
                <w:color w:val="auto"/>
              </w:rPr>
              <w:t>51-0317849</w:t>
            </w:r>
          </w:p>
        </w:tc>
      </w:tr>
      <w:tr>
        <w:trPr>
          <w:trHeight w:val="198"/>
        </w:trPr>
        <w:tc>
          <w:tcPr>
            <w:tcW w:w="480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3640" w:type="dxa"/>
            <w:vAlign w:val="bottom"/>
          </w:tcPr>
          <w:p>
            <w:pPr>
              <w:ind w:left="148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1600" w:type="dxa"/>
            <w:vAlign w:val="bottom"/>
          </w:tcPr>
          <w:p>
            <w:pPr>
              <w:spacing w:after="0"/>
              <w:rPr>
                <w:sz w:val="20"/>
                <w:szCs w:val="20"/>
                <w:color w:val="auto"/>
              </w:rPr>
            </w:pPr>
            <w:r>
              <w:rPr>
                <w:rFonts w:ascii="Courier New" w:cs="Courier New" w:eastAsia="Courier New" w:hAnsi="Courier New"/>
                <w:sz w:val="17"/>
                <w:szCs w:val="17"/>
                <w:color w:val="auto"/>
              </w:rPr>
              <w:t>(STATE OR OTHER</w:t>
            </w:r>
          </w:p>
        </w:tc>
        <w:tc>
          <w:tcPr>
            <w:tcW w:w="3200" w:type="dxa"/>
            <w:vAlign w:val="bottom"/>
          </w:tcPr>
          <w:p>
            <w:pPr>
              <w:ind w:left="60"/>
              <w:spacing w:after="0"/>
              <w:rPr>
                <w:sz w:val="20"/>
                <w:szCs w:val="20"/>
                <w:color w:val="auto"/>
              </w:rPr>
            </w:pPr>
            <w:r>
              <w:rPr>
                <w:rFonts w:ascii="Courier New" w:cs="Courier New" w:eastAsia="Courier New" w:hAnsi="Courier New"/>
                <w:sz w:val="17"/>
                <w:szCs w:val="17"/>
                <w:color w:val="auto"/>
              </w:rPr>
              <w:t>JURISDICTION OF</w:t>
            </w:r>
          </w:p>
        </w:tc>
        <w:tc>
          <w:tcPr>
            <w:tcW w:w="3640" w:type="dxa"/>
            <w:vAlign w:val="bottom"/>
          </w:tcPr>
          <w:p>
            <w:pPr>
              <w:ind w:left="1480"/>
              <w:spacing w:after="0"/>
              <w:rPr>
                <w:sz w:val="20"/>
                <w:szCs w:val="20"/>
                <w:color w:val="auto"/>
              </w:rPr>
            </w:pPr>
            <w:r>
              <w:rPr>
                <w:rFonts w:ascii="Courier New" w:cs="Courier New" w:eastAsia="Courier New" w:hAnsi="Courier New"/>
                <w:sz w:val="17"/>
                <w:szCs w:val="17"/>
                <w:color w:val="auto"/>
              </w:rPr>
              <w:t>(I.R.S. EMPLOYER</w:t>
            </w:r>
          </w:p>
        </w:tc>
      </w:tr>
      <w:tr>
        <w:trPr>
          <w:trHeight w:val="198"/>
        </w:trPr>
        <w:tc>
          <w:tcPr>
            <w:tcW w:w="4800" w:type="dxa"/>
            <w:vAlign w:val="bottom"/>
            <w:gridSpan w:val="2"/>
          </w:tcPr>
          <w:p>
            <w:pPr>
              <w:spacing w:after="0"/>
              <w:rPr>
                <w:sz w:val="20"/>
                <w:szCs w:val="20"/>
                <w:color w:val="auto"/>
              </w:rPr>
            </w:pPr>
            <w:r>
              <w:rPr>
                <w:rFonts w:ascii="Courier New" w:cs="Courier New" w:eastAsia="Courier New" w:hAnsi="Courier New"/>
                <w:sz w:val="17"/>
                <w:szCs w:val="17"/>
                <w:color w:val="auto"/>
              </w:rPr>
              <w:t>INCORPORATION OR ORGANIZATION)</w:t>
            </w: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IDENTIFICATION NO.)</w:t>
            </w:r>
          </w:p>
        </w:tc>
      </w:tr>
      <w:tr>
        <w:trPr>
          <w:trHeight w:val="396"/>
        </w:trPr>
        <w:tc>
          <w:tcPr>
            <w:tcW w:w="480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311 ENTERPRISE DRIVE</w:t>
            </w:r>
          </w:p>
        </w:tc>
        <w:tc>
          <w:tcPr>
            <w:tcW w:w="3640" w:type="dxa"/>
            <w:vAlign w:val="bottom"/>
          </w:tcPr>
          <w:p>
            <w:pPr>
              <w:spacing w:after="0"/>
              <w:rPr>
                <w:sz w:val="24"/>
                <w:szCs w:val="24"/>
                <w:color w:val="auto"/>
              </w:rPr>
            </w:pPr>
          </w:p>
        </w:tc>
      </w:tr>
      <w:tr>
        <w:trPr>
          <w:trHeight w:val="198"/>
        </w:trPr>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PLAINSBORO,</w:t>
            </w:r>
          </w:p>
        </w:tc>
        <w:tc>
          <w:tcPr>
            <w:tcW w:w="3200" w:type="dxa"/>
            <w:vAlign w:val="bottom"/>
          </w:tcPr>
          <w:p>
            <w:pPr>
              <w:ind w:left="60"/>
              <w:spacing w:after="0"/>
              <w:rPr>
                <w:sz w:val="20"/>
                <w:szCs w:val="20"/>
                <w:color w:val="auto"/>
              </w:rPr>
            </w:pPr>
            <w:r>
              <w:rPr>
                <w:rFonts w:ascii="Courier New" w:cs="Courier New" w:eastAsia="Courier New" w:hAnsi="Courier New"/>
                <w:sz w:val="17"/>
                <w:szCs w:val="17"/>
                <w:color w:val="auto"/>
              </w:rPr>
              <w:t>NEW JERSEY</w:t>
            </w:r>
          </w:p>
        </w:tc>
        <w:tc>
          <w:tcPr>
            <w:tcW w:w="3640" w:type="dxa"/>
            <w:vAlign w:val="bottom"/>
          </w:tcPr>
          <w:p>
            <w:pPr>
              <w:ind w:left="2100"/>
              <w:spacing w:after="0"/>
              <w:rPr>
                <w:sz w:val="20"/>
                <w:szCs w:val="20"/>
                <w:color w:val="auto"/>
              </w:rPr>
            </w:pPr>
            <w:r>
              <w:rPr>
                <w:rFonts w:ascii="Courier New" w:cs="Courier New" w:eastAsia="Courier New" w:hAnsi="Courier New"/>
                <w:sz w:val="17"/>
                <w:szCs w:val="17"/>
                <w:color w:val="auto"/>
              </w:rPr>
              <w:t>08536</w:t>
            </w:r>
          </w:p>
        </w:tc>
      </w:tr>
      <w:tr>
        <w:trPr>
          <w:trHeight w:val="198"/>
        </w:trPr>
        <w:tc>
          <w:tcPr>
            <w:tcW w:w="480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3640" w:type="dxa"/>
            <w:vAlign w:val="bottom"/>
          </w:tcPr>
          <w:p>
            <w:pPr>
              <w:ind w:left="148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(ADDRESS OF</w:t>
            </w:r>
          </w:p>
        </w:tc>
        <w:tc>
          <w:tcPr>
            <w:tcW w:w="3200" w:type="dxa"/>
            <w:vAlign w:val="bottom"/>
          </w:tcPr>
          <w:p>
            <w:pPr>
              <w:ind w:left="60"/>
              <w:spacing w:after="0"/>
              <w:rPr>
                <w:sz w:val="20"/>
                <w:szCs w:val="20"/>
                <w:color w:val="auto"/>
              </w:rPr>
            </w:pPr>
            <w:r>
              <w:rPr>
                <w:rFonts w:ascii="Courier New" w:cs="Courier New" w:eastAsia="Courier New" w:hAnsi="Courier New"/>
                <w:sz w:val="17"/>
                <w:szCs w:val="17"/>
                <w:color w:val="auto"/>
              </w:rPr>
              <w:t>PRINCIPAL</w:t>
            </w:r>
          </w:p>
        </w:tc>
        <w:tc>
          <w:tcPr>
            <w:tcW w:w="3640" w:type="dxa"/>
            <w:vAlign w:val="bottom"/>
          </w:tcPr>
          <w:p>
            <w:pPr>
              <w:ind w:left="1800"/>
              <w:spacing w:after="0"/>
              <w:rPr>
                <w:sz w:val="20"/>
                <w:szCs w:val="20"/>
                <w:color w:val="auto"/>
              </w:rPr>
            </w:pPr>
            <w:r>
              <w:rPr>
                <w:rFonts w:ascii="Courier New" w:cs="Courier New" w:eastAsia="Courier New" w:hAnsi="Courier New"/>
                <w:sz w:val="17"/>
                <w:szCs w:val="17"/>
                <w:color w:val="auto"/>
              </w:rPr>
              <w:t>(ZIP CODE)</w:t>
            </w:r>
          </w:p>
        </w:tc>
      </w:tr>
      <w:tr>
        <w:trPr>
          <w:trHeight w:val="198"/>
        </w:trPr>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EXECUTIVE</w:t>
            </w:r>
          </w:p>
        </w:tc>
        <w:tc>
          <w:tcPr>
            <w:tcW w:w="3200" w:type="dxa"/>
            <w:vAlign w:val="bottom"/>
          </w:tcPr>
          <w:p>
            <w:pPr>
              <w:ind w:left="60"/>
              <w:spacing w:after="0"/>
              <w:rPr>
                <w:sz w:val="20"/>
                <w:szCs w:val="20"/>
                <w:color w:val="auto"/>
              </w:rPr>
            </w:pPr>
            <w:r>
              <w:rPr>
                <w:rFonts w:ascii="Courier New" w:cs="Courier New" w:eastAsia="Courier New" w:hAnsi="Courier New"/>
                <w:sz w:val="17"/>
                <w:szCs w:val="17"/>
                <w:color w:val="auto"/>
              </w:rPr>
              <w:t>OFFICES)</w:t>
            </w:r>
          </w:p>
        </w:tc>
        <w:tc>
          <w:tcPr>
            <w:tcW w:w="3640" w:type="dxa"/>
            <w:vAlign w:val="bottom"/>
          </w:tcPr>
          <w:p>
            <w:pPr>
              <w:spacing w:after="0"/>
              <w:rPr>
                <w:sz w:val="17"/>
                <w:szCs w:val="17"/>
                <w:color w:val="auto"/>
              </w:rPr>
            </w:pPr>
          </w:p>
        </w:tc>
      </w:tr>
    </w:tbl>
    <w:p>
      <w:pPr>
        <w:spacing w:after="0" w:line="203"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REGISTRANT'S TELEPHONE NUMBER, INCLUDING AREA CODE: (609) 275-0500</w:t>
      </w:r>
    </w:p>
    <w:p>
      <w:pPr>
        <w:spacing w:after="0" w:line="203" w:lineRule="exact"/>
        <w:rPr>
          <w:sz w:val="24"/>
          <w:szCs w:val="24"/>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800" w:type="dxa"/>
            <w:vAlign w:val="bottom"/>
            <w:gridSpan w:val="2"/>
          </w:tcPr>
          <w:p>
            <w:pPr>
              <w:spacing w:after="0"/>
              <w:rPr>
                <w:sz w:val="20"/>
                <w:szCs w:val="20"/>
                <w:color w:val="auto"/>
              </w:rPr>
            </w:pPr>
            <w:r>
              <w:rPr>
                <w:rFonts w:ascii="Courier New" w:cs="Courier New" w:eastAsia="Courier New" w:hAnsi="Courier New"/>
                <w:sz w:val="17"/>
                <w:szCs w:val="17"/>
                <w:color w:val="auto"/>
              </w:rPr>
              <w:t>Indicate by check</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mark</w:t>
            </w:r>
          </w:p>
        </w:tc>
        <w:tc>
          <w:tcPr>
            <w:tcW w:w="3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whether the registrant is a large</w:t>
            </w:r>
          </w:p>
        </w:tc>
        <w:tc>
          <w:tcPr>
            <w:tcW w:w="1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accelerated filer,</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an</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accelerated</w:t>
            </w:r>
          </w:p>
        </w:tc>
        <w:tc>
          <w:tcPr>
            <w:tcW w:w="620" w:type="dxa"/>
            <w:vAlign w:val="bottom"/>
          </w:tcPr>
          <w:p>
            <w:pPr>
              <w:ind w:left="60"/>
              <w:spacing w:after="0"/>
              <w:rPr>
                <w:sz w:val="20"/>
                <w:szCs w:val="20"/>
                <w:color w:val="auto"/>
              </w:rPr>
            </w:pPr>
            <w:r>
              <w:rPr>
                <w:rFonts w:ascii="Courier New" w:cs="Courier New" w:eastAsia="Courier New" w:hAnsi="Courier New"/>
                <w:sz w:val="17"/>
                <w:szCs w:val="17"/>
                <w:color w:val="auto"/>
              </w:rPr>
              <w:t>filer</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or a</w:t>
            </w:r>
          </w:p>
        </w:tc>
        <w:tc>
          <w:tcPr>
            <w:tcW w:w="39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non-accelerated filer. See definition</w:t>
            </w:r>
          </w:p>
        </w:tc>
        <w:tc>
          <w:tcPr>
            <w:tcW w:w="154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of large</w:t>
            </w:r>
          </w:p>
        </w:tc>
        <w:tc>
          <w:tcPr>
            <w:tcW w:w="460" w:type="dxa"/>
            <w:vAlign w:val="bottom"/>
          </w:tcPr>
          <w:p>
            <w:pPr>
              <w:spacing w:after="0"/>
              <w:rPr>
                <w:sz w:val="17"/>
                <w:szCs w:val="17"/>
                <w:color w:val="auto"/>
              </w:rPr>
            </w:pP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accelerated</w:t>
            </w:r>
          </w:p>
        </w:tc>
        <w:tc>
          <w:tcPr>
            <w:tcW w:w="620" w:type="dxa"/>
            <w:vAlign w:val="bottom"/>
          </w:tcPr>
          <w:p>
            <w:pPr>
              <w:ind w:left="60"/>
              <w:spacing w:after="0"/>
              <w:rPr>
                <w:sz w:val="20"/>
                <w:szCs w:val="20"/>
                <w:color w:val="auto"/>
              </w:rPr>
            </w:pPr>
            <w:r>
              <w:rPr>
                <w:rFonts w:ascii="Courier New" w:cs="Courier New" w:eastAsia="Courier New" w:hAnsi="Courier New"/>
                <w:sz w:val="17"/>
                <w:szCs w:val="17"/>
                <w:color w:val="auto"/>
              </w:rPr>
              <w:t>filer</w:t>
            </w:r>
          </w:p>
        </w:tc>
        <w:tc>
          <w:tcPr>
            <w:tcW w:w="31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and accelerated filer in Rule</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12b-2 of</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the</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Exchange Act).</w:t>
            </w:r>
          </w:p>
        </w:tc>
        <w:tc>
          <w:tcPr>
            <w:tcW w:w="460" w:type="dxa"/>
            <w:vAlign w:val="bottom"/>
          </w:tcPr>
          <w:p>
            <w:pPr>
              <w:spacing w:after="0"/>
              <w:rPr>
                <w:sz w:val="17"/>
                <w:szCs w:val="17"/>
                <w:color w:val="auto"/>
              </w:rPr>
            </w:pPr>
          </w:p>
        </w:tc>
      </w:tr>
      <w:tr>
        <w:trPr>
          <w:trHeight w:val="198"/>
        </w:trPr>
        <w:tc>
          <w:tcPr>
            <w:tcW w:w="1800" w:type="dxa"/>
            <w:vAlign w:val="bottom"/>
            <w:gridSpan w:val="2"/>
          </w:tcPr>
          <w:p>
            <w:pPr>
              <w:spacing w:after="0"/>
              <w:rPr>
                <w:sz w:val="20"/>
                <w:szCs w:val="20"/>
                <w:color w:val="auto"/>
              </w:rPr>
            </w:pPr>
            <w:r>
              <w:rPr>
                <w:rFonts w:ascii="Courier New" w:cs="Courier New" w:eastAsia="Courier New" w:hAnsi="Courier New"/>
                <w:sz w:val="17"/>
                <w:szCs w:val="17"/>
                <w:color w:val="auto"/>
              </w:rPr>
              <w:t>Large accelerated</w:t>
            </w:r>
          </w:p>
        </w:tc>
        <w:tc>
          <w:tcPr>
            <w:tcW w:w="31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filer [  ]  Accelerated filer</w:t>
            </w:r>
          </w:p>
        </w:tc>
        <w:tc>
          <w:tcPr>
            <w:tcW w:w="28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[X]   Non-accelerated filer</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  ]</w:t>
            </w:r>
          </w:p>
        </w:tc>
      </w:tr>
    </w:tbl>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Indicate by check mark whether the registrant is a shell company (as defined in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Rule 12b-2 of the Exchange Act).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Yes [ ] No [X]</w:t>
      </w:r>
    </w:p>
    <w:p>
      <w:pPr>
        <w:spacing w:after="0" w:line="203" w:lineRule="exact"/>
        <w:rPr>
          <w:sz w:val="24"/>
          <w:szCs w:val="24"/>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The number of shares of the registrant's Common Stock outstanding as of August 4, 2006 was 28,362,001.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880" w:type="dxa"/>
            <w:vAlign w:val="bottom"/>
          </w:tcPr>
          <w:p>
            <w:pPr>
              <w:spacing w:after="0"/>
              <w:rPr>
                <w:sz w:val="16"/>
                <w:szCs w:val="16"/>
                <w:color w:val="auto"/>
              </w:rPr>
            </w:pPr>
          </w:p>
        </w:tc>
        <w:tc>
          <w:tcPr>
            <w:tcW w:w="6540" w:type="dxa"/>
            <w:vAlign w:val="bottom"/>
          </w:tcPr>
          <w:p>
            <w:pPr>
              <w:jc w:val="center"/>
              <w:spacing w:after="0"/>
              <w:rPr>
                <w:sz w:val="20"/>
                <w:szCs w:val="20"/>
                <w:color w:val="auto"/>
              </w:rPr>
            </w:pPr>
            <w:r>
              <w:rPr>
                <w:rFonts w:ascii="Courier New" w:cs="Courier New" w:eastAsia="Courier New" w:hAnsi="Courier New"/>
                <w:sz w:val="17"/>
                <w:szCs w:val="17"/>
                <w:color w:val="auto"/>
              </w:rPr>
              <w:t>INTEGRA LIFESCIENCES HOLDINGS CORPORATION</w:t>
            </w:r>
          </w:p>
        </w:tc>
        <w:tc>
          <w:tcPr>
            <w:tcW w:w="820" w:type="dxa"/>
            <w:vAlign w:val="bottom"/>
          </w:tcPr>
          <w:p>
            <w:pPr>
              <w:spacing w:after="0"/>
              <w:rPr>
                <w:sz w:val="16"/>
                <w:szCs w:val="16"/>
                <w:color w:val="auto"/>
              </w:rPr>
            </w:pPr>
          </w:p>
        </w:tc>
      </w:tr>
      <w:tr>
        <w:trPr>
          <w:trHeight w:val="396"/>
        </w:trPr>
        <w:tc>
          <w:tcPr>
            <w:tcW w:w="88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Courier New" w:cs="Courier New" w:eastAsia="Courier New" w:hAnsi="Courier New"/>
                <w:sz w:val="17"/>
                <w:szCs w:val="17"/>
                <w:color w:val="auto"/>
              </w:rPr>
              <w:t>INDEX</w:t>
            </w:r>
          </w:p>
        </w:tc>
        <w:tc>
          <w:tcPr>
            <w:tcW w:w="820" w:type="dxa"/>
            <w:vAlign w:val="bottom"/>
          </w:tcPr>
          <w:p>
            <w:pPr>
              <w:spacing w:after="0"/>
              <w:rPr>
                <w:sz w:val="24"/>
                <w:szCs w:val="24"/>
                <w:color w:val="auto"/>
              </w:rPr>
            </w:pPr>
          </w:p>
        </w:tc>
      </w:tr>
      <w:tr>
        <w:trPr>
          <w:trHeight w:val="594"/>
        </w:trPr>
        <w:tc>
          <w:tcPr>
            <w:tcW w:w="880" w:type="dxa"/>
            <w:vAlign w:val="bottom"/>
          </w:tcPr>
          <w:p>
            <w:pPr>
              <w:spacing w:after="0"/>
              <w:rPr>
                <w:sz w:val="24"/>
                <w:szCs w:val="24"/>
                <w:color w:val="auto"/>
              </w:rPr>
            </w:pPr>
          </w:p>
        </w:tc>
        <w:tc>
          <w:tcPr>
            <w:tcW w:w="7360" w:type="dxa"/>
            <w:vAlign w:val="bottom"/>
            <w:gridSpan w:val="2"/>
          </w:tcPr>
          <w:p>
            <w:pPr>
              <w:ind w:left="6220"/>
              <w:spacing w:after="0"/>
              <w:rPr>
                <w:sz w:val="20"/>
                <w:szCs w:val="20"/>
                <w:color w:val="auto"/>
              </w:rPr>
            </w:pPr>
            <w:r>
              <w:rPr>
                <w:rFonts w:ascii="Courier New" w:cs="Courier New" w:eastAsia="Courier New" w:hAnsi="Courier New"/>
                <w:sz w:val="17"/>
                <w:szCs w:val="17"/>
                <w:color w:val="auto"/>
                <w:w w:val="99"/>
              </w:rPr>
              <w:t>Page Number</w:t>
            </w:r>
          </w:p>
        </w:tc>
      </w:tr>
      <w:tr>
        <w:trPr>
          <w:trHeight w:val="198"/>
        </w:trPr>
        <w:tc>
          <w:tcPr>
            <w:tcW w:w="880" w:type="dxa"/>
            <w:vAlign w:val="bottom"/>
          </w:tcPr>
          <w:p>
            <w:pPr>
              <w:spacing w:after="0"/>
              <w:rPr>
                <w:sz w:val="17"/>
                <w:szCs w:val="17"/>
                <w:color w:val="auto"/>
              </w:rPr>
            </w:pPr>
          </w:p>
        </w:tc>
        <w:tc>
          <w:tcPr>
            <w:tcW w:w="7360" w:type="dxa"/>
            <w:vAlign w:val="bottom"/>
            <w:gridSpan w:val="2"/>
          </w:tcPr>
          <w:p>
            <w:pPr>
              <w:jc w:val="center"/>
              <w:ind w:left="6134"/>
              <w:spacing w:after="0"/>
              <w:rPr>
                <w:sz w:val="20"/>
                <w:szCs w:val="20"/>
                <w:color w:val="auto"/>
              </w:rPr>
            </w:pPr>
            <w:r>
              <w:rPr>
                <w:rFonts w:ascii="Courier New" w:cs="Courier New" w:eastAsia="Courier New" w:hAnsi="Courier New"/>
                <w:sz w:val="17"/>
                <w:szCs w:val="17"/>
                <w:color w:val="auto"/>
              </w:rPr>
              <w:t>-----------</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6540" w:type="dxa"/>
            <w:vAlign w:val="bottom"/>
          </w:tcPr>
          <w:p>
            <w:pPr>
              <w:ind w:left="980"/>
              <w:spacing w:after="0"/>
              <w:rPr>
                <w:sz w:val="20"/>
                <w:szCs w:val="20"/>
                <w:color w:val="auto"/>
              </w:rPr>
            </w:pPr>
            <w:r>
              <w:rPr>
                <w:rFonts w:ascii="Courier New" w:cs="Courier New" w:eastAsia="Courier New" w:hAnsi="Courier New"/>
                <w:sz w:val="17"/>
                <w:szCs w:val="17"/>
                <w:color w:val="auto"/>
              </w:rPr>
              <w:t>FINANCIAL INFORMATION</w:t>
            </w:r>
          </w:p>
        </w:tc>
        <w:tc>
          <w:tcPr>
            <w:tcW w:w="820" w:type="dxa"/>
            <w:vAlign w:val="bottom"/>
          </w:tcPr>
          <w:p>
            <w:pPr>
              <w:spacing w:after="0"/>
              <w:rPr>
                <w:sz w:val="17"/>
                <w:szCs w:val="17"/>
                <w:color w:val="auto"/>
              </w:rPr>
            </w:pPr>
          </w:p>
        </w:tc>
      </w:tr>
      <w:tr>
        <w:trPr>
          <w:trHeight w:val="396"/>
        </w:trPr>
        <w:tc>
          <w:tcPr>
            <w:tcW w:w="88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6540" w:type="dxa"/>
            <w:vAlign w:val="bottom"/>
          </w:tcPr>
          <w:p>
            <w:pPr>
              <w:ind w:left="160"/>
              <w:spacing w:after="0"/>
              <w:rPr>
                <w:sz w:val="20"/>
                <w:szCs w:val="20"/>
                <w:color w:val="auto"/>
              </w:rPr>
            </w:pPr>
            <w:r>
              <w:rPr>
                <w:rFonts w:ascii="Courier New" w:cs="Courier New" w:eastAsia="Courier New" w:hAnsi="Courier New"/>
                <w:sz w:val="17"/>
                <w:szCs w:val="17"/>
                <w:color w:val="auto"/>
              </w:rPr>
              <w:t>Financial Statements</w:t>
            </w:r>
          </w:p>
        </w:tc>
        <w:tc>
          <w:tcPr>
            <w:tcW w:w="820" w:type="dxa"/>
            <w:vAlign w:val="bottom"/>
          </w:tcPr>
          <w:p>
            <w:pPr>
              <w:spacing w:after="0"/>
              <w:rPr>
                <w:sz w:val="24"/>
                <w:szCs w:val="24"/>
                <w:color w:val="auto"/>
              </w:rPr>
            </w:pPr>
          </w:p>
        </w:tc>
      </w:tr>
      <w:tr>
        <w:trPr>
          <w:trHeight w:val="396"/>
        </w:trPr>
        <w:tc>
          <w:tcPr>
            <w:tcW w:w="7420" w:type="dxa"/>
            <w:vAlign w:val="bottom"/>
            <w:gridSpan w:val="2"/>
          </w:tcPr>
          <w:p>
            <w:pPr>
              <w:spacing w:after="0"/>
              <w:rPr>
                <w:sz w:val="20"/>
                <w:szCs w:val="20"/>
                <w:color w:val="auto"/>
              </w:rPr>
            </w:pPr>
            <w:r>
              <w:rPr>
                <w:rFonts w:ascii="Courier New" w:cs="Courier New" w:eastAsia="Courier New" w:hAnsi="Courier New"/>
                <w:sz w:val="17"/>
                <w:szCs w:val="17"/>
                <w:color w:val="auto"/>
              </w:rPr>
              <w:t>Condensed Consolidated Statements of Operations for the three</w:t>
            </w:r>
          </w:p>
        </w:tc>
        <w:tc>
          <w:tcPr>
            <w:tcW w:w="820" w:type="dxa"/>
            <w:vAlign w:val="bottom"/>
          </w:tcPr>
          <w:p>
            <w:pPr>
              <w:spacing w:after="0"/>
              <w:rPr>
                <w:sz w:val="24"/>
                <w:szCs w:val="24"/>
                <w:color w:val="auto"/>
              </w:rPr>
            </w:pPr>
          </w:p>
        </w:tc>
      </w:tr>
      <w:tr>
        <w:trPr>
          <w:trHeight w:val="198"/>
        </w:trPr>
        <w:tc>
          <w:tcPr>
            <w:tcW w:w="74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months ended and six months ended June 30, 2006 and 2005 (Unaudited)</w:t>
            </w:r>
          </w:p>
        </w:tc>
        <w:tc>
          <w:tcPr>
            <w:tcW w:w="820" w:type="dxa"/>
            <w:vAlign w:val="bottom"/>
          </w:tcPr>
          <w:p>
            <w:pPr>
              <w:jc w:val="center"/>
              <w:ind w:right="234"/>
              <w:spacing w:after="0"/>
              <w:rPr>
                <w:sz w:val="20"/>
                <w:szCs w:val="20"/>
                <w:color w:val="auto"/>
              </w:rPr>
            </w:pPr>
            <w:r>
              <w:rPr>
                <w:rFonts w:ascii="Courier New" w:cs="Courier New" w:eastAsia="Courier New" w:hAnsi="Courier New"/>
                <w:sz w:val="17"/>
                <w:szCs w:val="17"/>
                <w:color w:val="auto"/>
                <w:w w:val="97"/>
              </w:rPr>
              <w:t>2</w:t>
            </w:r>
          </w:p>
        </w:tc>
      </w:tr>
      <w:tr>
        <w:trPr>
          <w:trHeight w:val="396"/>
        </w:trPr>
        <w:tc>
          <w:tcPr>
            <w:tcW w:w="7420" w:type="dxa"/>
            <w:vAlign w:val="bottom"/>
            <w:gridSpan w:val="2"/>
          </w:tcPr>
          <w:p>
            <w:pPr>
              <w:spacing w:after="0"/>
              <w:rPr>
                <w:sz w:val="20"/>
                <w:szCs w:val="20"/>
                <w:color w:val="auto"/>
              </w:rPr>
            </w:pPr>
            <w:r>
              <w:rPr>
                <w:rFonts w:ascii="Courier New" w:cs="Courier New" w:eastAsia="Courier New" w:hAnsi="Courier New"/>
                <w:sz w:val="17"/>
                <w:szCs w:val="17"/>
                <w:color w:val="auto"/>
              </w:rPr>
              <w:t>Condensed Consolidated Balance Sheets as of June 30, 2006</w:t>
            </w:r>
          </w:p>
        </w:tc>
        <w:tc>
          <w:tcPr>
            <w:tcW w:w="820" w:type="dxa"/>
            <w:vAlign w:val="bottom"/>
          </w:tcPr>
          <w:p>
            <w:pPr>
              <w:spacing w:after="0"/>
              <w:rPr>
                <w:sz w:val="24"/>
                <w:szCs w:val="24"/>
                <w:color w:val="auto"/>
              </w:rPr>
            </w:pPr>
          </w:p>
        </w:tc>
      </w:tr>
      <w:tr>
        <w:trPr>
          <w:trHeight w:val="198"/>
        </w:trPr>
        <w:tc>
          <w:tcPr>
            <w:tcW w:w="74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and December 31, 2005 (Unaudited)</w:t>
            </w:r>
          </w:p>
        </w:tc>
        <w:tc>
          <w:tcPr>
            <w:tcW w:w="820" w:type="dxa"/>
            <w:vAlign w:val="bottom"/>
          </w:tcPr>
          <w:p>
            <w:pPr>
              <w:jc w:val="center"/>
              <w:ind w:right="234"/>
              <w:spacing w:after="0"/>
              <w:rPr>
                <w:sz w:val="20"/>
                <w:szCs w:val="20"/>
                <w:color w:val="auto"/>
              </w:rPr>
            </w:pPr>
            <w:r>
              <w:rPr>
                <w:rFonts w:ascii="Courier New" w:cs="Courier New" w:eastAsia="Courier New" w:hAnsi="Courier New"/>
                <w:sz w:val="17"/>
                <w:szCs w:val="17"/>
                <w:color w:val="auto"/>
                <w:w w:val="97"/>
              </w:rPr>
              <w:t>3</w:t>
            </w:r>
          </w:p>
        </w:tc>
      </w:tr>
      <w:tr>
        <w:trPr>
          <w:trHeight w:val="396"/>
        </w:trPr>
        <w:tc>
          <w:tcPr>
            <w:tcW w:w="7420" w:type="dxa"/>
            <w:vAlign w:val="bottom"/>
            <w:gridSpan w:val="2"/>
          </w:tcPr>
          <w:p>
            <w:pPr>
              <w:spacing w:after="0"/>
              <w:rPr>
                <w:sz w:val="20"/>
                <w:szCs w:val="20"/>
                <w:color w:val="auto"/>
              </w:rPr>
            </w:pPr>
            <w:r>
              <w:rPr>
                <w:rFonts w:ascii="Courier New" w:cs="Courier New" w:eastAsia="Courier New" w:hAnsi="Courier New"/>
                <w:sz w:val="17"/>
                <w:szCs w:val="17"/>
                <w:color w:val="auto"/>
              </w:rPr>
              <w:t>Condensed Consolidated Statements of Cash Flows for the six months</w:t>
            </w:r>
          </w:p>
        </w:tc>
        <w:tc>
          <w:tcPr>
            <w:tcW w:w="820" w:type="dxa"/>
            <w:vAlign w:val="bottom"/>
          </w:tcPr>
          <w:p>
            <w:pPr>
              <w:spacing w:after="0"/>
              <w:rPr>
                <w:sz w:val="24"/>
                <w:szCs w:val="24"/>
                <w:color w:val="auto"/>
              </w:rPr>
            </w:pPr>
          </w:p>
        </w:tc>
      </w:tr>
      <w:tr>
        <w:trPr>
          <w:trHeight w:val="198"/>
        </w:trPr>
        <w:tc>
          <w:tcPr>
            <w:tcW w:w="7420" w:type="dxa"/>
            <w:vAlign w:val="bottom"/>
            <w:gridSpan w:val="2"/>
          </w:tcPr>
          <w:p>
            <w:pPr>
              <w:spacing w:after="0"/>
              <w:rPr>
                <w:sz w:val="20"/>
                <w:szCs w:val="20"/>
                <w:color w:val="auto"/>
              </w:rPr>
            </w:pPr>
            <w:r>
              <w:rPr>
                <w:rFonts w:ascii="Courier New" w:cs="Courier New" w:eastAsia="Courier New" w:hAnsi="Courier New"/>
                <w:sz w:val="17"/>
                <w:szCs w:val="17"/>
                <w:color w:val="auto"/>
              </w:rPr>
              <w:t>ended June 30, 2006 and 2005 (Unaudited)</w:t>
            </w:r>
          </w:p>
        </w:tc>
        <w:tc>
          <w:tcPr>
            <w:tcW w:w="820" w:type="dxa"/>
            <w:vAlign w:val="bottom"/>
          </w:tcPr>
          <w:p>
            <w:pPr>
              <w:jc w:val="center"/>
              <w:ind w:right="234"/>
              <w:spacing w:after="0"/>
              <w:rPr>
                <w:sz w:val="20"/>
                <w:szCs w:val="20"/>
                <w:color w:val="auto"/>
              </w:rPr>
            </w:pPr>
            <w:r>
              <w:rPr>
                <w:rFonts w:ascii="Courier New" w:cs="Courier New" w:eastAsia="Courier New" w:hAnsi="Courier New"/>
                <w:sz w:val="17"/>
                <w:szCs w:val="17"/>
                <w:color w:val="auto"/>
                <w:w w:val="97"/>
              </w:rPr>
              <w:t>4</w:t>
            </w:r>
          </w:p>
        </w:tc>
      </w:tr>
    </w:tbl>
    <w:p>
      <w:pPr>
        <w:sectPr>
          <w:pgSz w:w="11900" w:h="16838" w:orient="portrait"/>
          <w:cols w:equalWidth="0" w:num="1">
            <w:col w:w="10219"/>
          </w:cols>
          <w:pgMar w:left="240" w:top="2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20" w:type="dxa"/>
            <w:vAlign w:val="bottom"/>
            <w:gridSpan w:val="3"/>
          </w:tcPr>
          <w:p>
            <w:pPr>
              <w:spacing w:after="0"/>
              <w:rPr>
                <w:sz w:val="20"/>
                <w:szCs w:val="20"/>
                <w:color w:val="auto"/>
              </w:rPr>
            </w:pPr>
            <w:r>
              <w:rPr>
                <w:rFonts w:ascii="Courier New" w:cs="Courier New" w:eastAsia="Courier New" w:hAnsi="Courier New"/>
                <w:sz w:val="17"/>
                <w:szCs w:val="17"/>
                <w:color w:val="auto"/>
              </w:rPr>
              <w:t>Notes to Unaudited Condensed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1280" w:type="dxa"/>
            <w:vAlign w:val="bottom"/>
          </w:tcPr>
          <w:p>
            <w:pPr>
              <w:spacing w:after="0"/>
              <w:rPr>
                <w:sz w:val="20"/>
                <w:szCs w:val="20"/>
                <w:color w:val="auto"/>
              </w:rPr>
            </w:pPr>
            <w:r>
              <w:rPr>
                <w:rFonts w:ascii="Courier New" w:cs="Courier New" w:eastAsia="Courier New" w:hAnsi="Courier New"/>
                <w:sz w:val="17"/>
                <w:szCs w:val="17"/>
                <w:color w:val="auto"/>
              </w:rPr>
              <w:t>Management's</w:t>
            </w:r>
          </w:p>
        </w:tc>
        <w:tc>
          <w:tcPr>
            <w:tcW w:w="5000" w:type="dxa"/>
            <w:vAlign w:val="bottom"/>
          </w:tcPr>
          <w:p>
            <w:pPr>
              <w:ind w:left="60"/>
              <w:spacing w:after="0"/>
              <w:rPr>
                <w:sz w:val="20"/>
                <w:szCs w:val="20"/>
                <w:color w:val="auto"/>
              </w:rPr>
            </w:pPr>
            <w:r>
              <w:rPr>
                <w:rFonts w:ascii="Courier New" w:cs="Courier New" w:eastAsia="Courier New" w:hAnsi="Courier New"/>
                <w:sz w:val="17"/>
                <w:szCs w:val="17"/>
                <w:color w:val="auto"/>
              </w:rPr>
              <w:t>Discussion and Analysis of Financial Condition</w:t>
            </w:r>
          </w:p>
        </w:tc>
        <w:tc>
          <w:tcPr>
            <w:tcW w:w="40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Courier New" w:cs="Courier New" w:eastAsia="Courier New" w:hAnsi="Courier New"/>
                <w:sz w:val="17"/>
                <w:szCs w:val="17"/>
                <w:color w:val="auto"/>
              </w:rPr>
              <w:t>and Results of Operations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rPr>
              <w:t>Item 3.</w:t>
            </w:r>
          </w:p>
        </w:tc>
        <w:tc>
          <w:tcPr>
            <w:tcW w:w="1280" w:type="dxa"/>
            <w:vAlign w:val="bottom"/>
          </w:tcPr>
          <w:p>
            <w:pPr>
              <w:spacing w:after="0"/>
              <w:rPr>
                <w:sz w:val="20"/>
                <w:szCs w:val="20"/>
                <w:color w:val="auto"/>
              </w:rPr>
            </w:pPr>
            <w:r>
              <w:rPr>
                <w:rFonts w:ascii="Courier New" w:cs="Courier New" w:eastAsia="Courier New" w:hAnsi="Courier New"/>
                <w:sz w:val="17"/>
                <w:szCs w:val="17"/>
                <w:color w:val="auto"/>
              </w:rPr>
              <w:t>Quantitative</w:t>
            </w:r>
          </w:p>
        </w:tc>
        <w:tc>
          <w:tcPr>
            <w:tcW w:w="5000" w:type="dxa"/>
            <w:vAlign w:val="bottom"/>
          </w:tcPr>
          <w:p>
            <w:pPr>
              <w:ind w:left="60"/>
              <w:spacing w:after="0"/>
              <w:rPr>
                <w:sz w:val="20"/>
                <w:szCs w:val="20"/>
                <w:color w:val="auto"/>
              </w:rPr>
            </w:pPr>
            <w:r>
              <w:rPr>
                <w:rFonts w:ascii="Courier New" w:cs="Courier New" w:eastAsia="Courier New" w:hAnsi="Courier New"/>
                <w:sz w:val="17"/>
                <w:szCs w:val="17"/>
                <w:color w:val="auto"/>
              </w:rPr>
              <w:t>and Qualitative Disclosures About Market Risk</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rPr>
              <w:t>Item 4.</w:t>
            </w:r>
          </w:p>
        </w:tc>
        <w:tc>
          <w:tcPr>
            <w:tcW w:w="1280" w:type="dxa"/>
            <w:vAlign w:val="bottom"/>
          </w:tcPr>
          <w:p>
            <w:pPr>
              <w:spacing w:after="0"/>
              <w:rPr>
                <w:sz w:val="20"/>
                <w:szCs w:val="20"/>
                <w:color w:val="auto"/>
              </w:rPr>
            </w:pPr>
            <w:r>
              <w:rPr>
                <w:rFonts w:ascii="Courier New" w:cs="Courier New" w:eastAsia="Courier New" w:hAnsi="Courier New"/>
                <w:sz w:val="17"/>
                <w:szCs w:val="17"/>
                <w:color w:val="auto"/>
              </w:rPr>
              <w:t>Controls and</w:t>
            </w:r>
          </w:p>
        </w:tc>
        <w:tc>
          <w:tcPr>
            <w:tcW w:w="5000" w:type="dxa"/>
            <w:vAlign w:val="bottom"/>
          </w:tcPr>
          <w:p>
            <w:pPr>
              <w:ind w:left="60"/>
              <w:spacing w:after="0"/>
              <w:rPr>
                <w:sz w:val="20"/>
                <w:szCs w:val="20"/>
                <w:color w:val="auto"/>
              </w:rPr>
            </w:pPr>
            <w:r>
              <w:rPr>
                <w:rFonts w:ascii="Courier New" w:cs="Courier New" w:eastAsia="Courier New" w:hAnsi="Courier New"/>
                <w:sz w:val="17"/>
                <w:szCs w:val="17"/>
                <w:color w:val="auto"/>
              </w:rPr>
              <w:t>Procedures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594"/>
        </w:trPr>
        <w:tc>
          <w:tcPr>
            <w:tcW w:w="104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6280" w:type="dxa"/>
            <w:vAlign w:val="bottom"/>
            <w:gridSpan w:val="2"/>
          </w:tcPr>
          <w:p>
            <w:pPr>
              <w:ind w:left="820"/>
              <w:spacing w:after="0"/>
              <w:rPr>
                <w:sz w:val="20"/>
                <w:szCs w:val="20"/>
                <w:color w:val="auto"/>
              </w:rPr>
            </w:pPr>
            <w:r>
              <w:rPr>
                <w:rFonts w:ascii="Courier New" w:cs="Courier New" w:eastAsia="Courier New" w:hAnsi="Courier New"/>
                <w:sz w:val="17"/>
                <w:szCs w:val="17"/>
                <w:color w:val="auto"/>
              </w:rPr>
              <w:t>OTHER INFORMATION</w:t>
            </w:r>
          </w:p>
        </w:tc>
        <w:tc>
          <w:tcPr>
            <w:tcW w:w="400" w:type="dxa"/>
            <w:vAlign w:val="bottom"/>
          </w:tcPr>
          <w:p>
            <w:pPr>
              <w:spacing w:after="0"/>
              <w:rPr>
                <w:sz w:val="24"/>
                <w:szCs w:val="24"/>
                <w:color w:val="auto"/>
              </w:rPr>
            </w:pP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6280" w:type="dxa"/>
            <w:vAlign w:val="bottom"/>
            <w:gridSpan w:val="2"/>
          </w:tcPr>
          <w:p>
            <w:pPr>
              <w:spacing w:after="0"/>
              <w:rPr>
                <w:sz w:val="20"/>
                <w:szCs w:val="20"/>
                <w:color w:val="auto"/>
              </w:rPr>
            </w:pPr>
            <w:r>
              <w:rPr>
                <w:rFonts w:ascii="Courier New" w:cs="Courier New" w:eastAsia="Courier New" w:hAnsi="Courier New"/>
                <w:sz w:val="17"/>
                <w:szCs w:val="17"/>
                <w:color w:val="auto"/>
              </w:rPr>
              <w:t>Legal Proceedings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rPr>
              <w:t>Item 1A.</w:t>
            </w:r>
          </w:p>
        </w:tc>
        <w:tc>
          <w:tcPr>
            <w:tcW w:w="1280" w:type="dxa"/>
            <w:vAlign w:val="bottom"/>
          </w:tcPr>
          <w:p>
            <w:pPr>
              <w:spacing w:after="0"/>
              <w:rPr>
                <w:sz w:val="20"/>
                <w:szCs w:val="20"/>
                <w:color w:val="auto"/>
              </w:rPr>
            </w:pPr>
            <w:r>
              <w:rPr>
                <w:rFonts w:ascii="Courier New" w:cs="Courier New" w:eastAsia="Courier New" w:hAnsi="Courier New"/>
                <w:sz w:val="17"/>
                <w:szCs w:val="17"/>
                <w:color w:val="auto"/>
              </w:rPr>
              <w:t>Risk Factors</w:t>
            </w:r>
          </w:p>
        </w:tc>
        <w:tc>
          <w:tcPr>
            <w:tcW w:w="50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1280" w:type="dxa"/>
            <w:vAlign w:val="bottom"/>
          </w:tcPr>
          <w:p>
            <w:pPr>
              <w:spacing w:after="0"/>
              <w:rPr>
                <w:sz w:val="20"/>
                <w:szCs w:val="20"/>
                <w:color w:val="auto"/>
              </w:rPr>
            </w:pPr>
            <w:r>
              <w:rPr>
                <w:rFonts w:ascii="Courier New" w:cs="Courier New" w:eastAsia="Courier New" w:hAnsi="Courier New"/>
                <w:sz w:val="17"/>
                <w:szCs w:val="17"/>
                <w:color w:val="auto"/>
              </w:rPr>
              <w:t>Unregistered</w:t>
            </w:r>
          </w:p>
        </w:tc>
        <w:tc>
          <w:tcPr>
            <w:tcW w:w="5000" w:type="dxa"/>
            <w:vAlign w:val="bottom"/>
          </w:tcPr>
          <w:p>
            <w:pPr>
              <w:ind w:left="60"/>
              <w:spacing w:after="0"/>
              <w:rPr>
                <w:sz w:val="20"/>
                <w:szCs w:val="20"/>
                <w:color w:val="auto"/>
              </w:rPr>
            </w:pPr>
            <w:r>
              <w:rPr>
                <w:rFonts w:ascii="Courier New" w:cs="Courier New" w:eastAsia="Courier New" w:hAnsi="Courier New"/>
                <w:sz w:val="17"/>
                <w:szCs w:val="17"/>
                <w:color w:val="auto"/>
              </w:rPr>
              <w:t>Sales of Equity Securities and Use of Proceeds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rPr>
              <w:t>Item 4.</w:t>
            </w:r>
          </w:p>
        </w:tc>
        <w:tc>
          <w:tcPr>
            <w:tcW w:w="6280" w:type="dxa"/>
            <w:vAlign w:val="bottom"/>
            <w:gridSpan w:val="2"/>
          </w:tcPr>
          <w:p>
            <w:pPr>
              <w:spacing w:after="0"/>
              <w:rPr>
                <w:sz w:val="20"/>
                <w:szCs w:val="20"/>
                <w:color w:val="auto"/>
              </w:rPr>
            </w:pPr>
            <w:r>
              <w:rPr>
                <w:rFonts w:ascii="Courier New" w:cs="Courier New" w:eastAsia="Courier New" w:hAnsi="Courier New"/>
                <w:sz w:val="17"/>
                <w:szCs w:val="17"/>
                <w:color w:val="auto"/>
              </w:rPr>
              <w:t>Submission of Matters to a Vote of Security Holders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1280" w:type="dxa"/>
            <w:vAlign w:val="bottom"/>
          </w:tcPr>
          <w:p>
            <w:pPr>
              <w:spacing w:after="0"/>
              <w:rPr>
                <w:sz w:val="20"/>
                <w:szCs w:val="20"/>
                <w:color w:val="auto"/>
              </w:rPr>
            </w:pPr>
            <w:r>
              <w:rPr>
                <w:rFonts w:ascii="Courier New" w:cs="Courier New" w:eastAsia="Courier New" w:hAnsi="Courier New"/>
                <w:sz w:val="17"/>
                <w:szCs w:val="17"/>
                <w:color w:val="auto"/>
              </w:rPr>
              <w:t>Exhibits</w:t>
            </w:r>
          </w:p>
        </w:tc>
        <w:tc>
          <w:tcPr>
            <w:tcW w:w="50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594"/>
        </w:trPr>
        <w:tc>
          <w:tcPr>
            <w:tcW w:w="1040" w:type="dxa"/>
            <w:vAlign w:val="bottom"/>
          </w:tcPr>
          <w:p>
            <w:pPr>
              <w:spacing w:after="0"/>
              <w:rPr>
                <w:sz w:val="20"/>
                <w:szCs w:val="20"/>
                <w:color w:val="auto"/>
              </w:rPr>
            </w:pPr>
            <w:r>
              <w:rPr>
                <w:rFonts w:ascii="Courier New" w:cs="Courier New" w:eastAsia="Courier New" w:hAnsi="Courier New"/>
                <w:sz w:val="17"/>
                <w:szCs w:val="17"/>
                <w:color w:val="auto"/>
                <w:w w:val="99"/>
              </w:rPr>
              <w:t>SIGNATURES</w:t>
            </w:r>
          </w:p>
        </w:tc>
        <w:tc>
          <w:tcPr>
            <w:tcW w:w="12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rPr>
              <w:t>EXHIBITS</w:t>
            </w:r>
          </w:p>
        </w:tc>
        <w:tc>
          <w:tcPr>
            <w:tcW w:w="12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r>
      <w:tr>
        <w:trPr>
          <w:trHeight w:val="594"/>
        </w:trPr>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0" w:type="dxa"/>
            <w:vAlign w:val="bottom"/>
          </w:tcPr>
          <w:p>
            <w:pPr>
              <w:ind w:left="1700"/>
              <w:spacing w:after="0"/>
              <w:rPr>
                <w:sz w:val="20"/>
                <w:szCs w:val="20"/>
                <w:color w:val="auto"/>
              </w:rPr>
            </w:pPr>
            <w:r>
              <w:rPr>
                <w:rFonts w:ascii="Courier New" w:cs="Courier New" w:eastAsia="Courier New" w:hAnsi="Courier New"/>
                <w:sz w:val="17"/>
                <w:szCs w:val="17"/>
                <w:color w:val="auto"/>
              </w:rPr>
              <w:t>1</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920" w:val="left"/>
        </w:tabs>
        <w:rPr>
          <w:sz w:val="20"/>
          <w:szCs w:val="20"/>
          <w:color w:val="auto"/>
        </w:rPr>
      </w:pPr>
      <w:r>
        <w:rPr>
          <w:rFonts w:ascii="Courier New" w:cs="Courier New" w:eastAsia="Courier New" w:hAnsi="Courier New"/>
          <w:sz w:val="17"/>
          <w:szCs w:val="17"/>
          <w:color w:val="auto"/>
        </w:rPr>
        <w:t>PART I.</w:t>
        <w:tab/>
        <w:t>FINANCIAL INFORMATION</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1.</w:t>
        <w:tab/>
        <w:t>Financial Statements</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INTEGRA LIFESCIENCES HOLDINGS CORPORATION</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CONDENSED CONSOLIDATED STATEMENTS OF OPERATIONS</w:t>
      </w:r>
    </w:p>
    <w:p>
      <w:pPr>
        <w:spacing w:after="0" w:line="5" w:lineRule="exact"/>
        <w:rPr>
          <w:sz w:val="20"/>
          <w:szCs w:val="20"/>
          <w:color w:val="auto"/>
        </w:rPr>
      </w:pPr>
    </w:p>
    <w:p>
      <w:pPr>
        <w:ind w:left="4940"/>
        <w:spacing w:after="0"/>
        <w:rPr>
          <w:sz w:val="20"/>
          <w:szCs w:val="20"/>
          <w:color w:val="auto"/>
        </w:rPr>
      </w:pPr>
      <w:r>
        <w:rPr>
          <w:rFonts w:ascii="Courier New" w:cs="Courier New" w:eastAsia="Courier New" w:hAnsi="Courier New"/>
          <w:sz w:val="17"/>
          <w:szCs w:val="17"/>
          <w:color w:val="auto"/>
        </w:rPr>
        <w:t>(UNAUDITED)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Three Months Ended</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4"/>
          </w:tcPr>
          <w:p>
            <w:pPr>
              <w:jc w:val="center"/>
              <w:ind w:left="214"/>
              <w:spacing w:after="0"/>
              <w:rPr>
                <w:sz w:val="20"/>
                <w:szCs w:val="20"/>
                <w:color w:val="auto"/>
              </w:rPr>
            </w:pPr>
            <w:r>
              <w:rPr>
                <w:rFonts w:ascii="Courier New" w:cs="Courier New" w:eastAsia="Courier New" w:hAnsi="Courier New"/>
                <w:sz w:val="17"/>
                <w:szCs w:val="17"/>
                <w:color w:val="auto"/>
              </w:rPr>
              <w:t>Six Months Ended</w:t>
            </w: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June 30,</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60" w:type="dxa"/>
            <w:vAlign w:val="bottom"/>
            <w:gridSpan w:val="3"/>
          </w:tcPr>
          <w:p>
            <w:pPr>
              <w:jc w:val="right"/>
              <w:ind w:right="620"/>
              <w:spacing w:after="0"/>
              <w:rPr>
                <w:sz w:val="20"/>
                <w:szCs w:val="20"/>
                <w:color w:val="auto"/>
              </w:rPr>
            </w:pPr>
            <w:r>
              <w:rPr>
                <w:rFonts w:ascii="Courier New" w:cs="Courier New" w:eastAsia="Courier New" w:hAnsi="Courier New"/>
                <w:sz w:val="17"/>
                <w:szCs w:val="17"/>
                <w:color w:val="auto"/>
              </w:rPr>
              <w:t>June 30,</w:t>
            </w: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80" w:type="dxa"/>
            <w:vAlign w:val="bottom"/>
            <w:gridSpan w:val="5"/>
          </w:tcPr>
          <w:p>
            <w:pPr>
              <w:jc w:val="right"/>
              <w:ind w:right="2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2006</w:t>
            </w:r>
          </w:p>
        </w:tc>
        <w:tc>
          <w:tcPr>
            <w:tcW w:w="26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2005</w:t>
            </w:r>
          </w:p>
        </w:tc>
        <w:tc>
          <w:tcPr>
            <w:tcW w:w="42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2006</w:t>
            </w:r>
          </w:p>
        </w:tc>
        <w:tc>
          <w:tcPr>
            <w:tcW w:w="7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620" w:type="dxa"/>
            <w:vAlign w:val="bottom"/>
          </w:tcPr>
          <w:p>
            <w:pPr>
              <w:spacing w:after="0"/>
              <w:rPr>
                <w:sz w:val="8"/>
                <w:szCs w:val="8"/>
                <w:color w:val="auto"/>
              </w:rPr>
            </w:pPr>
          </w:p>
        </w:tc>
        <w:tc>
          <w:tcPr>
            <w:tcW w:w="14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REVENUE ........................</w:t>
            </w:r>
          </w:p>
        </w:tc>
        <w:tc>
          <w:tcPr>
            <w:tcW w:w="1700" w:type="dxa"/>
            <w:vAlign w:val="bottom"/>
            <w:gridSpan w:val="3"/>
          </w:tcPr>
          <w:p>
            <w:pPr>
              <w:jc w:val="right"/>
              <w:ind w:right="694"/>
              <w:spacing w:after="0"/>
              <w:rPr>
                <w:sz w:val="20"/>
                <w:szCs w:val="20"/>
                <w:color w:val="auto"/>
              </w:rPr>
            </w:pPr>
            <w:r>
              <w:rPr>
                <w:rFonts w:ascii="Courier New" w:cs="Courier New" w:eastAsia="Courier New" w:hAnsi="Courier New"/>
                <w:sz w:val="17"/>
                <w:szCs w:val="17"/>
                <w:color w:val="auto"/>
              </w:rPr>
              <w:t>$100,121</w:t>
            </w:r>
          </w:p>
        </w:tc>
        <w:tc>
          <w:tcPr>
            <w:tcW w:w="128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$69,778</w:t>
            </w:r>
          </w:p>
        </w:tc>
        <w:tc>
          <w:tcPr>
            <w:tcW w:w="1340" w:type="dxa"/>
            <w:vAlign w:val="bottom"/>
            <w:gridSpan w:val="3"/>
          </w:tcPr>
          <w:p>
            <w:pPr>
              <w:jc w:val="right"/>
              <w:ind w:right="114"/>
              <w:spacing w:after="0"/>
              <w:rPr>
                <w:sz w:val="20"/>
                <w:szCs w:val="20"/>
                <w:color w:val="auto"/>
              </w:rPr>
            </w:pPr>
            <w:r>
              <w:rPr>
                <w:rFonts w:ascii="Courier New" w:cs="Courier New" w:eastAsia="Courier New" w:hAnsi="Courier New"/>
                <w:sz w:val="17"/>
                <w:szCs w:val="17"/>
                <w:color w:val="auto"/>
              </w:rPr>
              <w:t>$177,256</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$135,617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20" w:type="dxa"/>
            <w:vAlign w:val="bottom"/>
          </w:tcPr>
          <w:p>
            <w:pPr>
              <w:spacing w:after="0"/>
              <w:rPr>
                <w:sz w:val="20"/>
                <w:szCs w:val="20"/>
                <w:color w:val="auto"/>
              </w:rPr>
            </w:pPr>
            <w:r>
              <w:rPr>
                <w:rFonts w:ascii="Courier New" w:cs="Courier New" w:eastAsia="Courier New" w:hAnsi="Courier New"/>
                <w:sz w:val="17"/>
                <w:szCs w:val="17"/>
                <w:color w:val="auto"/>
                <w:strike w:val="1"/>
              </w:rPr>
              <w:t>COSTS AND EXPENSES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Cost of product revenues .............</w:t>
            </w:r>
          </w:p>
        </w:tc>
        <w:tc>
          <w:tcPr>
            <w:tcW w:w="200" w:type="dxa"/>
            <w:vAlign w:val="bottom"/>
          </w:tcPr>
          <w:p>
            <w:pPr>
              <w:spacing w:after="0"/>
              <w:rPr>
                <w:sz w:val="17"/>
                <w:szCs w:val="17"/>
                <w:color w:val="auto"/>
              </w:rPr>
            </w:pPr>
          </w:p>
        </w:tc>
        <w:tc>
          <w:tcPr>
            <w:tcW w:w="150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41,373</w:t>
            </w:r>
          </w:p>
        </w:tc>
        <w:tc>
          <w:tcPr>
            <w:tcW w:w="26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27,518</w:t>
            </w:r>
          </w:p>
        </w:tc>
        <w:tc>
          <w:tcPr>
            <w:tcW w:w="420" w:type="dxa"/>
            <w:vAlign w:val="bottom"/>
          </w:tcPr>
          <w:p>
            <w:pPr>
              <w:spacing w:after="0"/>
              <w:rPr>
                <w:sz w:val="17"/>
                <w:szCs w:val="17"/>
                <w:color w:val="auto"/>
              </w:rPr>
            </w:pPr>
          </w:p>
        </w:tc>
        <w:tc>
          <w:tcPr>
            <w:tcW w:w="9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69,310</w:t>
            </w: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52,029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Research and development .............</w:t>
            </w:r>
          </w:p>
        </w:tc>
        <w:tc>
          <w:tcPr>
            <w:tcW w:w="200" w:type="dxa"/>
            <w:vAlign w:val="bottom"/>
          </w:tcPr>
          <w:p>
            <w:pPr>
              <w:spacing w:after="0"/>
              <w:rPr>
                <w:sz w:val="17"/>
                <w:szCs w:val="17"/>
                <w:color w:val="auto"/>
              </w:rPr>
            </w:pPr>
          </w:p>
        </w:tc>
        <w:tc>
          <w:tcPr>
            <w:tcW w:w="150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6,354</w:t>
            </w:r>
          </w:p>
        </w:tc>
        <w:tc>
          <w:tcPr>
            <w:tcW w:w="26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2,787</w:t>
            </w:r>
          </w:p>
        </w:tc>
        <w:tc>
          <w:tcPr>
            <w:tcW w:w="420" w:type="dxa"/>
            <w:vAlign w:val="bottom"/>
          </w:tcPr>
          <w:p>
            <w:pPr>
              <w:spacing w:after="0"/>
              <w:rPr>
                <w:sz w:val="17"/>
                <w:szCs w:val="17"/>
                <w:color w:val="auto"/>
              </w:rPr>
            </w:pPr>
          </w:p>
        </w:tc>
        <w:tc>
          <w:tcPr>
            <w:tcW w:w="9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9,527</w:t>
            </w: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6,146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Selling, general and administrative ..</w:t>
            </w:r>
          </w:p>
        </w:tc>
        <w:tc>
          <w:tcPr>
            <w:tcW w:w="200" w:type="dxa"/>
            <w:vAlign w:val="bottom"/>
          </w:tcPr>
          <w:p>
            <w:pPr>
              <w:spacing w:after="0"/>
              <w:rPr>
                <w:sz w:val="17"/>
                <w:szCs w:val="17"/>
                <w:color w:val="auto"/>
              </w:rPr>
            </w:pPr>
          </w:p>
        </w:tc>
        <w:tc>
          <w:tcPr>
            <w:tcW w:w="150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37,219</w:t>
            </w:r>
          </w:p>
        </w:tc>
        <w:tc>
          <w:tcPr>
            <w:tcW w:w="26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26,041</w:t>
            </w:r>
          </w:p>
        </w:tc>
        <w:tc>
          <w:tcPr>
            <w:tcW w:w="420" w:type="dxa"/>
            <w:vAlign w:val="bottom"/>
          </w:tcPr>
          <w:p>
            <w:pPr>
              <w:spacing w:after="0"/>
              <w:rPr>
                <w:sz w:val="17"/>
                <w:szCs w:val="17"/>
                <w:color w:val="auto"/>
              </w:rPr>
            </w:pPr>
          </w:p>
        </w:tc>
        <w:tc>
          <w:tcPr>
            <w:tcW w:w="9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68,339</w:t>
            </w: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49,957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Intangible asset amortization ........</w:t>
            </w:r>
          </w:p>
        </w:tc>
        <w:tc>
          <w:tcPr>
            <w:tcW w:w="200" w:type="dxa"/>
            <w:vAlign w:val="bottom"/>
          </w:tcPr>
          <w:p>
            <w:pPr>
              <w:spacing w:after="0"/>
              <w:rPr>
                <w:sz w:val="17"/>
                <w:szCs w:val="17"/>
                <w:color w:val="auto"/>
              </w:rPr>
            </w:pPr>
          </w:p>
        </w:tc>
        <w:tc>
          <w:tcPr>
            <w:tcW w:w="150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2,017</w:t>
            </w:r>
          </w:p>
        </w:tc>
        <w:tc>
          <w:tcPr>
            <w:tcW w:w="26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1,289</w:t>
            </w:r>
          </w:p>
        </w:tc>
        <w:tc>
          <w:tcPr>
            <w:tcW w:w="420" w:type="dxa"/>
            <w:vAlign w:val="bottom"/>
          </w:tcPr>
          <w:p>
            <w:pPr>
              <w:spacing w:after="0"/>
              <w:rPr>
                <w:sz w:val="17"/>
                <w:szCs w:val="17"/>
                <w:color w:val="auto"/>
              </w:rPr>
            </w:pPr>
          </w:p>
        </w:tc>
        <w:tc>
          <w:tcPr>
            <w:tcW w:w="9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3,298</w:t>
            </w: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2,385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020" w:type="dxa"/>
            <w:vAlign w:val="bottom"/>
          </w:tcPr>
          <w:p>
            <w:pPr>
              <w:spacing w:after="0"/>
              <w:rPr>
                <w:sz w:val="9"/>
                <w:szCs w:val="9"/>
                <w:color w:val="auto"/>
              </w:rPr>
            </w:pPr>
          </w:p>
        </w:tc>
        <w:tc>
          <w:tcPr>
            <w:tcW w:w="42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7"/>
              </w:rPr>
              <w:t>--------</w:t>
            </w:r>
          </w:p>
        </w:tc>
        <w:tc>
          <w:tcPr>
            <w:tcW w:w="1280" w:type="dxa"/>
            <w:vAlign w:val="bottom"/>
          </w:tcPr>
          <w:p>
            <w:pPr>
              <w:spacing w:after="0"/>
              <w:rPr>
                <w:sz w:val="9"/>
                <w:szCs w:val="9"/>
                <w:color w:val="auto"/>
              </w:rPr>
            </w:pPr>
          </w:p>
        </w:tc>
        <w:tc>
          <w:tcPr>
            <w:tcW w:w="1280" w:type="dxa"/>
            <w:vAlign w:val="bottom"/>
            <w:gridSpan w:val="2"/>
            <w:vMerge w:val="restart"/>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3"/>
            <w:vMerge w:val="restart"/>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costs and expenses ..........</w:t>
            </w:r>
          </w:p>
        </w:tc>
        <w:tc>
          <w:tcPr>
            <w:tcW w:w="200" w:type="dxa"/>
            <w:vAlign w:val="bottom"/>
          </w:tcPr>
          <w:p>
            <w:pPr>
              <w:spacing w:after="0"/>
              <w:rPr>
                <w:sz w:val="17"/>
                <w:szCs w:val="17"/>
                <w:color w:val="auto"/>
              </w:rPr>
            </w:pPr>
          </w:p>
        </w:tc>
        <w:tc>
          <w:tcPr>
            <w:tcW w:w="150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86,963</w:t>
            </w:r>
          </w:p>
        </w:tc>
        <w:tc>
          <w:tcPr>
            <w:tcW w:w="26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57,635</w:t>
            </w:r>
          </w:p>
        </w:tc>
        <w:tc>
          <w:tcPr>
            <w:tcW w:w="420" w:type="dxa"/>
            <w:vAlign w:val="bottom"/>
          </w:tcPr>
          <w:p>
            <w:pPr>
              <w:spacing w:after="0"/>
              <w:rPr>
                <w:sz w:val="17"/>
                <w:szCs w:val="17"/>
                <w:color w:val="auto"/>
              </w:rPr>
            </w:pPr>
          </w:p>
        </w:tc>
        <w:tc>
          <w:tcPr>
            <w:tcW w:w="9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w w:val="97"/>
              </w:rPr>
              <w:t>150,474</w:t>
            </w: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110,517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Operating income .....................</w:t>
            </w:r>
          </w:p>
        </w:tc>
        <w:tc>
          <w:tcPr>
            <w:tcW w:w="200" w:type="dxa"/>
            <w:vAlign w:val="bottom"/>
          </w:tcPr>
          <w:p>
            <w:pPr>
              <w:spacing w:after="0"/>
              <w:rPr>
                <w:sz w:val="24"/>
                <w:szCs w:val="24"/>
                <w:color w:val="auto"/>
              </w:rPr>
            </w:pPr>
          </w:p>
        </w:tc>
        <w:tc>
          <w:tcPr>
            <w:tcW w:w="150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13,158</w:t>
            </w:r>
          </w:p>
        </w:tc>
        <w:tc>
          <w:tcPr>
            <w:tcW w:w="260" w:type="dxa"/>
            <w:vAlign w:val="bottom"/>
          </w:tcPr>
          <w:p>
            <w:pPr>
              <w:spacing w:after="0"/>
              <w:rPr>
                <w:sz w:val="24"/>
                <w:szCs w:val="24"/>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12,143</w:t>
            </w:r>
          </w:p>
        </w:tc>
        <w:tc>
          <w:tcPr>
            <w:tcW w:w="420" w:type="dxa"/>
            <w:vAlign w:val="bottom"/>
          </w:tcPr>
          <w:p>
            <w:pPr>
              <w:spacing w:after="0"/>
              <w:rPr>
                <w:sz w:val="24"/>
                <w:szCs w:val="24"/>
                <w:color w:val="auto"/>
              </w:rPr>
            </w:pPr>
          </w:p>
        </w:tc>
        <w:tc>
          <w:tcPr>
            <w:tcW w:w="9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26,782</w:t>
            </w:r>
          </w:p>
        </w:tc>
        <w:tc>
          <w:tcPr>
            <w:tcW w:w="7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25,100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Interest income ......................</w:t>
            </w:r>
          </w:p>
        </w:tc>
        <w:tc>
          <w:tcPr>
            <w:tcW w:w="200" w:type="dxa"/>
            <w:vAlign w:val="bottom"/>
          </w:tcPr>
          <w:p>
            <w:pPr>
              <w:spacing w:after="0"/>
              <w:rPr>
                <w:sz w:val="24"/>
                <w:szCs w:val="24"/>
                <w:color w:val="auto"/>
              </w:rPr>
            </w:pPr>
          </w:p>
        </w:tc>
        <w:tc>
          <w:tcPr>
            <w:tcW w:w="150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594</w:t>
            </w:r>
          </w:p>
        </w:tc>
        <w:tc>
          <w:tcPr>
            <w:tcW w:w="260" w:type="dxa"/>
            <w:vAlign w:val="bottom"/>
          </w:tcPr>
          <w:p>
            <w:pPr>
              <w:spacing w:after="0"/>
              <w:rPr>
                <w:sz w:val="24"/>
                <w:szCs w:val="24"/>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907</w:t>
            </w:r>
          </w:p>
        </w:tc>
        <w:tc>
          <w:tcPr>
            <w:tcW w:w="420" w:type="dxa"/>
            <w:vAlign w:val="bottom"/>
          </w:tcPr>
          <w:p>
            <w:pPr>
              <w:spacing w:after="0"/>
              <w:rPr>
                <w:sz w:val="24"/>
                <w:szCs w:val="24"/>
                <w:color w:val="auto"/>
              </w:rPr>
            </w:pPr>
          </w:p>
        </w:tc>
        <w:tc>
          <w:tcPr>
            <w:tcW w:w="9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1,618</w:t>
            </w:r>
          </w:p>
        </w:tc>
        <w:tc>
          <w:tcPr>
            <w:tcW w:w="7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1,861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Interest expense .....................</w:t>
            </w:r>
          </w:p>
        </w:tc>
        <w:tc>
          <w:tcPr>
            <w:tcW w:w="200" w:type="dxa"/>
            <w:vAlign w:val="bottom"/>
          </w:tcPr>
          <w:p>
            <w:pPr>
              <w:spacing w:after="0"/>
              <w:rPr>
                <w:sz w:val="17"/>
                <w:szCs w:val="17"/>
                <w:color w:val="auto"/>
              </w:rPr>
            </w:pPr>
          </w:p>
        </w:tc>
        <w:tc>
          <w:tcPr>
            <w:tcW w:w="1500" w:type="dxa"/>
            <w:vAlign w:val="bottom"/>
            <w:gridSpan w:val="2"/>
          </w:tcPr>
          <w:p>
            <w:pPr>
              <w:jc w:val="right"/>
              <w:ind w:right="574"/>
              <w:spacing w:after="0"/>
              <w:rPr>
                <w:sz w:val="20"/>
                <w:szCs w:val="20"/>
                <w:color w:val="auto"/>
              </w:rPr>
            </w:pPr>
            <w:r>
              <w:rPr>
                <w:rFonts w:ascii="Courier New" w:cs="Courier New" w:eastAsia="Courier New" w:hAnsi="Courier New"/>
                <w:sz w:val="17"/>
                <w:szCs w:val="17"/>
                <w:color w:val="auto"/>
              </w:rPr>
              <w:t>(2,073)</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(822)</w:t>
            </w:r>
          </w:p>
        </w:tc>
        <w:tc>
          <w:tcPr>
            <w:tcW w:w="420" w:type="dxa"/>
            <w:vAlign w:val="bottom"/>
          </w:tcPr>
          <w:p>
            <w:pPr>
              <w:spacing w:after="0"/>
              <w:rPr>
                <w:sz w:val="17"/>
                <w:szCs w:val="17"/>
                <w:color w:val="auto"/>
              </w:rPr>
            </w:pPr>
          </w:p>
        </w:tc>
        <w:tc>
          <w:tcPr>
            <w:tcW w:w="9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(3,755)</w:t>
            </w:r>
          </w:p>
        </w:tc>
        <w:tc>
          <w:tcPr>
            <w:tcW w:w="72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7"/>
                <w:szCs w:val="17"/>
                <w:color w:val="auto"/>
              </w:rPr>
              <w:t>(1,749)</w:t>
            </w:r>
          </w:p>
        </w:tc>
        <w:tc>
          <w:tcPr>
            <w:tcW w:w="0" w:type="dxa"/>
            <w:vAlign w:val="bottom"/>
          </w:tcPr>
          <w:p>
            <w:pPr>
              <w:spacing w:after="0"/>
              <w:rPr>
                <w:sz w:val="1"/>
                <w:szCs w:val="1"/>
                <w:color w:val="auto"/>
              </w:rPr>
            </w:pPr>
          </w:p>
        </w:tc>
      </w:tr>
      <w:tr>
        <w:trPr>
          <w:trHeight w:val="198"/>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income (expense), net ..........</w:t>
            </w:r>
          </w:p>
        </w:tc>
        <w:tc>
          <w:tcPr>
            <w:tcW w:w="200" w:type="dxa"/>
            <w:vAlign w:val="bottom"/>
          </w:tcPr>
          <w:p>
            <w:pPr>
              <w:spacing w:after="0"/>
              <w:rPr>
                <w:sz w:val="17"/>
                <w:szCs w:val="17"/>
                <w:color w:val="auto"/>
              </w:rPr>
            </w:pPr>
          </w:p>
        </w:tc>
        <w:tc>
          <w:tcPr>
            <w:tcW w:w="1500" w:type="dxa"/>
            <w:vAlign w:val="bottom"/>
            <w:gridSpan w:val="2"/>
          </w:tcPr>
          <w:p>
            <w:pPr>
              <w:jc w:val="right"/>
              <w:ind w:right="574"/>
              <w:spacing w:after="0"/>
              <w:rPr>
                <w:sz w:val="20"/>
                <w:szCs w:val="20"/>
                <w:color w:val="auto"/>
              </w:rPr>
            </w:pPr>
            <w:r>
              <w:rPr>
                <w:rFonts w:ascii="Courier New" w:cs="Courier New" w:eastAsia="Courier New" w:hAnsi="Courier New"/>
                <w:sz w:val="17"/>
                <w:szCs w:val="17"/>
                <w:color w:val="auto"/>
              </w:rPr>
              <w:t>(99)</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(541)</w:t>
            </w:r>
          </w:p>
        </w:tc>
        <w:tc>
          <w:tcPr>
            <w:tcW w:w="420" w:type="dxa"/>
            <w:vAlign w:val="bottom"/>
          </w:tcPr>
          <w:p>
            <w:pPr>
              <w:spacing w:after="0"/>
              <w:rPr>
                <w:sz w:val="17"/>
                <w:szCs w:val="17"/>
                <w:color w:val="auto"/>
              </w:rPr>
            </w:pPr>
          </w:p>
        </w:tc>
        <w:tc>
          <w:tcPr>
            <w:tcW w:w="9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(67)</w:t>
            </w:r>
          </w:p>
        </w:tc>
        <w:tc>
          <w:tcPr>
            <w:tcW w:w="72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7"/>
                <w:szCs w:val="17"/>
                <w:color w:val="auto"/>
              </w:rPr>
              <w:t>(634)</w:t>
            </w:r>
          </w:p>
        </w:tc>
        <w:tc>
          <w:tcPr>
            <w:tcW w:w="0" w:type="dxa"/>
            <w:vAlign w:val="bottom"/>
          </w:tcPr>
          <w:p>
            <w:pPr>
              <w:spacing w:after="0"/>
              <w:rPr>
                <w:sz w:val="1"/>
                <w:szCs w:val="1"/>
                <w:color w:val="auto"/>
              </w:rPr>
            </w:pPr>
          </w:p>
        </w:tc>
      </w:tr>
      <w:tr>
        <w:trPr>
          <w:trHeight w:val="108"/>
        </w:trPr>
        <w:tc>
          <w:tcPr>
            <w:tcW w:w="4020" w:type="dxa"/>
            <w:vAlign w:val="bottom"/>
          </w:tcPr>
          <w:p>
            <w:pPr>
              <w:spacing w:after="0"/>
              <w:rPr>
                <w:sz w:val="9"/>
                <w:szCs w:val="9"/>
                <w:color w:val="auto"/>
              </w:rPr>
            </w:pPr>
          </w:p>
        </w:tc>
        <w:tc>
          <w:tcPr>
            <w:tcW w:w="42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7"/>
              </w:rPr>
              <w:t>--------</w:t>
            </w:r>
          </w:p>
        </w:tc>
        <w:tc>
          <w:tcPr>
            <w:tcW w:w="1280" w:type="dxa"/>
            <w:vAlign w:val="bottom"/>
          </w:tcPr>
          <w:p>
            <w:pPr>
              <w:spacing w:after="0"/>
              <w:rPr>
                <w:sz w:val="9"/>
                <w:szCs w:val="9"/>
                <w:color w:val="auto"/>
              </w:rPr>
            </w:pPr>
          </w:p>
        </w:tc>
        <w:tc>
          <w:tcPr>
            <w:tcW w:w="1280" w:type="dxa"/>
            <w:vAlign w:val="bottom"/>
            <w:gridSpan w:val="2"/>
            <w:vMerge w:val="restart"/>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3"/>
            <w:vMerge w:val="restart"/>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before income taxes ...........</w:t>
            </w:r>
          </w:p>
        </w:tc>
        <w:tc>
          <w:tcPr>
            <w:tcW w:w="200" w:type="dxa"/>
            <w:vAlign w:val="bottom"/>
          </w:tcPr>
          <w:p>
            <w:pPr>
              <w:spacing w:after="0"/>
              <w:rPr>
                <w:sz w:val="17"/>
                <w:szCs w:val="17"/>
                <w:color w:val="auto"/>
              </w:rPr>
            </w:pPr>
          </w:p>
        </w:tc>
        <w:tc>
          <w:tcPr>
            <w:tcW w:w="150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11,580</w:t>
            </w:r>
          </w:p>
        </w:tc>
        <w:tc>
          <w:tcPr>
            <w:tcW w:w="26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11,687</w:t>
            </w:r>
          </w:p>
        </w:tc>
        <w:tc>
          <w:tcPr>
            <w:tcW w:w="420" w:type="dxa"/>
            <w:vAlign w:val="bottom"/>
          </w:tcPr>
          <w:p>
            <w:pPr>
              <w:spacing w:after="0"/>
              <w:rPr>
                <w:sz w:val="17"/>
                <w:szCs w:val="17"/>
                <w:color w:val="auto"/>
              </w:rPr>
            </w:pPr>
          </w:p>
        </w:tc>
        <w:tc>
          <w:tcPr>
            <w:tcW w:w="9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24,578</w:t>
            </w: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24,578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tax expense ...................</w:t>
            </w:r>
          </w:p>
        </w:tc>
        <w:tc>
          <w:tcPr>
            <w:tcW w:w="200" w:type="dxa"/>
            <w:vAlign w:val="bottom"/>
          </w:tcPr>
          <w:p>
            <w:pPr>
              <w:spacing w:after="0"/>
              <w:rPr>
                <w:sz w:val="24"/>
                <w:szCs w:val="24"/>
                <w:color w:val="auto"/>
              </w:rPr>
            </w:pPr>
          </w:p>
        </w:tc>
        <w:tc>
          <w:tcPr>
            <w:tcW w:w="150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3,603</w:t>
            </w:r>
          </w:p>
        </w:tc>
        <w:tc>
          <w:tcPr>
            <w:tcW w:w="260" w:type="dxa"/>
            <w:vAlign w:val="bottom"/>
          </w:tcPr>
          <w:p>
            <w:pPr>
              <w:spacing w:after="0"/>
              <w:rPr>
                <w:sz w:val="24"/>
                <w:szCs w:val="24"/>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4,032</w:t>
            </w:r>
          </w:p>
        </w:tc>
        <w:tc>
          <w:tcPr>
            <w:tcW w:w="420" w:type="dxa"/>
            <w:vAlign w:val="bottom"/>
          </w:tcPr>
          <w:p>
            <w:pPr>
              <w:spacing w:after="0"/>
              <w:rPr>
                <w:sz w:val="24"/>
                <w:szCs w:val="24"/>
                <w:color w:val="auto"/>
              </w:rPr>
            </w:pPr>
          </w:p>
        </w:tc>
        <w:tc>
          <w:tcPr>
            <w:tcW w:w="9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7,896</w:t>
            </w:r>
          </w:p>
        </w:tc>
        <w:tc>
          <w:tcPr>
            <w:tcW w:w="7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8,480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20" w:type="dxa"/>
            <w:vAlign w:val="bottom"/>
          </w:tcPr>
          <w:p>
            <w:pPr>
              <w:spacing w:after="0"/>
              <w:rPr>
                <w:sz w:val="9"/>
                <w:szCs w:val="9"/>
                <w:color w:val="auto"/>
              </w:rPr>
            </w:pPr>
          </w:p>
        </w:tc>
        <w:tc>
          <w:tcPr>
            <w:tcW w:w="42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7"/>
              </w:rPr>
              <w:t>--------</w:t>
            </w:r>
          </w:p>
        </w:tc>
        <w:tc>
          <w:tcPr>
            <w:tcW w:w="1280" w:type="dxa"/>
            <w:vAlign w:val="bottom"/>
          </w:tcPr>
          <w:p>
            <w:pPr>
              <w:spacing w:after="0"/>
              <w:rPr>
                <w:sz w:val="9"/>
                <w:szCs w:val="9"/>
                <w:color w:val="auto"/>
              </w:rPr>
            </w:pPr>
          </w:p>
        </w:tc>
        <w:tc>
          <w:tcPr>
            <w:tcW w:w="1280" w:type="dxa"/>
            <w:vAlign w:val="bottom"/>
            <w:gridSpan w:val="2"/>
            <w:vMerge w:val="restart"/>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3"/>
            <w:vMerge w:val="restart"/>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Net income ...........................</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50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7,977</w:t>
            </w:r>
          </w:p>
        </w:tc>
        <w:tc>
          <w:tcPr>
            <w:tcW w:w="128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$ 7,655</w:t>
            </w:r>
          </w:p>
        </w:tc>
        <w:tc>
          <w:tcPr>
            <w:tcW w:w="1340" w:type="dxa"/>
            <w:vAlign w:val="bottom"/>
            <w:gridSpan w:val="3"/>
          </w:tcPr>
          <w:p>
            <w:pPr>
              <w:jc w:val="right"/>
              <w:ind w:right="114"/>
              <w:spacing w:after="0"/>
              <w:rPr>
                <w:sz w:val="20"/>
                <w:szCs w:val="20"/>
                <w:color w:val="auto"/>
              </w:rPr>
            </w:pPr>
            <w:r>
              <w:rPr>
                <w:rFonts w:ascii="Courier New" w:cs="Courier New" w:eastAsia="Courier New" w:hAnsi="Courier New"/>
                <w:sz w:val="17"/>
                <w:szCs w:val="17"/>
                <w:color w:val="auto"/>
              </w:rPr>
              <w:t>$ 16,682</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$ 16,098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1700" w:type="dxa"/>
            <w:vAlign w:val="bottom"/>
            <w:gridSpan w:val="3"/>
          </w:tcPr>
          <w:p>
            <w:pPr>
              <w:jc w:val="right"/>
              <w:ind w:right="6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3"/>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Basic net income per share ...........</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50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0.27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0.25</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0.56</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0.53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Diluted net income per share .........</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50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0.26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0.23</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0.54</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4440" w:type="dxa"/>
            <w:vAlign w:val="bottom"/>
            <w:gridSpan w:val="3"/>
          </w:tcPr>
          <w:p>
            <w:pPr>
              <w:spacing w:after="0"/>
              <w:rPr>
                <w:sz w:val="20"/>
                <w:szCs w:val="20"/>
                <w:color w:val="auto"/>
              </w:rPr>
            </w:pPr>
            <w:r>
              <w:rPr>
                <w:rFonts w:ascii="Courier New" w:cs="Courier New" w:eastAsia="Courier New" w:hAnsi="Courier New"/>
                <w:sz w:val="17"/>
                <w:szCs w:val="17"/>
                <w:color w:val="auto"/>
                <w:strike w:val="1"/>
              </w:rPr>
              <w:t>Weighted average common shares outstanding:</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Basic ..........................</w:t>
            </w:r>
          </w:p>
        </w:tc>
        <w:tc>
          <w:tcPr>
            <w:tcW w:w="200" w:type="dxa"/>
            <w:vAlign w:val="bottom"/>
          </w:tcPr>
          <w:p>
            <w:pPr>
              <w:spacing w:after="0"/>
              <w:rPr>
                <w:sz w:val="17"/>
                <w:szCs w:val="17"/>
                <w:color w:val="auto"/>
              </w:rPr>
            </w:pPr>
          </w:p>
        </w:tc>
        <w:tc>
          <w:tcPr>
            <w:tcW w:w="150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29,592</w:t>
            </w:r>
          </w:p>
        </w:tc>
        <w:tc>
          <w:tcPr>
            <w:tcW w:w="26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30,401</w:t>
            </w:r>
          </w:p>
        </w:tc>
        <w:tc>
          <w:tcPr>
            <w:tcW w:w="42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29,589</w:t>
            </w: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30,481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Diluted ........................</w:t>
            </w:r>
          </w:p>
        </w:tc>
        <w:tc>
          <w:tcPr>
            <w:tcW w:w="200" w:type="dxa"/>
            <w:vAlign w:val="bottom"/>
          </w:tcPr>
          <w:p>
            <w:pPr>
              <w:spacing w:after="0"/>
              <w:rPr>
                <w:sz w:val="17"/>
                <w:szCs w:val="17"/>
                <w:color w:val="auto"/>
              </w:rPr>
            </w:pPr>
          </w:p>
        </w:tc>
        <w:tc>
          <w:tcPr>
            <w:tcW w:w="150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33,804</w:t>
            </w:r>
          </w:p>
        </w:tc>
        <w:tc>
          <w:tcPr>
            <w:tcW w:w="26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34,739</w:t>
            </w:r>
          </w:p>
        </w:tc>
        <w:tc>
          <w:tcPr>
            <w:tcW w:w="42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33,816</w:t>
            </w: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34,941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-3458845</wp:posOffset>
            </wp:positionV>
            <wp:extent cx="6211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-3207385</wp:posOffset>
            </wp:positionV>
            <wp:extent cx="62115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-3081655</wp:posOffset>
            </wp:positionV>
            <wp:extent cx="62115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-2955925</wp:posOffset>
            </wp:positionV>
            <wp:extent cx="62115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-2830195</wp:posOffset>
            </wp:positionV>
            <wp:extent cx="62115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-2704465</wp:posOffset>
            </wp:positionV>
            <wp:extent cx="6211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-2578735</wp:posOffset>
            </wp:positionV>
            <wp:extent cx="6211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-2327275</wp:posOffset>
            </wp:positionV>
            <wp:extent cx="6211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-2075815</wp:posOffset>
            </wp:positionV>
            <wp:extent cx="62115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-1950085</wp:posOffset>
            </wp:positionV>
            <wp:extent cx="62769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-1824990</wp:posOffset>
            </wp:positionV>
            <wp:extent cx="62769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-1699260</wp:posOffset>
            </wp:positionV>
            <wp:extent cx="62115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-1573530</wp:posOffset>
            </wp:positionV>
            <wp:extent cx="62115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-1322070</wp:posOffset>
            </wp:positionV>
            <wp:extent cx="62115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62115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62115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62115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61461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61461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62115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62115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11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strike w:val="1"/>
        </w:rPr>
        <w:t>The accompanying notes are an integral part of these condensed consolidated financial statements.</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155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15565" cy="8255"/>
                    </a:xfrm>
                    <a:prstGeom prst="rect">
                      <a:avLst/>
                    </a:prstGeom>
                    <a:noFill/>
                  </pic:spPr>
                </pic:pic>
              </a:graphicData>
            </a:graphic>
          </wp:anchor>
        </w:drawing>
      </w:r>
    </w:p>
    <w:p>
      <w:pPr>
        <w:sectPr>
          <w:pgSz w:w="11900" w:h="16838" w:orient="portrait"/>
          <w:cols w:equalWidth="0" w:num="1">
            <w:col w:w="10219"/>
          </w:cols>
          <w:pgMar w:left="240" w:top="1105" w:right="1440" w:bottom="1440" w:gutter="0" w:footer="0" w:header="0"/>
        </w:sectPr>
      </w:pPr>
    </w:p>
    <w:bookmarkStart w:id="3" w:name="page4"/>
    <w:bookmarkEnd w:id="3"/>
    <w:p>
      <w:pPr>
        <w:jc w:val="center"/>
        <w:ind w:right="-400"/>
        <w:spacing w:after="0"/>
        <w:rPr>
          <w:sz w:val="20"/>
          <w:szCs w:val="20"/>
          <w:color w:val="auto"/>
        </w:rPr>
      </w:pPr>
      <w:r>
        <w:rPr>
          <w:rFonts w:ascii="Courier New" w:cs="Courier New" w:eastAsia="Courier New" w:hAnsi="Courier New"/>
          <w:sz w:val="17"/>
          <w:szCs w:val="17"/>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4707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07890" cy="8255"/>
                    </a:xfrm>
                    <a:prstGeom prst="rect">
                      <a:avLst/>
                    </a:prstGeom>
                    <a:noFill/>
                  </pic:spPr>
                </pic:pic>
              </a:graphicData>
            </a:graphic>
          </wp:anchor>
        </w:drawing>
      </w:r>
    </w:p>
    <w:p>
      <w:pPr>
        <w:jc w:val="center"/>
        <w:ind w:right="-400"/>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45764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76445" cy="8255"/>
                    </a:xfrm>
                    <a:prstGeom prst="rect">
                      <a:avLst/>
                    </a:prstGeom>
                    <a:noFill/>
                  </pic:spPr>
                </pic:pic>
              </a:graphicData>
            </a:graphic>
          </wp:anchor>
        </w:drawing>
      </w:r>
    </w:p>
    <w:p>
      <w:pPr>
        <w:jc w:val="center"/>
        <w:ind w:right="-400"/>
        <w:spacing w:after="0"/>
        <w:rPr>
          <w:sz w:val="20"/>
          <w:szCs w:val="20"/>
          <w:color w:val="auto"/>
        </w:rPr>
      </w:pPr>
      <w:r>
        <w:rPr>
          <w:rFonts w:ascii="Courier New" w:cs="Courier New" w:eastAsia="Courier New" w:hAnsi="Courier New"/>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7268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26815" cy="825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7"/>
          <w:szCs w:val="17"/>
          <w:color w:val="auto"/>
          <w:strike w:val="1"/>
        </w:rPr>
        <w:t>(In thousands, except per share amounts)</w:t>
      </w:r>
    </w:p>
    <w:p>
      <w:pPr>
        <w:spacing w:after="0" w:line="200" w:lineRule="exact"/>
        <w:rPr>
          <w:sz w:val="20"/>
          <w:szCs w:val="20"/>
          <w:color w:val="auto"/>
        </w:rPr>
      </w:pPr>
    </w:p>
    <w:p>
      <w:pPr>
        <w:spacing w:after="0" w:line="399"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608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June 30,</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198"/>
        </w:trPr>
        <w:tc>
          <w:tcPr>
            <w:tcW w:w="6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3"/>
              </w:rPr>
              <w:t>2006</w:t>
            </w:r>
          </w:p>
        </w:tc>
        <w:tc>
          <w:tcPr>
            <w:tcW w:w="580" w:type="dxa"/>
            <w:vAlign w:val="bottom"/>
          </w:tcPr>
          <w:p>
            <w:pPr>
              <w:spacing w:after="0"/>
              <w:rPr>
                <w:sz w:val="17"/>
                <w:szCs w:val="17"/>
                <w:color w:val="auto"/>
              </w:rPr>
            </w:pPr>
          </w:p>
        </w:tc>
        <w:tc>
          <w:tcPr>
            <w:tcW w:w="8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2005</w:t>
            </w:r>
          </w:p>
        </w:tc>
      </w:tr>
      <w:tr>
        <w:trPr>
          <w:trHeight w:val="198"/>
        </w:trPr>
        <w:tc>
          <w:tcPr>
            <w:tcW w:w="6080" w:type="dxa"/>
            <w:vAlign w:val="bottom"/>
          </w:tcPr>
          <w:p>
            <w:pPr>
              <w:spacing w:after="0"/>
              <w:rPr>
                <w:sz w:val="17"/>
                <w:szCs w:val="17"/>
                <w:color w:val="auto"/>
              </w:rPr>
            </w:pPr>
          </w:p>
        </w:tc>
        <w:tc>
          <w:tcPr>
            <w:tcW w:w="14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w w:val="99"/>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0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8"/>
        </w:trPr>
        <w:tc>
          <w:tcPr>
            <w:tcW w:w="6080" w:type="dxa"/>
            <w:vAlign w:val="bottom"/>
          </w:tcPr>
          <w:p>
            <w:pPr>
              <w:spacing w:after="0"/>
              <w:rPr>
                <w:sz w:val="20"/>
                <w:szCs w:val="20"/>
                <w:color w:val="auto"/>
              </w:rPr>
            </w:pPr>
            <w:r>
              <w:rPr>
                <w:rFonts w:ascii="Courier New" w:cs="Courier New" w:eastAsia="Courier New" w:hAnsi="Courier New"/>
                <w:sz w:val="17"/>
                <w:szCs w:val="17"/>
                <w:color w:val="auto"/>
                <w:strike w:val="1"/>
              </w:rPr>
              <w:t>Current Assets: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6080" w:type="dxa"/>
            <w:vAlign w:val="bottom"/>
          </w:tcPr>
          <w:p>
            <w:pPr>
              <w:ind w:left="220"/>
              <w:spacing w:after="0"/>
              <w:rPr>
                <w:sz w:val="20"/>
                <w:szCs w:val="20"/>
                <w:color w:val="auto"/>
              </w:rPr>
            </w:pPr>
            <w:r>
              <w:rPr>
                <w:rFonts w:ascii="Courier New" w:cs="Courier New" w:eastAsia="Courier New" w:hAnsi="Courier New"/>
                <w:sz w:val="17"/>
                <w:szCs w:val="17"/>
                <w:color w:val="auto"/>
              </w:rPr>
              <w:t>Cash and cash equivalents ...............................</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27,533</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46,889</w:t>
            </w:r>
          </w:p>
        </w:tc>
      </w:tr>
      <w:tr>
        <w:trPr>
          <w:trHeight w:val="198"/>
        </w:trPr>
        <w:tc>
          <w:tcPr>
            <w:tcW w:w="6080" w:type="dxa"/>
            <w:vAlign w:val="bottom"/>
          </w:tcPr>
          <w:p>
            <w:pPr>
              <w:ind w:left="220"/>
              <w:spacing w:after="0"/>
              <w:rPr>
                <w:sz w:val="20"/>
                <w:szCs w:val="20"/>
                <w:color w:val="auto"/>
              </w:rPr>
            </w:pPr>
            <w:r>
              <w:rPr>
                <w:rFonts w:ascii="Courier New" w:cs="Courier New" w:eastAsia="Courier New" w:hAnsi="Courier New"/>
                <w:sz w:val="17"/>
                <w:szCs w:val="17"/>
                <w:color w:val="auto"/>
              </w:rPr>
              <w:t>Short-term investments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6,417</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80,327</w:t>
            </w:r>
          </w:p>
        </w:tc>
      </w:tr>
      <w:tr>
        <w:trPr>
          <w:trHeight w:val="198"/>
        </w:trPr>
        <w:tc>
          <w:tcPr>
            <w:tcW w:w="6080" w:type="dxa"/>
            <w:vAlign w:val="bottom"/>
          </w:tcPr>
          <w:p>
            <w:pPr>
              <w:ind w:left="220"/>
              <w:spacing w:after="0"/>
              <w:rPr>
                <w:sz w:val="20"/>
                <w:szCs w:val="20"/>
                <w:color w:val="auto"/>
              </w:rPr>
            </w:pPr>
            <w:r>
              <w:rPr>
                <w:rFonts w:ascii="Courier New" w:cs="Courier New" w:eastAsia="Courier New" w:hAnsi="Courier New"/>
                <w:sz w:val="17"/>
                <w:szCs w:val="17"/>
                <w:color w:val="auto"/>
              </w:rPr>
              <w:t>Accounts receivable, net of allowances of</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$4,577 and $3,508....................................</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74,135</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49,007</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Inventories, net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92,981</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67,476</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Deferred tax assets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12,793</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10,842</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Prepaid expenses and other current assets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12,604</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11,411</w:t>
            </w:r>
          </w:p>
        </w:tc>
      </w:tr>
      <w:tr>
        <w:trPr>
          <w:trHeight w:val="198"/>
        </w:trPr>
        <w:tc>
          <w:tcPr>
            <w:tcW w:w="6080" w:type="dxa"/>
            <w:vAlign w:val="bottom"/>
          </w:tcPr>
          <w:p>
            <w:pPr>
              <w:spacing w:after="0"/>
              <w:rPr>
                <w:sz w:val="17"/>
                <w:szCs w:val="17"/>
                <w:color w:val="auto"/>
              </w:rPr>
            </w:pPr>
          </w:p>
        </w:tc>
        <w:tc>
          <w:tcPr>
            <w:tcW w:w="14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Total current assets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226,463</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265,952</w:t>
            </w:r>
          </w:p>
        </w:tc>
      </w:tr>
      <w:tr>
        <w:trPr>
          <w:trHeight w:val="396"/>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Non-current investments ...................................</w:t>
            </w:r>
          </w:p>
        </w:tc>
        <w:tc>
          <w:tcPr>
            <w:tcW w:w="420" w:type="dxa"/>
            <w:vAlign w:val="bottom"/>
          </w:tcPr>
          <w:p>
            <w:pPr>
              <w:spacing w:after="0"/>
              <w:rPr>
                <w:sz w:val="24"/>
                <w:szCs w:val="24"/>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9,693</w:t>
            </w:r>
          </w:p>
        </w:tc>
        <w:tc>
          <w:tcPr>
            <w:tcW w:w="58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16,168</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Property, plant, and equipment, net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35,791</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27,451</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Identifiable intangible assets, net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140,552</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64,569</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Goodwill...................................................</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147,316</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68,364</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Other assets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6,404</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5,928</w:t>
            </w:r>
          </w:p>
        </w:tc>
      </w:tr>
      <w:tr>
        <w:trPr>
          <w:trHeight w:val="198"/>
        </w:trPr>
        <w:tc>
          <w:tcPr>
            <w:tcW w:w="6080" w:type="dxa"/>
            <w:vAlign w:val="bottom"/>
          </w:tcPr>
          <w:p>
            <w:pPr>
              <w:spacing w:after="0"/>
              <w:rPr>
                <w:sz w:val="17"/>
                <w:szCs w:val="17"/>
                <w:color w:val="auto"/>
              </w:rPr>
            </w:pPr>
          </w:p>
        </w:tc>
        <w:tc>
          <w:tcPr>
            <w:tcW w:w="14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Total assets ..............................................</w:t>
            </w:r>
          </w:p>
        </w:tc>
        <w:tc>
          <w:tcPr>
            <w:tcW w:w="14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$ 566,219</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$ 448,432</w:t>
            </w:r>
          </w:p>
        </w:tc>
      </w:tr>
      <w:tr>
        <w:trPr>
          <w:trHeight w:val="198"/>
        </w:trPr>
        <w:tc>
          <w:tcPr>
            <w:tcW w:w="6080" w:type="dxa"/>
            <w:vAlign w:val="bottom"/>
          </w:tcPr>
          <w:p>
            <w:pPr>
              <w:spacing w:after="0"/>
              <w:rPr>
                <w:sz w:val="17"/>
                <w:szCs w:val="17"/>
                <w:color w:val="auto"/>
              </w:rPr>
            </w:pPr>
          </w:p>
        </w:tc>
        <w:tc>
          <w:tcPr>
            <w:tcW w:w="14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080" w:type="dxa"/>
            <w:vAlign w:val="bottom"/>
          </w:tcPr>
          <w:p>
            <w:pPr>
              <w:spacing w:after="0"/>
              <w:rPr>
                <w:sz w:val="20"/>
                <w:szCs w:val="20"/>
                <w:color w:val="auto"/>
              </w:rPr>
            </w:pPr>
            <w:r>
              <w:rPr>
                <w:rFonts w:ascii="Courier New" w:cs="Courier New" w:eastAsia="Courier New" w:hAnsi="Courier New"/>
                <w:sz w:val="17"/>
                <w:szCs w:val="17"/>
                <w:color w:val="auto"/>
                <w:strike w:val="1"/>
              </w:rPr>
              <w:t>LIABILITIES AND STOCKHOLDERS' EQUITY</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8"/>
        </w:trPr>
        <w:tc>
          <w:tcPr>
            <w:tcW w:w="6080" w:type="dxa"/>
            <w:vAlign w:val="bottom"/>
          </w:tcPr>
          <w:p>
            <w:pPr>
              <w:spacing w:after="0"/>
              <w:rPr>
                <w:sz w:val="20"/>
                <w:szCs w:val="20"/>
                <w:color w:val="auto"/>
              </w:rPr>
            </w:pPr>
            <w:r>
              <w:rPr>
                <w:rFonts w:ascii="Courier New" w:cs="Courier New" w:eastAsia="Courier New" w:hAnsi="Courier New"/>
                <w:sz w:val="17"/>
                <w:szCs w:val="17"/>
                <w:color w:val="auto"/>
                <w:strike w:val="1"/>
              </w:rPr>
              <w:t>Current Liabilities: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Borrowings under senior credit facility .................</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64,000</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 trade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16,192</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8,978</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Income taxes payable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715</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Deferred revenue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8,280</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88</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Accrued expenses and other current liabilities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25,147</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21,506</w:t>
            </w:r>
          </w:p>
        </w:tc>
      </w:tr>
      <w:tr>
        <w:trPr>
          <w:trHeight w:val="198"/>
        </w:trPr>
        <w:tc>
          <w:tcPr>
            <w:tcW w:w="6080" w:type="dxa"/>
            <w:vAlign w:val="bottom"/>
          </w:tcPr>
          <w:p>
            <w:pPr>
              <w:spacing w:after="0"/>
              <w:rPr>
                <w:sz w:val="17"/>
                <w:szCs w:val="17"/>
                <w:color w:val="auto"/>
              </w:rPr>
            </w:pPr>
          </w:p>
        </w:tc>
        <w:tc>
          <w:tcPr>
            <w:tcW w:w="14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Total current liabilities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113,619</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31,287</w:t>
            </w:r>
          </w:p>
        </w:tc>
      </w:tr>
      <w:tr>
        <w:trPr>
          <w:trHeight w:val="396"/>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Long-term debt ............................................</w:t>
            </w:r>
          </w:p>
        </w:tc>
        <w:tc>
          <w:tcPr>
            <w:tcW w:w="420" w:type="dxa"/>
            <w:vAlign w:val="bottom"/>
          </w:tcPr>
          <w:p>
            <w:pPr>
              <w:spacing w:after="0"/>
              <w:rPr>
                <w:sz w:val="24"/>
                <w:szCs w:val="24"/>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118,112</w:t>
            </w:r>
          </w:p>
        </w:tc>
        <w:tc>
          <w:tcPr>
            <w:tcW w:w="58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118,378</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Deferred tax liabilities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14,905</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2,520</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Other liabilities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7,537</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6,429</w:t>
            </w:r>
          </w:p>
        </w:tc>
      </w:tr>
      <w:tr>
        <w:trPr>
          <w:trHeight w:val="198"/>
        </w:trPr>
        <w:tc>
          <w:tcPr>
            <w:tcW w:w="6080" w:type="dxa"/>
            <w:vAlign w:val="bottom"/>
          </w:tcPr>
          <w:p>
            <w:pPr>
              <w:spacing w:after="0"/>
              <w:rPr>
                <w:sz w:val="17"/>
                <w:szCs w:val="17"/>
                <w:color w:val="auto"/>
              </w:rPr>
            </w:pPr>
          </w:p>
        </w:tc>
        <w:tc>
          <w:tcPr>
            <w:tcW w:w="14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Total liabilities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254,173</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158,614</w:t>
            </w:r>
          </w:p>
        </w:tc>
      </w:tr>
      <w:tr>
        <w:trPr>
          <w:trHeight w:val="396"/>
        </w:trPr>
        <w:tc>
          <w:tcPr>
            <w:tcW w:w="608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 (see Footnote 11)</w:t>
            </w:r>
          </w:p>
        </w:tc>
        <w:tc>
          <w:tcPr>
            <w:tcW w:w="420" w:type="dxa"/>
            <w:vAlign w:val="bottom"/>
          </w:tcPr>
          <w:p>
            <w:pPr>
              <w:spacing w:after="0"/>
              <w:rPr>
                <w:sz w:val="24"/>
                <w:szCs w:val="24"/>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080" w:type="dxa"/>
            <w:vAlign w:val="bottom"/>
          </w:tcPr>
          <w:p>
            <w:pPr>
              <w:spacing w:after="0"/>
              <w:rPr>
                <w:sz w:val="20"/>
                <w:szCs w:val="20"/>
                <w:color w:val="auto"/>
              </w:rPr>
            </w:pPr>
            <w:r>
              <w:rPr>
                <w:rFonts w:ascii="Courier New" w:cs="Courier New" w:eastAsia="Courier New" w:hAnsi="Courier New"/>
                <w:sz w:val="17"/>
                <w:szCs w:val="17"/>
                <w:color w:val="auto"/>
                <w:strike w:val="1"/>
              </w:rPr>
              <w:t>Stockholders' Equity:</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8"/>
        </w:trPr>
        <w:tc>
          <w:tcPr>
            <w:tcW w:w="6080" w:type="dxa"/>
            <w:vAlign w:val="bottom"/>
          </w:tcPr>
          <w:p>
            <w:pPr>
              <w:ind w:left="220"/>
              <w:spacing w:after="0"/>
              <w:rPr>
                <w:sz w:val="20"/>
                <w:szCs w:val="20"/>
                <w:color w:val="auto"/>
              </w:rPr>
            </w:pPr>
            <w:r>
              <w:rPr>
                <w:rFonts w:ascii="Courier New" w:cs="Courier New" w:eastAsia="Courier New" w:hAnsi="Courier New"/>
                <w:sz w:val="17"/>
                <w:szCs w:val="17"/>
                <w:color w:val="auto"/>
              </w:rPr>
              <w:t>Common stock; $0.01 par value; 60,000 authorized shares;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608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31,066 and 29,823 issued at June 30, 2006 and</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December 31, 2005, respectively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311</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298</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Additional paid-in capital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347,479</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333,179</w:t>
            </w:r>
          </w:p>
        </w:tc>
      </w:tr>
      <w:tr>
        <w:trPr>
          <w:trHeight w:val="198"/>
        </w:trPr>
        <w:tc>
          <w:tcPr>
            <w:tcW w:w="6080" w:type="dxa"/>
            <w:vAlign w:val="bottom"/>
          </w:tcPr>
          <w:p>
            <w:pPr>
              <w:ind w:left="220"/>
              <w:spacing w:after="0"/>
              <w:rPr>
                <w:sz w:val="20"/>
                <w:szCs w:val="20"/>
                <w:color w:val="auto"/>
              </w:rPr>
            </w:pPr>
            <w:r>
              <w:rPr>
                <w:rFonts w:ascii="Courier New" w:cs="Courier New" w:eastAsia="Courier New" w:hAnsi="Courier New"/>
                <w:sz w:val="17"/>
                <w:szCs w:val="17"/>
                <w:color w:val="auto"/>
              </w:rPr>
              <w:t>Treasury stock, at cost; 2,769 and 2,368 shares at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June 30, 2006 and December 31, 2005, respectively......</w:t>
            </w:r>
          </w:p>
        </w:tc>
        <w:tc>
          <w:tcPr>
            <w:tcW w:w="42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(91,002)</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(75,815)</w:t>
            </w:r>
          </w:p>
        </w:tc>
      </w:tr>
      <w:tr>
        <w:trPr>
          <w:trHeight w:val="198"/>
        </w:trPr>
        <w:tc>
          <w:tcPr>
            <w:tcW w:w="6080" w:type="dxa"/>
            <w:vAlign w:val="bottom"/>
          </w:tcPr>
          <w:p>
            <w:pPr>
              <w:ind w:left="220"/>
              <w:spacing w:after="0"/>
              <w:rPr>
                <w:sz w:val="20"/>
                <w:szCs w:val="20"/>
                <w:color w:val="auto"/>
              </w:rPr>
            </w:pPr>
            <w:r>
              <w:rPr>
                <w:rFonts w:ascii="Courier New" w:cs="Courier New" w:eastAsia="Courier New" w:hAnsi="Courier New"/>
                <w:sz w:val="17"/>
                <w:szCs w:val="17"/>
                <w:color w:val="auto"/>
              </w:rPr>
              <w:t>Accumulated other comprehensive income (loss):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60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Unrealized loss on available-for-sale securities,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net of tax .......................................</w:t>
            </w:r>
          </w:p>
        </w:tc>
        <w:tc>
          <w:tcPr>
            <w:tcW w:w="42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(285)</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(801)</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Foreign currency translation adjustment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3,698</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(2,300)</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Minimum pension liability adjustment, net of tax .....</w:t>
            </w:r>
          </w:p>
        </w:tc>
        <w:tc>
          <w:tcPr>
            <w:tcW w:w="42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(1,766)</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(1,672)</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Retained earnings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53,611</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36,929</w:t>
            </w:r>
          </w:p>
        </w:tc>
      </w:tr>
      <w:tr>
        <w:trPr>
          <w:trHeight w:val="198"/>
        </w:trPr>
        <w:tc>
          <w:tcPr>
            <w:tcW w:w="6080" w:type="dxa"/>
            <w:vAlign w:val="bottom"/>
          </w:tcPr>
          <w:p>
            <w:pPr>
              <w:spacing w:after="0"/>
              <w:rPr>
                <w:sz w:val="17"/>
                <w:szCs w:val="17"/>
                <w:color w:val="auto"/>
              </w:rPr>
            </w:pPr>
          </w:p>
        </w:tc>
        <w:tc>
          <w:tcPr>
            <w:tcW w:w="14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Total stockholders' equity ............................</w:t>
            </w:r>
          </w:p>
        </w:tc>
        <w:tc>
          <w:tcPr>
            <w:tcW w:w="4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312,046</w:t>
            </w:r>
          </w:p>
        </w:tc>
        <w:tc>
          <w:tcPr>
            <w:tcW w:w="5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289,818</w:t>
            </w:r>
          </w:p>
        </w:tc>
      </w:tr>
      <w:tr>
        <w:trPr>
          <w:trHeight w:val="198"/>
        </w:trPr>
        <w:tc>
          <w:tcPr>
            <w:tcW w:w="6080" w:type="dxa"/>
            <w:vAlign w:val="bottom"/>
          </w:tcPr>
          <w:p>
            <w:pPr>
              <w:spacing w:after="0"/>
              <w:rPr>
                <w:sz w:val="17"/>
                <w:szCs w:val="17"/>
                <w:color w:val="auto"/>
              </w:rPr>
            </w:pPr>
          </w:p>
        </w:tc>
        <w:tc>
          <w:tcPr>
            <w:tcW w:w="14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080" w:type="dxa"/>
            <w:vAlign w:val="bottom"/>
          </w:tcPr>
          <w:p>
            <w:pPr>
              <w:jc w:val="right"/>
              <w:spacing w:after="0"/>
              <w:rPr>
                <w:sz w:val="20"/>
                <w:szCs w:val="20"/>
                <w:color w:val="auto"/>
              </w:rPr>
            </w:pPr>
            <w:r>
              <w:rPr>
                <w:rFonts w:ascii="Courier New" w:cs="Courier New" w:eastAsia="Courier New" w:hAnsi="Courier New"/>
                <w:sz w:val="17"/>
                <w:szCs w:val="17"/>
                <w:color w:val="auto"/>
              </w:rPr>
              <w:t>Total liabilities and stockholders' equity ...............</w:t>
            </w:r>
          </w:p>
        </w:tc>
        <w:tc>
          <w:tcPr>
            <w:tcW w:w="14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$ 566,219</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$ 448,432</w:t>
            </w:r>
          </w:p>
        </w:tc>
      </w:tr>
      <w:tr>
        <w:trPr>
          <w:trHeight w:val="198"/>
        </w:trPr>
        <w:tc>
          <w:tcPr>
            <w:tcW w:w="6080" w:type="dxa"/>
            <w:vAlign w:val="bottom"/>
          </w:tcPr>
          <w:p>
            <w:pPr>
              <w:spacing w:after="0"/>
              <w:rPr>
                <w:sz w:val="17"/>
                <w:szCs w:val="17"/>
                <w:color w:val="auto"/>
              </w:rPr>
            </w:pPr>
          </w:p>
        </w:tc>
        <w:tc>
          <w:tcPr>
            <w:tcW w:w="14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-7607935</wp:posOffset>
            </wp:positionV>
            <wp:extent cx="57537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37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-7482205</wp:posOffset>
            </wp:positionV>
            <wp:extent cx="5492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921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-7356475</wp:posOffset>
            </wp:positionV>
            <wp:extent cx="57537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37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-7230745</wp:posOffset>
            </wp:positionV>
            <wp:extent cx="47726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726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-7105015</wp:posOffset>
            </wp:positionV>
            <wp:extent cx="457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78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-6853555</wp:posOffset>
            </wp:positionV>
            <wp:extent cx="56883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-6727825</wp:posOffset>
            </wp:positionV>
            <wp:extent cx="56883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-6602095</wp:posOffset>
            </wp:positionV>
            <wp:extent cx="2876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765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-6476365</wp:posOffset>
            </wp:positionV>
            <wp:extent cx="56883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-6350635</wp:posOffset>
            </wp:positionV>
            <wp:extent cx="56883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-6224905</wp:posOffset>
            </wp:positionV>
            <wp:extent cx="56883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-6099175</wp:posOffset>
            </wp:positionV>
            <wp:extent cx="56883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-5973445</wp:posOffset>
            </wp:positionV>
            <wp:extent cx="5688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-5847715</wp:posOffset>
            </wp:positionV>
            <wp:extent cx="56883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-5596255</wp:posOffset>
            </wp:positionV>
            <wp:extent cx="56883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-5470525</wp:posOffset>
            </wp:positionV>
            <wp:extent cx="56883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-5344795</wp:posOffset>
            </wp:positionV>
            <wp:extent cx="56883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-5219065</wp:posOffset>
            </wp:positionV>
            <wp:extent cx="56883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-5093335</wp:posOffset>
            </wp:positionV>
            <wp:extent cx="56883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-4967605</wp:posOffset>
            </wp:positionV>
            <wp:extent cx="56883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-4841875</wp:posOffset>
            </wp:positionV>
            <wp:extent cx="56883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-4716145</wp:posOffset>
            </wp:positionV>
            <wp:extent cx="56883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-4213225</wp:posOffset>
            </wp:positionV>
            <wp:extent cx="56883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-4087495</wp:posOffset>
            </wp:positionV>
            <wp:extent cx="56883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-3961765</wp:posOffset>
            </wp:positionV>
            <wp:extent cx="56883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-3836035</wp:posOffset>
            </wp:positionV>
            <wp:extent cx="56883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-3710305</wp:posOffset>
            </wp:positionV>
            <wp:extent cx="56883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-3584575</wp:posOffset>
            </wp:positionV>
            <wp:extent cx="56883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-3458845</wp:posOffset>
            </wp:positionV>
            <wp:extent cx="56883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-3207385</wp:posOffset>
            </wp:positionV>
            <wp:extent cx="56883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-3081655</wp:posOffset>
            </wp:positionV>
            <wp:extent cx="56883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-2955925</wp:posOffset>
            </wp:positionV>
            <wp:extent cx="56883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-2830195</wp:posOffset>
            </wp:positionV>
            <wp:extent cx="56883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-2704465</wp:posOffset>
            </wp:positionV>
            <wp:extent cx="56883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-2453005</wp:posOffset>
            </wp:positionV>
            <wp:extent cx="56883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-2075815</wp:posOffset>
            </wp:positionV>
            <wp:extent cx="38576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576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-1950085</wp:posOffset>
            </wp:positionV>
            <wp:extent cx="32689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689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-1824990</wp:posOffset>
            </wp:positionV>
            <wp:extent cx="56883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-1699260</wp:posOffset>
            </wp:positionV>
            <wp:extent cx="56883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-1573530</wp:posOffset>
            </wp:positionV>
            <wp:extent cx="34651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-1447800</wp:posOffset>
            </wp:positionV>
            <wp:extent cx="57537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37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-1322070</wp:posOffset>
            </wp:positionV>
            <wp:extent cx="32035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35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35960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960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57537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37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57537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37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57537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37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56883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56883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56883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56883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56883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56883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88330" cy="8255"/>
                    </a:xfrm>
                    <a:prstGeom prst="rect">
                      <a:avLst/>
                    </a:prstGeom>
                    <a:noFill/>
                  </pic:spPr>
                </pic:pic>
              </a:graphicData>
            </a:graphic>
          </wp:anchor>
        </w:drawing>
      </w:r>
    </w:p>
    <w:p>
      <w:pPr>
        <w:spacing w:after="0" w:line="381"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strike w:val="1"/>
        </w:rPr>
        <w:t>The accompanying notes are an integral part of these condensed consolidated financial statements.</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155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15565" cy="8255"/>
                    </a:xfrm>
                    <a:prstGeom prst="rect">
                      <a:avLst/>
                    </a:prstGeom>
                    <a:noFill/>
                  </pic:spPr>
                </pic:pic>
              </a:graphicData>
            </a:graphic>
          </wp:anchor>
        </w:drawing>
      </w:r>
    </w:p>
    <w:p>
      <w:pPr>
        <w:sectPr>
          <w:pgSz w:w="11900" w:h="16838" w:orient="portrait"/>
          <w:cols w:equalWidth="0" w:num="1">
            <w:col w:w="10219"/>
          </w:cols>
          <w:pgMar w:left="240" w:top="1105" w:right="1440" w:bottom="523" w:gutter="0" w:footer="0" w:header="0"/>
        </w:sectPr>
      </w:pPr>
    </w:p>
    <w:bookmarkStart w:id="4" w:name="page5"/>
    <w:bookmarkEnd w:id="4"/>
    <w:p>
      <w:pPr>
        <w:ind w:left="3400"/>
        <w:spacing w:after="0"/>
        <w:rPr>
          <w:sz w:val="20"/>
          <w:szCs w:val="20"/>
          <w:color w:val="auto"/>
        </w:rPr>
      </w:pPr>
      <w:r>
        <w:rPr>
          <w:rFonts w:ascii="Courier New" w:cs="Courier New" w:eastAsia="Courier New" w:hAnsi="Courier New"/>
          <w:sz w:val="17"/>
          <w:szCs w:val="17"/>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48380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38065" cy="8255"/>
                    </a:xfrm>
                    <a:prstGeom prst="rect">
                      <a:avLst/>
                    </a:prstGeom>
                    <a:noFill/>
                  </pic:spPr>
                </pic:pic>
              </a:graphicData>
            </a:graphic>
          </wp:anchor>
        </w:drawing>
      </w:r>
    </w:p>
    <w:p>
      <w:pPr>
        <w:ind w:left="3000"/>
        <w:spacing w:after="0"/>
        <w:rPr>
          <w:sz w:val="20"/>
          <w:szCs w:val="20"/>
          <w:color w:val="auto"/>
        </w:rPr>
      </w:pPr>
      <w:r>
        <w:rPr>
          <w:rFonts w:ascii="Courier New" w:cs="Courier New" w:eastAsia="Courier New" w:hAnsi="Courier New"/>
          <w:sz w:val="17"/>
          <w:szCs w:val="17"/>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49688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68875" cy="8255"/>
                    </a:xfrm>
                    <a:prstGeom prst="rect">
                      <a:avLst/>
                    </a:prstGeom>
                    <a:noFill/>
                  </pic:spPr>
                </pic:pic>
              </a:graphicData>
            </a:graphic>
          </wp:anchor>
        </w:drawing>
      </w:r>
    </w:p>
    <w:p>
      <w:pPr>
        <w:jc w:val="center"/>
        <w:ind w:right="-400"/>
        <w:spacing w:after="0"/>
        <w:rPr>
          <w:sz w:val="20"/>
          <w:szCs w:val="20"/>
          <w:color w:val="auto"/>
        </w:rPr>
      </w:pPr>
      <w:r>
        <w:rPr>
          <w:rFonts w:ascii="Courier New" w:cs="Courier New" w:eastAsia="Courier New" w:hAnsi="Courier New"/>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7268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72681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60" w:type="dxa"/>
            <w:vAlign w:val="bottom"/>
          </w:tcPr>
          <w:p>
            <w:pPr>
              <w:spacing w:after="0"/>
              <w:rPr>
                <w:sz w:val="16"/>
                <w:szCs w:val="16"/>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Six Months Ended June 30,</w:t>
            </w:r>
          </w:p>
        </w:tc>
      </w:tr>
      <w:tr>
        <w:trPr>
          <w:trHeight w:val="198"/>
        </w:trPr>
        <w:tc>
          <w:tcPr>
            <w:tcW w:w="6960" w:type="dxa"/>
            <w:vAlign w:val="bottom"/>
          </w:tcPr>
          <w:p>
            <w:pPr>
              <w:spacing w:after="0"/>
              <w:rPr>
                <w:sz w:val="17"/>
                <w:szCs w:val="17"/>
                <w:color w:val="auto"/>
              </w:rPr>
            </w:pPr>
          </w:p>
        </w:tc>
        <w:tc>
          <w:tcPr>
            <w:tcW w:w="13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2006</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2005</w:t>
            </w:r>
          </w:p>
        </w:tc>
      </w:tr>
      <w:tr>
        <w:trPr>
          <w:trHeight w:val="198"/>
        </w:trPr>
        <w:tc>
          <w:tcPr>
            <w:tcW w:w="6960" w:type="dxa"/>
            <w:vAlign w:val="bottom"/>
          </w:tcPr>
          <w:p>
            <w:pPr>
              <w:spacing w:after="0"/>
              <w:rPr>
                <w:sz w:val="17"/>
                <w:szCs w:val="17"/>
                <w:color w:val="auto"/>
              </w:rPr>
            </w:pPr>
          </w:p>
        </w:tc>
        <w:tc>
          <w:tcPr>
            <w:tcW w:w="13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960" w:type="dxa"/>
            <w:vAlign w:val="bottom"/>
          </w:tcPr>
          <w:p>
            <w:pPr>
              <w:spacing w:after="0"/>
              <w:rPr>
                <w:sz w:val="20"/>
                <w:szCs w:val="20"/>
                <w:color w:val="auto"/>
              </w:rPr>
            </w:pPr>
            <w:r>
              <w:rPr>
                <w:rFonts w:ascii="Courier New" w:cs="Courier New" w:eastAsia="Courier New" w:hAnsi="Courier New"/>
                <w:sz w:val="17"/>
                <w:szCs w:val="17"/>
                <w:color w:val="auto"/>
                <w:strike w:val="1"/>
              </w:rPr>
              <w:t>OPERATING ACTIVITIES:</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6"/>
        </w:trPr>
        <w:tc>
          <w:tcPr>
            <w:tcW w:w="6960" w:type="dxa"/>
            <w:vAlign w:val="bottom"/>
          </w:tcPr>
          <w:p>
            <w:pPr>
              <w:spacing w:after="0"/>
              <w:rPr>
                <w:sz w:val="20"/>
                <w:szCs w:val="20"/>
                <w:color w:val="auto"/>
              </w:rPr>
            </w:pPr>
            <w:r>
              <w:rPr>
                <w:rFonts w:ascii="Courier New" w:cs="Courier New" w:eastAsia="Courier New" w:hAnsi="Courier New"/>
                <w:sz w:val="17"/>
                <w:szCs w:val="17"/>
                <w:color w:val="auto"/>
              </w:rPr>
              <w:t>Net income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$ 16,682</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$16,098</w:t>
            </w:r>
          </w:p>
        </w:tc>
      </w:tr>
      <w:tr>
        <w:trPr>
          <w:trHeight w:val="198"/>
        </w:trPr>
        <w:tc>
          <w:tcPr>
            <w:tcW w:w="6960" w:type="dxa"/>
            <w:vAlign w:val="bottom"/>
          </w:tcPr>
          <w:p>
            <w:pPr>
              <w:spacing w:after="0"/>
              <w:rPr>
                <w:sz w:val="20"/>
                <w:szCs w:val="20"/>
                <w:color w:val="auto"/>
              </w:rPr>
            </w:pPr>
            <w:r>
              <w:rPr>
                <w:rFonts w:ascii="Courier New" w:cs="Courier New" w:eastAsia="Courier New" w:hAnsi="Courier New"/>
                <w:sz w:val="17"/>
                <w:szCs w:val="17"/>
                <w:color w:val="auto"/>
                <w:strike w:val="1"/>
              </w:rPr>
              <w:t>Adjustments to reconcile net income to net cash provided by</w:t>
            </w: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6960" w:type="dxa"/>
            <w:vAlign w:val="bottom"/>
          </w:tcPr>
          <w:p>
            <w:pPr>
              <w:jc w:val="right"/>
              <w:ind w:right="4594"/>
              <w:spacing w:after="0"/>
              <w:rPr>
                <w:sz w:val="20"/>
                <w:szCs w:val="20"/>
                <w:color w:val="auto"/>
              </w:rPr>
            </w:pPr>
            <w:r>
              <w:rPr>
                <w:rFonts w:ascii="Courier New" w:cs="Courier New" w:eastAsia="Courier New" w:hAnsi="Courier New"/>
                <w:sz w:val="17"/>
                <w:szCs w:val="17"/>
                <w:color w:val="auto"/>
                <w:strike w:val="1"/>
              </w:rPr>
              <w:t>operating activities:</w:t>
            </w: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Depreciation and amortization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7,727</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5,751</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Deferred income tax provision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1,015</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6,304</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Amortization of discount/premium on investments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358</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1,064</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Loss on sale of investments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390</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Impairment of fixed assets....................................</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352</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Share-based compensation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6,473</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Excess tax benefits from stock-based compensation arrangements</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(665)</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Other, net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686</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178</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Changes in assets and liabilities, net of business acquisitions:</w:t>
            </w: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Accounts receivable ........................................</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(18,578)</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3,596</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Inventories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1,078</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(11,085)</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Prepaid expenses and other current assets ..................</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(892)</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1,610</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Other non-current assets ...................................</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(507)</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104</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Accounts payable, accrued expenses and other liabilities....</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6,022</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7,011</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Income taxes payable........................................</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(250)</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(1,149)</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Deferred revenue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6,436</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r>
      <w:tr>
        <w:trPr>
          <w:trHeight w:val="198"/>
        </w:trPr>
        <w:tc>
          <w:tcPr>
            <w:tcW w:w="6960" w:type="dxa"/>
            <w:vAlign w:val="bottom"/>
          </w:tcPr>
          <w:p>
            <w:pPr>
              <w:spacing w:after="0"/>
              <w:rPr>
                <w:sz w:val="17"/>
                <w:szCs w:val="17"/>
                <w:color w:val="auto"/>
              </w:rPr>
            </w:pP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Net cash provided by operating activities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26,327</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29,490</w:t>
            </w:r>
          </w:p>
        </w:tc>
      </w:tr>
      <w:tr>
        <w:trPr>
          <w:trHeight w:val="198"/>
        </w:trPr>
        <w:tc>
          <w:tcPr>
            <w:tcW w:w="6960" w:type="dxa"/>
            <w:vAlign w:val="bottom"/>
          </w:tcPr>
          <w:p>
            <w:pPr>
              <w:spacing w:after="0"/>
              <w:rPr>
                <w:sz w:val="17"/>
                <w:szCs w:val="17"/>
                <w:color w:val="auto"/>
              </w:rPr>
            </w:pP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960" w:type="dxa"/>
            <w:vAlign w:val="bottom"/>
          </w:tcPr>
          <w:p>
            <w:pPr>
              <w:spacing w:after="0"/>
              <w:rPr>
                <w:sz w:val="20"/>
                <w:szCs w:val="20"/>
                <w:color w:val="auto"/>
              </w:rPr>
            </w:pPr>
            <w:r>
              <w:rPr>
                <w:rFonts w:ascii="Courier New" w:cs="Courier New" w:eastAsia="Courier New" w:hAnsi="Courier New"/>
                <w:sz w:val="17"/>
                <w:szCs w:val="17"/>
                <w:color w:val="auto"/>
                <w:strike w:val="1"/>
              </w:rPr>
              <w:t>INVESTING ACTIVITIES:</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6"/>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Cash used in business acquisitions, net of cash acquired ........</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(179,568)</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(50,099)</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Proceeds from the sales/maturities of investments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93,505</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21,077</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Purchases of available-for-sale investments .....................</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(13,075)</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(15,000)</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Purchases of property and equipment .............................</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(3,619)</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(4,825)</w:t>
            </w:r>
          </w:p>
        </w:tc>
      </w:tr>
      <w:tr>
        <w:trPr>
          <w:trHeight w:val="198"/>
        </w:trPr>
        <w:tc>
          <w:tcPr>
            <w:tcW w:w="6960" w:type="dxa"/>
            <w:vAlign w:val="bottom"/>
          </w:tcPr>
          <w:p>
            <w:pPr>
              <w:spacing w:after="0"/>
              <w:rPr>
                <w:sz w:val="17"/>
                <w:szCs w:val="17"/>
                <w:color w:val="auto"/>
              </w:rPr>
            </w:pP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Net cash used in investing activities ...........................</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(102,757)</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(48,847)</w:t>
            </w:r>
          </w:p>
        </w:tc>
      </w:tr>
      <w:tr>
        <w:trPr>
          <w:trHeight w:val="198"/>
        </w:trPr>
        <w:tc>
          <w:tcPr>
            <w:tcW w:w="6960" w:type="dxa"/>
            <w:vAlign w:val="bottom"/>
          </w:tcPr>
          <w:p>
            <w:pPr>
              <w:spacing w:after="0"/>
              <w:rPr>
                <w:sz w:val="17"/>
                <w:szCs w:val="17"/>
                <w:color w:val="auto"/>
              </w:rPr>
            </w:pP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960" w:type="dxa"/>
            <w:vAlign w:val="bottom"/>
          </w:tcPr>
          <w:p>
            <w:pPr>
              <w:spacing w:after="0"/>
              <w:rPr>
                <w:sz w:val="20"/>
                <w:szCs w:val="20"/>
                <w:color w:val="auto"/>
              </w:rPr>
            </w:pPr>
            <w:r>
              <w:rPr>
                <w:rFonts w:ascii="Courier New" w:cs="Courier New" w:eastAsia="Courier New" w:hAnsi="Courier New"/>
                <w:sz w:val="17"/>
                <w:szCs w:val="17"/>
                <w:color w:val="auto"/>
                <w:strike w:val="1"/>
              </w:rPr>
              <w:t>FINANCING ACTIVITIES:</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6"/>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Borrowings under senior credit facility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90,000</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Repayment of loans ..............................................</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(26,037)</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(49)</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Proceeds from exercised stock options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7,064</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3,878</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Excess tax benefits from stock-based compensation arrangements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665</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Purchases of treasury stock .....................................</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(15,187)</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(24,650)</w:t>
            </w:r>
          </w:p>
        </w:tc>
      </w:tr>
      <w:tr>
        <w:trPr>
          <w:trHeight w:val="198"/>
        </w:trPr>
        <w:tc>
          <w:tcPr>
            <w:tcW w:w="6960" w:type="dxa"/>
            <w:vAlign w:val="bottom"/>
          </w:tcPr>
          <w:p>
            <w:pPr>
              <w:spacing w:after="0"/>
              <w:rPr>
                <w:sz w:val="17"/>
                <w:szCs w:val="17"/>
                <w:color w:val="auto"/>
              </w:rPr>
            </w:pP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Net cash provided by (used in) financing activities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56,505</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(20,821)</w:t>
            </w:r>
          </w:p>
        </w:tc>
      </w:tr>
      <w:tr>
        <w:trPr>
          <w:trHeight w:val="198"/>
        </w:trPr>
        <w:tc>
          <w:tcPr>
            <w:tcW w:w="6960" w:type="dxa"/>
            <w:vAlign w:val="bottom"/>
          </w:tcPr>
          <w:p>
            <w:pPr>
              <w:spacing w:after="0"/>
              <w:rPr>
                <w:sz w:val="17"/>
                <w:szCs w:val="17"/>
                <w:color w:val="auto"/>
              </w:rPr>
            </w:pP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Effect of exchange rate changes on cash and cash equivalents.....</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569</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(657)</w:t>
            </w:r>
          </w:p>
        </w:tc>
      </w:tr>
      <w:tr>
        <w:trPr>
          <w:trHeight w:val="396"/>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Net decrease in cash and cash equivalents .......................</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(19,356)</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(40,835)</w:t>
            </w:r>
          </w:p>
        </w:tc>
      </w:tr>
      <w:tr>
        <w:trPr>
          <w:trHeight w:val="396"/>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Cash and cash equivalents at beginning of period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46,889</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69,855</w:t>
            </w:r>
          </w:p>
        </w:tc>
      </w:tr>
      <w:tr>
        <w:trPr>
          <w:trHeight w:val="198"/>
        </w:trPr>
        <w:tc>
          <w:tcPr>
            <w:tcW w:w="6960" w:type="dxa"/>
            <w:vAlign w:val="bottom"/>
          </w:tcPr>
          <w:p>
            <w:pPr>
              <w:spacing w:after="0"/>
              <w:rPr>
                <w:sz w:val="17"/>
                <w:szCs w:val="17"/>
                <w:color w:val="auto"/>
              </w:rPr>
            </w:pP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9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Cash and cash equivalents at end of period ......................</w:t>
            </w: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$ 27,533</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$ 29,020</w:t>
            </w:r>
          </w:p>
        </w:tc>
      </w:tr>
      <w:tr>
        <w:trPr>
          <w:trHeight w:val="198"/>
        </w:trPr>
        <w:tc>
          <w:tcPr>
            <w:tcW w:w="6960" w:type="dxa"/>
            <w:vAlign w:val="bottom"/>
          </w:tcPr>
          <w:p>
            <w:pPr>
              <w:spacing w:after="0"/>
              <w:rPr>
                <w:sz w:val="17"/>
                <w:szCs w:val="17"/>
                <w:color w:val="auto"/>
              </w:rPr>
            </w:pPr>
          </w:p>
        </w:tc>
        <w:tc>
          <w:tcPr>
            <w:tcW w:w="13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-7356475</wp:posOffset>
            </wp:positionV>
            <wp:extent cx="61461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-7230745</wp:posOffset>
            </wp:positionV>
            <wp:extent cx="60807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-7105015</wp:posOffset>
            </wp:positionV>
            <wp:extent cx="60807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-6979285</wp:posOffset>
            </wp:positionV>
            <wp:extent cx="52959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9590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-6602095</wp:posOffset>
            </wp:positionV>
            <wp:extent cx="60807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-6224905</wp:posOffset>
            </wp:positionV>
            <wp:extent cx="60807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-6099175</wp:posOffset>
            </wp:positionV>
            <wp:extent cx="60807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-5973445</wp:posOffset>
            </wp:positionV>
            <wp:extent cx="60807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-5847715</wp:posOffset>
            </wp:positionV>
            <wp:extent cx="60807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-5721985</wp:posOffset>
            </wp:positionV>
            <wp:extent cx="60807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-5596255</wp:posOffset>
            </wp:positionV>
            <wp:extent cx="60807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-5470525</wp:posOffset>
            </wp:positionV>
            <wp:extent cx="60807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-5344795</wp:posOffset>
            </wp:positionV>
            <wp:extent cx="60807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-5219065</wp:posOffset>
            </wp:positionV>
            <wp:extent cx="43808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808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-5093335</wp:posOffset>
            </wp:positionV>
            <wp:extent cx="60807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-4967605</wp:posOffset>
            </wp:positionV>
            <wp:extent cx="61461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-4841875</wp:posOffset>
            </wp:positionV>
            <wp:extent cx="60807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-4716145</wp:posOffset>
            </wp:positionV>
            <wp:extent cx="60807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-4590415</wp:posOffset>
            </wp:positionV>
            <wp:extent cx="60807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-4464685</wp:posOffset>
            </wp:positionV>
            <wp:extent cx="61461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-4338955</wp:posOffset>
            </wp:positionV>
            <wp:extent cx="61461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-4213225</wp:posOffset>
            </wp:positionV>
            <wp:extent cx="60807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-4087495</wp:posOffset>
            </wp:positionV>
            <wp:extent cx="60807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-3961765</wp:posOffset>
            </wp:positionV>
            <wp:extent cx="60807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-3458845</wp:posOffset>
            </wp:positionV>
            <wp:extent cx="61461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-3333115</wp:posOffset>
            </wp:positionV>
            <wp:extent cx="60807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-3207385</wp:posOffset>
            </wp:positionV>
            <wp:extent cx="61461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-3081655</wp:posOffset>
            </wp:positionV>
            <wp:extent cx="61461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-2955925</wp:posOffset>
            </wp:positionV>
            <wp:extent cx="60807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-2830195</wp:posOffset>
            </wp:positionV>
            <wp:extent cx="61461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-2704465</wp:posOffset>
            </wp:positionV>
            <wp:extent cx="60807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-2201545</wp:posOffset>
            </wp:positionV>
            <wp:extent cx="60807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-2075815</wp:posOffset>
            </wp:positionV>
            <wp:extent cx="61461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-1950085</wp:posOffset>
            </wp:positionV>
            <wp:extent cx="60807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-1824990</wp:posOffset>
            </wp:positionV>
            <wp:extent cx="60807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-1699260</wp:posOffset>
            </wp:positionV>
            <wp:extent cx="61461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-1573530</wp:posOffset>
            </wp:positionV>
            <wp:extent cx="61461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-1447800</wp:posOffset>
            </wp:positionV>
            <wp:extent cx="61461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-1322070</wp:posOffset>
            </wp:positionV>
            <wp:extent cx="61461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61461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61461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60807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60807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60807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60807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8076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Supplemental cash flow information: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 -----------------------------------</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At June 30, 2006 and 2005, the Company had $3.5 million and $3.4 million, respectively, of cash pledged as collateral in connection with its interest rate swap agreement.</w:t>
      </w:r>
    </w:p>
    <w:p>
      <w:pPr>
        <w:spacing w:after="0" w:line="200"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strike w:val="1"/>
        </w:rPr>
        <w:t>The accompanying notes are an integral part of these condensed consolidated financial statements.</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155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15565" cy="8255"/>
                    </a:xfrm>
                    <a:prstGeom prst="rect">
                      <a:avLst/>
                    </a:prstGeom>
                    <a:noFill/>
                  </pic:spPr>
                </pic:pic>
              </a:graphicData>
            </a:graphic>
          </wp:anchor>
        </w:drawing>
      </w:r>
    </w:p>
    <w:p>
      <w:pPr>
        <w:sectPr>
          <w:pgSz w:w="11900" w:h="16838" w:orient="portrait"/>
          <w:cols w:equalWidth="0" w:num="1">
            <w:col w:w="10219"/>
          </w:cols>
          <w:pgMar w:left="240" w:top="1105" w:right="1440" w:bottom="0" w:gutter="0" w:footer="0" w:header="0"/>
        </w:sectPr>
      </w:pPr>
    </w:p>
    <w:bookmarkStart w:id="5" w:name="page6"/>
    <w:bookmarkEnd w:id="5"/>
    <w:p>
      <w:pPr>
        <w:jc w:val="center"/>
        <w:ind w:right="1879"/>
        <w:spacing w:after="0"/>
        <w:rPr>
          <w:sz w:val="20"/>
          <w:szCs w:val="20"/>
          <w:color w:val="auto"/>
        </w:rPr>
      </w:pPr>
      <w:r>
        <w:rPr>
          <w:rFonts w:ascii="Courier New" w:cs="Courier New" w:eastAsia="Courier New" w:hAnsi="Courier New"/>
          <w:sz w:val="17"/>
          <w:szCs w:val="17"/>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988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988435" cy="8255"/>
                    </a:xfrm>
                    <a:prstGeom prst="rect">
                      <a:avLst/>
                    </a:prstGeom>
                    <a:noFill/>
                  </pic:spPr>
                </pic:pic>
              </a:graphicData>
            </a:graphic>
          </wp:anchor>
        </w:drawing>
      </w:r>
    </w:p>
    <w:p>
      <w:pPr>
        <w:jc w:val="center"/>
        <w:ind w:right="1979"/>
        <w:spacing w:after="0"/>
        <w:rPr>
          <w:sz w:val="20"/>
          <w:szCs w:val="20"/>
          <w:color w:val="auto"/>
        </w:rPr>
      </w:pPr>
      <w:r>
        <w:rPr>
          <w:rFonts w:ascii="Courier New" w:cs="Courier New" w:eastAsia="Courier New" w:hAnsi="Courier New"/>
          <w:sz w:val="17"/>
          <w:szCs w:val="17"/>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46418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641850" cy="8255"/>
                    </a:xfrm>
                    <a:prstGeom prst="rect">
                      <a:avLst/>
                    </a:prstGeom>
                    <a:noFill/>
                  </pic:spPr>
                </pic:pic>
              </a:graphicData>
            </a:graphic>
          </wp:anchor>
        </w:drawing>
      </w:r>
    </w:p>
    <w:p>
      <w:pPr>
        <w:spacing w:after="0" w:line="183" w:lineRule="exact"/>
        <w:rPr>
          <w:sz w:val="20"/>
          <w:szCs w:val="20"/>
          <w:color w:val="auto"/>
        </w:rPr>
      </w:pPr>
    </w:p>
    <w:p>
      <w:pPr>
        <w:ind w:right="7739" w:firstLine="6"/>
        <w:spacing w:after="0" w:line="493" w:lineRule="auto"/>
        <w:tabs>
          <w:tab w:leader="none" w:pos="309" w:val="left"/>
        </w:tabs>
        <w:numPr>
          <w:ilvl w:val="0"/>
          <w:numId w:val="3"/>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BASIS OF PRESENTATION General</w:t>
      </w:r>
    </w:p>
    <w:p>
      <w:pPr>
        <w:spacing w:after="0" w:line="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 the opinion of management, the June 30, 2006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2005 included in the Company's Annual Report on Form 10-K. The December 31, 2005 condensed consolidated balance sheet was derived from audited financial statements but does not include all disclosures required by accounting principles generally accepted in the United States. Operating results for the six-month period ended June 30, 2006 are not necessarily indicative of the results to be expected for the entire year.</w:t>
      </w:r>
    </w:p>
    <w:p>
      <w:pPr>
        <w:spacing w:after="0" w:line="207"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estimates of future cash flows associated with long-lived asset valuations, depreciation and amortization periods for long-lived assets, fair value estimates of stock-based compensation awards, valuation allowances recorded against deferred tax assets, estimates of amounts to be paid to employees and other exit costs to be incurred in connection with the restructuring of our operations and loss contingencies. These estimates are based on historical experience and on various other assumptions that are believed to be reasonable under the current circumstances. Actual results could differ from these estimates.</w:t>
      </w:r>
    </w:p>
    <w:p>
      <w:pPr>
        <w:spacing w:after="0" w:line="207"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strike w:val="1"/>
        </w:rPr>
        <w:t>We revised our presentation of cost of product revenues in 2006 to include amortization of product technology-based intangible assets. Previously, this amortization was included in intangible asset amortization in the condensed consolidated statement of operations. We have revised prior period amounts to conform to the current year's presentation. This revision increased cost of product revenues by $379,000 and $758,000 for the three and six-month periods ended June 30, 2005, respectively.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Recently Adopted Accounting Standard</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The Company adopted Statement of Financial Accounting Standards No. 123(R) "Share-Based Payment" on January 1, 2006 using the modified prospective method which requires companies (1) to record the unvested portion of previously issued awards that remain outstanding at the initial date of adoption and (2) to record compensation expense for any awards issued, modified or settled after the effective date of the statement. As a result of the adoption of Statement 123(R), the Company began expensing stock options in the 2006 first quarter using the fair value method prescribed by Statement 123(R). Stock-based compensation cost is measured at the grant date based on the fair value of an award and is recognized on a straight-line basis as an expense over the requisite service period, which is the vesting period. Certain of these costs are capitalized into inventory and will be recognized as an expense when the related inventory is sold. The Company's income before income taxes and net income for the six months ended June 30, 2006 were $6.5 million and $4.4 million lower, respectively, than if it had continued to account for share-based compensation under APB No. 25.</w:t>
      </w:r>
    </w:p>
    <w:p>
      <w:pPr>
        <w:spacing w:after="0" w:line="207"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The Company recognizes stock-based compensation expense in the consolidated statement of operations based on the awards that are expected to vest. Accordingly, the Company's recognized stock-based compensation expense is net of the impact of estimated forfeitures. Statement 123(R) requires forfeitures to be estimated at the time of grant and revised, if necessary, in subsequent periods if actual forfeitures differ from those estimates. The Company estimates forfeitures based on historical experience.</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Statement 123(R) supercedes the Company's previous accounting under Accounting Principals Boards Opinion No. 25 "Accounting for Stock Issued to Employees" for periods subsequent to December 31, 2005. In March 2005, the Securities and</w:t>
      </w:r>
    </w:p>
    <w:p>
      <w:pPr>
        <w:sectPr>
          <w:pgSz w:w="11900" w:h="16838" w:orient="portrait"/>
          <w:cols w:equalWidth="0" w:num="1">
            <w:col w:w="10219"/>
          </w:cols>
          <w:pgMar w:left="240" w:top="1105" w:right="1440" w:bottom="0" w:gutter="0" w:footer="0" w:header="0"/>
        </w:sectPr>
      </w:pPr>
    </w:p>
    <w:bookmarkStart w:id="6" w:name="page7"/>
    <w:bookmarkEnd w:id="6"/>
    <w:p>
      <w:pPr>
        <w:ind w:right="2399"/>
        <w:spacing w:after="0" w:line="247" w:lineRule="auto"/>
        <w:rPr>
          <w:sz w:val="20"/>
          <w:szCs w:val="20"/>
          <w:color w:val="auto"/>
        </w:rPr>
      </w:pPr>
      <w:r>
        <w:rPr>
          <w:rFonts w:ascii="Courier New" w:cs="Courier New" w:eastAsia="Courier New" w:hAnsi="Courier New"/>
          <w:sz w:val="17"/>
          <w:szCs w:val="17"/>
          <w:color w:val="auto"/>
          <w:strike w:val="1"/>
        </w:rPr>
        <w:t>Exchange Commission issued Staff Accounting Bulletin No. 107, which provides interpretive guidance in applying the provisions of Statement 123(R). The</w:t>
      </w: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155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15565" cy="825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7" w:name="page8"/>
    <w:bookmarkEnd w:id="7"/>
    <w:p>
      <w:pPr>
        <w:ind w:right="2279"/>
        <w:spacing w:after="0" w:line="246" w:lineRule="auto"/>
        <w:rPr>
          <w:sz w:val="20"/>
          <w:szCs w:val="20"/>
          <w:color w:val="auto"/>
        </w:rPr>
      </w:pPr>
      <w:r>
        <w:rPr>
          <w:rFonts w:ascii="Courier New" w:cs="Courier New" w:eastAsia="Courier New" w:hAnsi="Courier New"/>
          <w:sz w:val="17"/>
          <w:szCs w:val="17"/>
          <w:color w:val="auto"/>
          <w:strike w:val="1"/>
        </w:rPr>
        <w:t>Company has applied the provisions of SAB 107 in its adoption of Statement 123(R). Had compensation cost for the Company's stock option plans been determined based on the fair value of the award at the grant date consistent with Statement 123, the Company's net income and basic and diluted net income per share for the three and six months ended June 30, 2005 would have been as follows (in thousands, except per share amounts):</w:t>
      </w:r>
    </w:p>
    <w:p>
      <w:pPr>
        <w:spacing w:after="0" w:line="399"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9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Three Months Ended</w:t>
            </w:r>
          </w:p>
        </w:tc>
        <w:tc>
          <w:tcPr>
            <w:tcW w:w="1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9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9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June 30, 2005</w:t>
            </w:r>
          </w:p>
        </w:tc>
        <w:tc>
          <w:tcPr>
            <w:tcW w:w="17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June 30, 2005</w:t>
            </w:r>
          </w:p>
        </w:tc>
      </w:tr>
      <w:tr>
        <w:trPr>
          <w:trHeight w:val="198"/>
        </w:trPr>
        <w:tc>
          <w:tcPr>
            <w:tcW w:w="9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9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480" w:type="dxa"/>
            <w:vAlign w:val="bottom"/>
            <w:gridSpan w:val="3"/>
          </w:tcPr>
          <w:p>
            <w:pPr>
              <w:spacing w:after="0"/>
              <w:rPr>
                <w:sz w:val="20"/>
                <w:szCs w:val="20"/>
                <w:color w:val="auto"/>
              </w:rPr>
            </w:pPr>
            <w:r>
              <w:rPr>
                <w:rFonts w:ascii="Courier New" w:cs="Courier New" w:eastAsia="Courier New" w:hAnsi="Courier New"/>
                <w:sz w:val="17"/>
                <w:szCs w:val="17"/>
                <w:color w:val="auto"/>
              </w:rPr>
              <w:t>Net income, as reported ...............................</w:t>
            </w: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$7,655</w:t>
            </w:r>
          </w:p>
        </w:tc>
        <w:tc>
          <w:tcPr>
            <w:tcW w:w="17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$16,098</w:t>
            </w:r>
          </w:p>
        </w:tc>
      </w:tr>
      <w:tr>
        <w:trPr>
          <w:trHeight w:val="198"/>
        </w:trPr>
        <w:tc>
          <w:tcPr>
            <w:tcW w:w="5340" w:type="dxa"/>
            <w:vAlign w:val="bottom"/>
            <w:gridSpan w:val="2"/>
          </w:tcPr>
          <w:p>
            <w:pPr>
              <w:spacing w:after="0"/>
              <w:rPr>
                <w:sz w:val="20"/>
                <w:szCs w:val="20"/>
                <w:color w:val="auto"/>
              </w:rPr>
            </w:pPr>
            <w:r>
              <w:rPr>
                <w:rFonts w:ascii="Courier New" w:cs="Courier New" w:eastAsia="Courier New" w:hAnsi="Courier New"/>
                <w:sz w:val="17"/>
                <w:szCs w:val="17"/>
                <w:color w:val="auto"/>
              </w:rPr>
              <w:t>Add back: Total stock-based employee compensation</w:t>
            </w: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4360" w:type="dxa"/>
            <w:vAlign w:val="bottom"/>
          </w:tcPr>
          <w:p>
            <w:pPr>
              <w:ind w:left="40"/>
              <w:spacing w:after="0"/>
              <w:rPr>
                <w:sz w:val="20"/>
                <w:szCs w:val="20"/>
                <w:color w:val="auto"/>
              </w:rPr>
            </w:pPr>
            <w:r>
              <w:rPr>
                <w:rFonts w:ascii="Courier New" w:cs="Courier New" w:eastAsia="Courier New" w:hAnsi="Courier New"/>
                <w:sz w:val="17"/>
                <w:szCs w:val="17"/>
                <w:color w:val="auto"/>
              </w:rPr>
              <w:t>expense determined under the intrinsic</w:t>
            </w: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4360" w:type="dxa"/>
            <w:vAlign w:val="bottom"/>
          </w:tcPr>
          <w:p>
            <w:pPr>
              <w:ind w:left="40"/>
              <w:spacing w:after="0"/>
              <w:rPr>
                <w:sz w:val="20"/>
                <w:szCs w:val="20"/>
                <w:color w:val="auto"/>
              </w:rPr>
            </w:pPr>
            <w:r>
              <w:rPr>
                <w:rFonts w:ascii="Courier New" w:cs="Courier New" w:eastAsia="Courier New" w:hAnsi="Courier New"/>
                <w:sz w:val="17"/>
                <w:szCs w:val="17"/>
                <w:color w:val="auto"/>
              </w:rPr>
              <w:t>value-based method for all awards, net</w:t>
            </w: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55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of related tax effects .....................</w:t>
            </w: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spacing w:after="0"/>
              <w:rPr>
                <w:sz w:val="17"/>
                <w:szCs w:val="17"/>
                <w:color w:val="auto"/>
              </w:rPr>
            </w:pP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198"/>
        </w:trPr>
        <w:tc>
          <w:tcPr>
            <w:tcW w:w="980" w:type="dxa"/>
            <w:vAlign w:val="bottom"/>
          </w:tcPr>
          <w:p>
            <w:pPr>
              <w:spacing w:after="0"/>
              <w:rPr>
                <w:sz w:val="20"/>
                <w:szCs w:val="20"/>
                <w:color w:val="auto"/>
              </w:rPr>
            </w:pPr>
            <w:r>
              <w:rPr>
                <w:rFonts w:ascii="Courier New" w:cs="Courier New" w:eastAsia="Courier New" w:hAnsi="Courier New"/>
                <w:sz w:val="17"/>
                <w:szCs w:val="17"/>
                <w:color w:val="auto"/>
              </w:rPr>
              <w:t>Less:</w:t>
            </w:r>
          </w:p>
        </w:tc>
        <w:tc>
          <w:tcPr>
            <w:tcW w:w="4360" w:type="dxa"/>
            <w:vAlign w:val="bottom"/>
          </w:tcPr>
          <w:p>
            <w:pPr>
              <w:ind w:left="40"/>
              <w:spacing w:after="0"/>
              <w:rPr>
                <w:sz w:val="20"/>
                <w:szCs w:val="20"/>
                <w:color w:val="auto"/>
              </w:rPr>
            </w:pPr>
            <w:r>
              <w:rPr>
                <w:rFonts w:ascii="Courier New" w:cs="Courier New" w:eastAsia="Courier New" w:hAnsi="Courier New"/>
                <w:sz w:val="17"/>
                <w:szCs w:val="17"/>
                <w:color w:val="auto"/>
              </w:rPr>
              <w:t>Total stock-based employee compensation</w:t>
            </w: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4360" w:type="dxa"/>
            <w:vAlign w:val="bottom"/>
          </w:tcPr>
          <w:p>
            <w:pPr>
              <w:ind w:left="40"/>
              <w:spacing w:after="0"/>
              <w:rPr>
                <w:sz w:val="20"/>
                <w:szCs w:val="20"/>
                <w:color w:val="auto"/>
              </w:rPr>
            </w:pPr>
            <w:r>
              <w:rPr>
                <w:rFonts w:ascii="Courier New" w:cs="Courier New" w:eastAsia="Courier New" w:hAnsi="Courier New"/>
                <w:sz w:val="17"/>
                <w:szCs w:val="17"/>
                <w:color w:val="auto"/>
              </w:rPr>
              <w:t>expense determined under the fair</w:t>
            </w: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4360" w:type="dxa"/>
            <w:vAlign w:val="bottom"/>
          </w:tcPr>
          <w:p>
            <w:pPr>
              <w:ind w:left="40"/>
              <w:spacing w:after="0"/>
              <w:rPr>
                <w:sz w:val="20"/>
                <w:szCs w:val="20"/>
                <w:color w:val="auto"/>
              </w:rPr>
            </w:pPr>
            <w:r>
              <w:rPr>
                <w:rFonts w:ascii="Courier New" w:cs="Courier New" w:eastAsia="Courier New" w:hAnsi="Courier New"/>
                <w:sz w:val="17"/>
                <w:szCs w:val="17"/>
                <w:color w:val="auto"/>
              </w:rPr>
              <w:t>value-based method for all awards, net</w:t>
            </w: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55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of related tax effects .....................</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(1,733)</w:t>
            </w:r>
          </w:p>
        </w:tc>
        <w:tc>
          <w:tcPr>
            <w:tcW w:w="720" w:type="dxa"/>
            <w:vAlign w:val="bottom"/>
          </w:tcPr>
          <w:p>
            <w:pPr>
              <w:spacing w:after="0"/>
              <w:rPr>
                <w:sz w:val="17"/>
                <w:szCs w:val="17"/>
                <w:color w:val="auto"/>
              </w:rPr>
            </w:pP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(3,463)</w:t>
            </w:r>
          </w:p>
        </w:tc>
      </w:tr>
      <w:tr>
        <w:trPr>
          <w:trHeight w:val="198"/>
        </w:trPr>
        <w:tc>
          <w:tcPr>
            <w:tcW w:w="9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960" w:type="dxa"/>
            <w:vAlign w:val="bottom"/>
            <w:gridSpan w:val="2"/>
          </w:tcPr>
          <w:p>
            <w:pPr>
              <w:ind w:left="104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w:t>
            </w:r>
          </w:p>
        </w:tc>
      </w:tr>
      <w:tr>
        <w:trPr>
          <w:trHeight w:val="198"/>
        </w:trPr>
        <w:tc>
          <w:tcPr>
            <w:tcW w:w="534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6"/>
              </w:rPr>
              <w:t>Pro forma .........................................</w:t>
            </w:r>
          </w:p>
        </w:tc>
        <w:tc>
          <w:tcPr>
            <w:tcW w:w="1140" w:type="dxa"/>
            <w:vAlign w:val="bottom"/>
          </w:tcPr>
          <w:p>
            <w:pPr>
              <w:ind w:left="94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5,922</w:t>
            </w:r>
          </w:p>
        </w:tc>
        <w:tc>
          <w:tcPr>
            <w:tcW w:w="17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$12,635</w:t>
            </w:r>
          </w:p>
        </w:tc>
      </w:tr>
      <w:tr>
        <w:trPr>
          <w:trHeight w:val="396"/>
        </w:trPr>
        <w:tc>
          <w:tcPr>
            <w:tcW w:w="5340" w:type="dxa"/>
            <w:vAlign w:val="bottom"/>
            <w:gridSpan w:val="2"/>
          </w:tcPr>
          <w:p>
            <w:pPr>
              <w:spacing w:after="0"/>
              <w:rPr>
                <w:sz w:val="20"/>
                <w:szCs w:val="20"/>
                <w:color w:val="auto"/>
              </w:rPr>
            </w:pPr>
            <w:r>
              <w:rPr>
                <w:rFonts w:ascii="Courier New" w:cs="Courier New" w:eastAsia="Courier New" w:hAnsi="Courier New"/>
                <w:sz w:val="17"/>
                <w:szCs w:val="17"/>
                <w:color w:val="auto"/>
              </w:rPr>
              <w:t>Net income per share:</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8"/>
        </w:trPr>
        <w:tc>
          <w:tcPr>
            <w:tcW w:w="980" w:type="dxa"/>
            <w:vAlign w:val="bottom"/>
          </w:tcPr>
          <w:p>
            <w:pPr>
              <w:ind w:left="300"/>
              <w:spacing w:after="0"/>
              <w:rPr>
                <w:sz w:val="20"/>
                <w:szCs w:val="20"/>
                <w:color w:val="auto"/>
              </w:rPr>
            </w:pPr>
            <w:r>
              <w:rPr>
                <w:rFonts w:ascii="Courier New" w:cs="Courier New" w:eastAsia="Courier New" w:hAnsi="Courier New"/>
                <w:sz w:val="17"/>
                <w:szCs w:val="17"/>
                <w:color w:val="auto"/>
              </w:rPr>
              <w:t>Basic:</w:t>
            </w:r>
          </w:p>
        </w:tc>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534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6"/>
              </w:rPr>
              <w:t>As reported .......................................</w:t>
            </w:r>
          </w:p>
        </w:tc>
        <w:tc>
          <w:tcPr>
            <w:tcW w:w="1140" w:type="dxa"/>
            <w:vAlign w:val="bottom"/>
          </w:tcPr>
          <w:p>
            <w:pPr>
              <w:ind w:left="104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0.25</w:t>
            </w:r>
          </w:p>
        </w:tc>
        <w:tc>
          <w:tcPr>
            <w:tcW w:w="720" w:type="dxa"/>
            <w:vAlign w:val="bottom"/>
          </w:tcPr>
          <w:p>
            <w:pPr>
              <w:ind w:left="62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0.53</w:t>
            </w:r>
          </w:p>
        </w:tc>
      </w:tr>
      <w:tr>
        <w:trPr>
          <w:trHeight w:val="198"/>
        </w:trPr>
        <w:tc>
          <w:tcPr>
            <w:tcW w:w="534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6"/>
              </w:rPr>
              <w:t>Pro forma .........................................</w:t>
            </w:r>
          </w:p>
        </w:tc>
        <w:tc>
          <w:tcPr>
            <w:tcW w:w="1140" w:type="dxa"/>
            <w:vAlign w:val="bottom"/>
          </w:tcPr>
          <w:p>
            <w:pPr>
              <w:ind w:left="104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0.19</w:t>
            </w:r>
          </w:p>
        </w:tc>
        <w:tc>
          <w:tcPr>
            <w:tcW w:w="720" w:type="dxa"/>
            <w:vAlign w:val="bottom"/>
          </w:tcPr>
          <w:p>
            <w:pPr>
              <w:ind w:left="62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0.41</w:t>
            </w:r>
          </w:p>
        </w:tc>
      </w:tr>
      <w:tr>
        <w:trPr>
          <w:trHeight w:val="396"/>
        </w:trPr>
        <w:tc>
          <w:tcPr>
            <w:tcW w:w="53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Diluted:</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8"/>
        </w:trPr>
        <w:tc>
          <w:tcPr>
            <w:tcW w:w="534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6"/>
              </w:rPr>
              <w:t>As reported .......................................</w:t>
            </w:r>
          </w:p>
        </w:tc>
        <w:tc>
          <w:tcPr>
            <w:tcW w:w="1140" w:type="dxa"/>
            <w:vAlign w:val="bottom"/>
          </w:tcPr>
          <w:p>
            <w:pPr>
              <w:ind w:left="104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0.23</w:t>
            </w:r>
          </w:p>
        </w:tc>
        <w:tc>
          <w:tcPr>
            <w:tcW w:w="720" w:type="dxa"/>
            <w:vAlign w:val="bottom"/>
          </w:tcPr>
          <w:p>
            <w:pPr>
              <w:ind w:left="62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0.49</w:t>
            </w:r>
          </w:p>
        </w:tc>
      </w:tr>
      <w:tr>
        <w:trPr>
          <w:trHeight w:val="198"/>
        </w:trPr>
        <w:tc>
          <w:tcPr>
            <w:tcW w:w="534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6"/>
              </w:rPr>
              <w:t>Pro forma .........................................</w:t>
            </w:r>
          </w:p>
        </w:tc>
        <w:tc>
          <w:tcPr>
            <w:tcW w:w="1140" w:type="dxa"/>
            <w:vAlign w:val="bottom"/>
          </w:tcPr>
          <w:p>
            <w:pPr>
              <w:ind w:left="104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0.19</w:t>
            </w:r>
          </w:p>
        </w:tc>
        <w:tc>
          <w:tcPr>
            <w:tcW w:w="720" w:type="dxa"/>
            <w:vAlign w:val="bottom"/>
          </w:tcPr>
          <w:p>
            <w:pPr>
              <w:ind w:left="62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-2955925</wp:posOffset>
            </wp:positionV>
            <wp:extent cx="63423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423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-2830195</wp:posOffset>
            </wp:positionV>
            <wp:extent cx="62115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-2704465</wp:posOffset>
            </wp:positionV>
            <wp:extent cx="63423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423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-2578735</wp:posOffset>
            </wp:positionV>
            <wp:extent cx="52304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-2453005</wp:posOffset>
            </wp:positionV>
            <wp:extent cx="60807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-2327275</wp:posOffset>
            </wp:positionV>
            <wp:extent cx="37922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7922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-2201545</wp:posOffset>
            </wp:positionV>
            <wp:extent cx="37268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7268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-2075815</wp:posOffset>
            </wp:positionV>
            <wp:extent cx="37268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268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-1950085</wp:posOffset>
            </wp:positionV>
            <wp:extent cx="60807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-1824990</wp:posOffset>
            </wp:positionV>
            <wp:extent cx="37922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7922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-1699260</wp:posOffset>
            </wp:positionV>
            <wp:extent cx="33997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997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-1573530</wp:posOffset>
            </wp:positionV>
            <wp:extent cx="37268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268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-1447800</wp:posOffset>
            </wp:positionV>
            <wp:extent cx="61461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-1322070</wp:posOffset>
            </wp:positionV>
            <wp:extent cx="61461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60807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19615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615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11766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766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60807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60807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13074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074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60807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60807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80760" cy="8255"/>
                    </a:xfrm>
                    <a:prstGeom prst="rect">
                      <a:avLst/>
                    </a:prstGeom>
                    <a:noFill/>
                  </pic:spPr>
                </pic:pic>
              </a:graphicData>
            </a:graphic>
          </wp:anchor>
        </w:drawing>
      </w:r>
    </w:p>
    <w:p>
      <w:pPr>
        <w:spacing w:after="0" w:line="381"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strike w:val="1"/>
        </w:rPr>
        <w:t>Statement 123(R) did not change the accounting for stock-based awards granted to non-employees.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Recently Issued Accounting Standards and Other Matters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 July 2006, the FASB issued FASB Interpretation 48, "Accounting for Uncertainty in Income Taxes - An Interpretation of FASB Statement No. 109" (FIN 48). FIN 48 clarifies the accounting for uncertainty in income taxes recognition in a company's financial statements in accordance with FASB Statement No. 109, Accounting for Income Taxes, by defining the criterion that an individual tax position must meet in order to be recognized in the financial statements. FIN 48 requires that the tax effects of a position be recognized only if it is "more-likely-than-not" to be sustained based solely on the technical merits as of the reporting date. FIN 48 further requires that interest that the tax law requires to be paid on the underpayment of taxes should be accrued on the difference between the amount claimed or expected to be claimed on the return and the tax benefit recognized in the financial statements. FIN 48 also requires additional disclosures of unrecognized tax benefits, including a reconciliation of the beginning and ending balance. The provisions of FIN 48 are effective January 1, 2007. The Company is currently assessing the impact that the adoption of FIN 48 will have on its results of operations and financial position.</w:t>
      </w:r>
    </w:p>
    <w:p>
      <w:pPr>
        <w:spacing w:after="0" w:line="207" w:lineRule="exact"/>
        <w:rPr>
          <w:sz w:val="20"/>
          <w:szCs w:val="20"/>
          <w:color w:val="auto"/>
        </w:rPr>
      </w:pPr>
    </w:p>
    <w:p>
      <w:pPr>
        <w:ind w:right="7639" w:firstLine="109"/>
        <w:spacing w:after="0" w:line="493" w:lineRule="auto"/>
        <w:tabs>
          <w:tab w:leader="none" w:pos="4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xml:space="preserve">BUSINESS ACQUISITIONS </w:t>
      </w:r>
      <w:r>
        <w:rPr>
          <w:rFonts w:ascii="Courier New" w:cs="Courier New" w:eastAsia="Courier New" w:hAnsi="Courier New"/>
          <w:sz w:val="17"/>
          <w:szCs w:val="17"/>
          <w:color w:val="auto"/>
          <w:strike w:val="1"/>
        </w:rPr>
        <w:t>Radionics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-444500</wp:posOffset>
            </wp:positionV>
            <wp:extent cx="16344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34490" cy="8255"/>
                    </a:xfrm>
                    <a:prstGeom prst="rect">
                      <a:avLst/>
                    </a:prstGeom>
                    <a:noFill/>
                  </pic:spPr>
                </pic:pic>
              </a:graphicData>
            </a:graphic>
          </wp:anchor>
        </w:drawing>
      </w:r>
    </w:p>
    <w:p>
      <w:pPr>
        <w:ind w:right="1979"/>
        <w:spacing w:after="0" w:line="246" w:lineRule="auto"/>
        <w:rPr>
          <w:sz w:val="20"/>
          <w:szCs w:val="20"/>
          <w:color w:val="auto"/>
        </w:rPr>
      </w:pPr>
      <w:r>
        <w:rPr>
          <w:rFonts w:ascii="Courier New" w:cs="Courier New" w:eastAsia="Courier New" w:hAnsi="Courier New"/>
          <w:sz w:val="17"/>
          <w:szCs w:val="17"/>
          <w:color w:val="auto"/>
          <w:strike w:val="1"/>
        </w:rPr>
        <w:t>On March 3, 2006, the Company acquired the assets of the Radionics Division of Tyco Healthcare Group, L.P. for approximately $74.5 million in cash paid at closing, subject to certain adjustments, and $2.7 million of acquisition-related expenses in a transaction treated as a business combination. Radionics, based in Burlington, Massachusetts, is a leader in the design, manufacture and sale of advanced minimally invasive medical instruments in the fields of neurosurgery and radiation therapy. Radionics' products include the CUSA EXcel(R) ultrasonic surgical aspiration system, the CRW(R) stereotactic system, the XKnife(R) stereotactic radiosurgery system, and the OmniSight(R) EXcel image-guided surgery system.</w:t>
      </w:r>
    </w:p>
    <w:p>
      <w:pPr>
        <w:spacing w:after="0" w:line="200" w:lineRule="exact"/>
        <w:rPr>
          <w:sz w:val="20"/>
          <w:szCs w:val="20"/>
          <w:color w:val="auto"/>
        </w:r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155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15565" cy="8255"/>
                    </a:xfrm>
                    <a:prstGeom prst="rect">
                      <a:avLst/>
                    </a:prstGeom>
                    <a:noFill/>
                  </pic:spPr>
                </pic:pic>
              </a:graphicData>
            </a:graphic>
          </wp:anchor>
        </w:drawing>
      </w:r>
    </w:p>
    <w:p>
      <w:pPr>
        <w:sectPr>
          <w:pgSz w:w="11900" w:h="16838" w:orient="portrait"/>
          <w:cols w:equalWidth="0" w:num="1">
            <w:col w:w="10219"/>
          </w:cols>
          <w:pgMar w:left="240" w:top="709" w:right="1440" w:bottom="1117" w:gutter="0" w:footer="0" w:header="0"/>
        </w:sectPr>
      </w:pPr>
    </w:p>
    <w:bookmarkStart w:id="8" w:name="page9"/>
    <w:bookmarkEnd w:id="8"/>
    <w:p>
      <w:pPr>
        <w:ind w:right="1979"/>
        <w:spacing w:after="0" w:line="247" w:lineRule="auto"/>
        <w:rPr>
          <w:sz w:val="20"/>
          <w:szCs w:val="20"/>
          <w:color w:val="auto"/>
        </w:rPr>
      </w:pPr>
      <w:r>
        <w:rPr>
          <w:rFonts w:ascii="Courier New" w:cs="Courier New" w:eastAsia="Courier New" w:hAnsi="Courier New"/>
          <w:sz w:val="17"/>
          <w:szCs w:val="17"/>
          <w:color w:val="auto"/>
          <w:strike w:val="1"/>
        </w:rPr>
        <w:t>The following summarizes the allocation of the Radionics purchase price based on the fair value of the assets acquired and liabilities assumed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33997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99790" cy="825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Inventory ............................</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$ 8,201</w:t>
            </w:r>
          </w:p>
        </w:tc>
        <w:tc>
          <w:tcPr>
            <w:tcW w:w="1660" w:type="dxa"/>
            <w:vAlign w:val="bottom"/>
          </w:tcPr>
          <w:p>
            <w:pPr>
              <w:spacing w:after="0"/>
              <w:rPr>
                <w:sz w:val="16"/>
                <w:szCs w:val="16"/>
                <w:color w:val="auto"/>
              </w:rPr>
            </w:pPr>
          </w:p>
        </w:tc>
      </w:tr>
      <w:tr>
        <w:trPr>
          <w:trHeight w:val="198"/>
        </w:trPr>
        <w:tc>
          <w:tcPr>
            <w:tcW w:w="43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Property, plant and equipment ........</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1,365</w:t>
            </w:r>
          </w:p>
        </w:tc>
        <w:tc>
          <w:tcPr>
            <w:tcW w:w="1660" w:type="dxa"/>
            <w:vAlign w:val="bottom"/>
          </w:tcPr>
          <w:p>
            <w:pPr>
              <w:jc w:val="center"/>
              <w:ind w:left="134"/>
              <w:spacing w:after="0"/>
              <w:rPr>
                <w:sz w:val="20"/>
                <w:szCs w:val="20"/>
                <w:color w:val="auto"/>
              </w:rPr>
            </w:pPr>
            <w:r>
              <w:rPr>
                <w:rFonts w:ascii="Courier New" w:cs="Courier New" w:eastAsia="Courier New" w:hAnsi="Courier New"/>
                <w:sz w:val="17"/>
                <w:szCs w:val="17"/>
                <w:color w:val="auto"/>
              </w:rPr>
              <w:t>Wtd. Avg. Life</w:t>
            </w:r>
          </w:p>
        </w:tc>
      </w:tr>
      <w:tr>
        <w:trPr>
          <w:trHeight w:val="198"/>
        </w:trPr>
        <w:tc>
          <w:tcPr>
            <w:tcW w:w="4320" w:type="dxa"/>
            <w:vAlign w:val="bottom"/>
          </w:tcPr>
          <w:p>
            <w:pPr>
              <w:spacing w:after="0"/>
              <w:rPr>
                <w:sz w:val="20"/>
                <w:szCs w:val="20"/>
                <w:color w:val="auto"/>
              </w:rPr>
            </w:pPr>
            <w:r>
              <w:rPr>
                <w:rFonts w:ascii="Courier New" w:cs="Courier New" w:eastAsia="Courier New" w:hAnsi="Courier New"/>
                <w:sz w:val="17"/>
                <w:szCs w:val="17"/>
                <w:color w:val="auto"/>
              </w:rPr>
              <w:t>Intangible assets:</w:t>
            </w:r>
          </w:p>
        </w:tc>
        <w:tc>
          <w:tcPr>
            <w:tcW w:w="1340" w:type="dxa"/>
            <w:vAlign w:val="bottom"/>
          </w:tcPr>
          <w:p>
            <w:pPr>
              <w:spacing w:after="0"/>
              <w:rPr>
                <w:sz w:val="17"/>
                <w:szCs w:val="17"/>
                <w:color w:val="auto"/>
              </w:rPr>
            </w:pPr>
          </w:p>
        </w:tc>
        <w:tc>
          <w:tcPr>
            <w:tcW w:w="1660" w:type="dxa"/>
            <w:vAlign w:val="bottom"/>
          </w:tcPr>
          <w:p>
            <w:pPr>
              <w:jc w:val="center"/>
              <w:ind w:lef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3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Tradename .........................</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18,100</w:t>
            </w:r>
          </w:p>
        </w:tc>
        <w:tc>
          <w:tcPr>
            <w:tcW w:w="1660" w:type="dxa"/>
            <w:vAlign w:val="bottom"/>
          </w:tcPr>
          <w:p>
            <w:pPr>
              <w:ind w:left="520"/>
              <w:spacing w:after="0"/>
              <w:rPr>
                <w:sz w:val="20"/>
                <w:szCs w:val="20"/>
                <w:color w:val="auto"/>
              </w:rPr>
            </w:pPr>
            <w:r>
              <w:rPr>
                <w:rFonts w:ascii="Courier New" w:cs="Courier New" w:eastAsia="Courier New" w:hAnsi="Courier New"/>
                <w:sz w:val="17"/>
                <w:szCs w:val="17"/>
                <w:color w:val="auto"/>
              </w:rPr>
              <w:t>Indefinite</w:t>
            </w:r>
          </w:p>
        </w:tc>
      </w:tr>
      <w:tr>
        <w:trPr>
          <w:trHeight w:val="198"/>
        </w:trPr>
        <w:tc>
          <w:tcPr>
            <w:tcW w:w="43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Customer relationships ............</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20,900</w:t>
            </w:r>
          </w:p>
        </w:tc>
        <w:tc>
          <w:tcPr>
            <w:tcW w:w="1660" w:type="dxa"/>
            <w:vAlign w:val="bottom"/>
          </w:tcPr>
          <w:p>
            <w:pPr>
              <w:ind w:left="620"/>
              <w:spacing w:after="0"/>
              <w:rPr>
                <w:sz w:val="20"/>
                <w:szCs w:val="20"/>
                <w:color w:val="auto"/>
              </w:rPr>
            </w:pPr>
            <w:r>
              <w:rPr>
                <w:rFonts w:ascii="Courier New" w:cs="Courier New" w:eastAsia="Courier New" w:hAnsi="Courier New"/>
                <w:sz w:val="17"/>
                <w:szCs w:val="17"/>
                <w:color w:val="auto"/>
              </w:rPr>
              <w:t>7 years</w:t>
            </w:r>
          </w:p>
        </w:tc>
      </w:tr>
      <w:tr>
        <w:trPr>
          <w:trHeight w:val="198"/>
        </w:trPr>
        <w:tc>
          <w:tcPr>
            <w:tcW w:w="43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Technology ........................</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10,000</w:t>
            </w:r>
          </w:p>
        </w:tc>
        <w:tc>
          <w:tcPr>
            <w:tcW w:w="1660" w:type="dxa"/>
            <w:vAlign w:val="bottom"/>
          </w:tcPr>
          <w:p>
            <w:pPr>
              <w:jc w:val="center"/>
              <w:ind w:left="114"/>
              <w:spacing w:after="0"/>
              <w:rPr>
                <w:sz w:val="20"/>
                <w:szCs w:val="20"/>
                <w:color w:val="auto"/>
              </w:rPr>
            </w:pPr>
            <w:r>
              <w:rPr>
                <w:rFonts w:ascii="Courier New" w:cs="Courier New" w:eastAsia="Courier New" w:hAnsi="Courier New"/>
                <w:sz w:val="17"/>
                <w:szCs w:val="17"/>
                <w:color w:val="auto"/>
              </w:rPr>
              <w:t>10 years</w:t>
            </w:r>
          </w:p>
        </w:tc>
      </w:tr>
      <w:tr>
        <w:trPr>
          <w:trHeight w:val="198"/>
        </w:trPr>
        <w:tc>
          <w:tcPr>
            <w:tcW w:w="43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Goodwill .............................</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20,604</w:t>
            </w:r>
          </w:p>
        </w:tc>
        <w:tc>
          <w:tcPr>
            <w:tcW w:w="1660" w:type="dxa"/>
            <w:vAlign w:val="bottom"/>
          </w:tcPr>
          <w:p>
            <w:pPr>
              <w:spacing w:after="0"/>
              <w:rPr>
                <w:sz w:val="17"/>
                <w:szCs w:val="17"/>
                <w:color w:val="auto"/>
              </w:rPr>
            </w:pPr>
          </w:p>
        </w:tc>
      </w:tr>
      <w:tr>
        <w:trPr>
          <w:trHeight w:val="198"/>
        </w:trPr>
        <w:tc>
          <w:tcPr>
            <w:tcW w:w="43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Other assets .........................</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72</w:t>
            </w:r>
          </w:p>
        </w:tc>
        <w:tc>
          <w:tcPr>
            <w:tcW w:w="1660" w:type="dxa"/>
            <w:vAlign w:val="bottom"/>
          </w:tcPr>
          <w:p>
            <w:pPr>
              <w:spacing w:after="0"/>
              <w:rPr>
                <w:sz w:val="17"/>
                <w:szCs w:val="17"/>
                <w:color w:val="auto"/>
              </w:rPr>
            </w:pPr>
          </w:p>
        </w:tc>
      </w:tr>
      <w:tr>
        <w:trPr>
          <w:trHeight w:val="198"/>
        </w:trPr>
        <w:tc>
          <w:tcPr>
            <w:tcW w:w="432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spacing w:after="0"/>
              <w:rPr>
                <w:sz w:val="17"/>
                <w:szCs w:val="17"/>
                <w:color w:val="auto"/>
              </w:rPr>
            </w:pPr>
          </w:p>
        </w:tc>
      </w:tr>
      <w:tr>
        <w:trPr>
          <w:trHeight w:val="198"/>
        </w:trPr>
        <w:tc>
          <w:tcPr>
            <w:tcW w:w="43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Total assets acquired .............</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79,242</w:t>
            </w:r>
          </w:p>
        </w:tc>
        <w:tc>
          <w:tcPr>
            <w:tcW w:w="1660" w:type="dxa"/>
            <w:vAlign w:val="bottom"/>
          </w:tcPr>
          <w:p>
            <w:pPr>
              <w:spacing w:after="0"/>
              <w:rPr>
                <w:sz w:val="17"/>
                <w:szCs w:val="17"/>
                <w:color w:val="auto"/>
              </w:rPr>
            </w:pPr>
          </w:p>
        </w:tc>
      </w:tr>
      <w:tr>
        <w:trPr>
          <w:trHeight w:val="396"/>
        </w:trPr>
        <w:tc>
          <w:tcPr>
            <w:tcW w:w="4320" w:type="dxa"/>
            <w:vAlign w:val="bottom"/>
          </w:tcPr>
          <w:p>
            <w:pPr>
              <w:spacing w:after="0"/>
              <w:rPr>
                <w:sz w:val="20"/>
                <w:szCs w:val="20"/>
                <w:color w:val="auto"/>
              </w:rPr>
            </w:pPr>
            <w:r>
              <w:rPr>
                <w:rFonts w:ascii="Courier New" w:cs="Courier New" w:eastAsia="Courier New" w:hAnsi="Courier New"/>
                <w:sz w:val="17"/>
                <w:szCs w:val="17"/>
                <w:color w:val="auto"/>
                <w:strike w:val="1"/>
              </w:rPr>
              <w:t>Accrued expenses and other current</w:t>
            </w: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8"/>
        </w:trPr>
        <w:tc>
          <w:tcPr>
            <w:tcW w:w="43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liabilities .......................</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425</w:t>
            </w:r>
          </w:p>
        </w:tc>
        <w:tc>
          <w:tcPr>
            <w:tcW w:w="1660" w:type="dxa"/>
            <w:vAlign w:val="bottom"/>
          </w:tcPr>
          <w:p>
            <w:pPr>
              <w:spacing w:after="0"/>
              <w:rPr>
                <w:sz w:val="17"/>
                <w:szCs w:val="17"/>
                <w:color w:val="auto"/>
              </w:rPr>
            </w:pPr>
          </w:p>
        </w:tc>
      </w:tr>
      <w:tr>
        <w:trPr>
          <w:trHeight w:val="198"/>
        </w:trPr>
        <w:tc>
          <w:tcPr>
            <w:tcW w:w="43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Deferred revenue .....................</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1,605</w:t>
            </w:r>
          </w:p>
        </w:tc>
        <w:tc>
          <w:tcPr>
            <w:tcW w:w="1660" w:type="dxa"/>
            <w:vAlign w:val="bottom"/>
          </w:tcPr>
          <w:p>
            <w:pPr>
              <w:spacing w:after="0"/>
              <w:rPr>
                <w:sz w:val="17"/>
                <w:szCs w:val="17"/>
                <w:color w:val="auto"/>
              </w:rPr>
            </w:pPr>
          </w:p>
        </w:tc>
      </w:tr>
      <w:tr>
        <w:trPr>
          <w:trHeight w:val="198"/>
        </w:trPr>
        <w:tc>
          <w:tcPr>
            <w:tcW w:w="43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Total liabilities assumed .........</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2,030</w:t>
            </w:r>
          </w:p>
        </w:tc>
        <w:tc>
          <w:tcPr>
            <w:tcW w:w="1660" w:type="dxa"/>
            <w:vAlign w:val="bottom"/>
          </w:tcPr>
          <w:p>
            <w:pPr>
              <w:spacing w:after="0"/>
              <w:rPr>
                <w:sz w:val="17"/>
                <w:szCs w:val="17"/>
                <w:color w:val="auto"/>
              </w:rPr>
            </w:pPr>
          </w:p>
        </w:tc>
      </w:tr>
      <w:tr>
        <w:trPr>
          <w:trHeight w:val="198"/>
        </w:trPr>
        <w:tc>
          <w:tcPr>
            <w:tcW w:w="432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spacing w:after="0"/>
              <w:rPr>
                <w:sz w:val="17"/>
                <w:szCs w:val="17"/>
                <w:color w:val="auto"/>
              </w:rPr>
            </w:pPr>
          </w:p>
        </w:tc>
      </w:tr>
      <w:tr>
        <w:trPr>
          <w:trHeight w:val="198"/>
        </w:trPr>
        <w:tc>
          <w:tcPr>
            <w:tcW w:w="43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Net assets acquired ..................</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$77,212</w:t>
            </w:r>
          </w:p>
        </w:tc>
        <w:tc>
          <w:tcPr>
            <w:tcW w:w="1660" w:type="dxa"/>
            <w:vAlign w:val="bottom"/>
          </w:tcPr>
          <w:p>
            <w:pPr>
              <w:spacing w:after="0"/>
              <w:rPr>
                <w:sz w:val="17"/>
                <w:szCs w:val="17"/>
                <w:color w:val="auto"/>
              </w:rPr>
            </w:pPr>
          </w:p>
        </w:tc>
      </w:tr>
      <w:tr>
        <w:trPr>
          <w:trHeight w:val="198"/>
        </w:trPr>
        <w:tc>
          <w:tcPr>
            <w:tcW w:w="432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-2201545</wp:posOffset>
            </wp:positionV>
            <wp:extent cx="34651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-2075815</wp:posOffset>
            </wp:positionV>
            <wp:extent cx="46418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6418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-1950085</wp:posOffset>
            </wp:positionV>
            <wp:extent cx="46418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6418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-1824990</wp:posOffset>
            </wp:positionV>
            <wp:extent cx="45764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764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-1699260</wp:posOffset>
            </wp:positionV>
            <wp:extent cx="44462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4462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-1573530</wp:posOffset>
            </wp:positionV>
            <wp:extent cx="44462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4462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-1447800</wp:posOffset>
            </wp:positionV>
            <wp:extent cx="34651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-1322070</wp:posOffset>
            </wp:positionV>
            <wp:extent cx="34651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34651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34651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34651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34651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34651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34651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34651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34651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65195" cy="8255"/>
                    </a:xfrm>
                    <a:prstGeom prst="rect">
                      <a:avLst/>
                    </a:prstGeom>
                    <a:noFill/>
                  </pic:spPr>
                </pic:pic>
              </a:graphicData>
            </a:graphic>
          </wp:anchor>
        </w:drawing>
      </w:r>
    </w:p>
    <w:p>
      <w:pPr>
        <w:spacing w:after="0" w:line="18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The fair value of assets acquired was determined by management with the assistance of a third-party valuation firm. Certain adjustments were finalized in the second quarter of 2006 relating to the Radionics valuation, which primarily resulted in an increase to intangible assets and a reduction in goodwill of $4 million. The adjustment was related to the finalization of certain assumptions in the valuation of identifiable intangible assets. The goodwill recorded in connection with this acquisition is based on the benefits the Company expects to generate from the synergy between Radionics' ultrasonic aspirator product line and Integra's ultrasonic aspirator product lines. The goodwill acquired in the Radionics acquisition is expected to be deductible for tax purposes.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Miltex</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On May 12, 2006, the Company acquired all of the outstanding capital stock of Miltex Holdings, Inc. ("Miltex") for $102.7 million in cash paid at closing, subject to certain adjustments, and $0.2 million of transaction-related costs. Miltex, based in York, Pennsylvania, is a leading provider of surgical and dental hand instruments to alternate site facilities, which includes physician and dental offices and ambulatory surgery care sectors. Miltex sells products under the Miltex(R), Meisterhand(R), Vantage(R), Moyco(R), Union Broach(R), and Thompson(R) trade names in over 65 countries, using a network of independent distributors. Miltex operates a manufacturing and distribution facility in York, Pennsylvania and also operates a leased facility in Tuttlingen, Germany, where Miltex's staff coordinates design, production and delivery of instruments.</w:t>
      </w:r>
    </w:p>
    <w:p>
      <w:pPr>
        <w:spacing w:after="0" w:line="204"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strike w:val="1"/>
        </w:rPr>
        <w:t>The following summarizes the preliminary allocation of the purchase price based on the fair value of the assets acquired and liabilities assumed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308610</wp:posOffset>
            </wp:positionV>
            <wp:extent cx="33997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9979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tcPr>
          <w:p>
            <w:pPr>
              <w:jc w:val="right"/>
              <w:ind w:right="54"/>
              <w:spacing w:after="0"/>
              <w:rPr>
                <w:sz w:val="20"/>
                <w:szCs w:val="20"/>
                <w:color w:val="auto"/>
              </w:rPr>
            </w:pPr>
            <w:r>
              <w:rPr>
                <w:rFonts w:ascii="Courier New" w:cs="Courier New" w:eastAsia="Courier New" w:hAnsi="Courier New"/>
                <w:sz w:val="17"/>
                <w:szCs w:val="17"/>
                <w:color w:val="auto"/>
                <w:strike w:val="1"/>
              </w:rPr>
              <w:t>Inventory .................................</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strike w:val="1"/>
              </w:rPr>
              <w:t>$ 17,135</w:t>
            </w:r>
          </w:p>
        </w:tc>
        <w:tc>
          <w:tcPr>
            <w:tcW w:w="1700" w:type="dxa"/>
            <w:vAlign w:val="bottom"/>
          </w:tcPr>
          <w:p>
            <w:pPr>
              <w:spacing w:after="0"/>
              <w:rPr>
                <w:sz w:val="16"/>
                <w:szCs w:val="16"/>
                <w:color w:val="auto"/>
              </w:rPr>
            </w:pPr>
          </w:p>
        </w:tc>
      </w:tr>
      <w:tr>
        <w:trPr>
          <w:trHeight w:val="198"/>
        </w:trPr>
        <w:tc>
          <w:tcPr>
            <w:tcW w:w="45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Property, plant and equipment .............</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6,717</w:t>
            </w:r>
          </w:p>
        </w:tc>
        <w:tc>
          <w:tcPr>
            <w:tcW w:w="1700" w:type="dxa"/>
            <w:vAlign w:val="bottom"/>
          </w:tcPr>
          <w:p>
            <w:pPr>
              <w:spacing w:after="0"/>
              <w:rPr>
                <w:sz w:val="17"/>
                <w:szCs w:val="17"/>
                <w:color w:val="auto"/>
              </w:rPr>
            </w:pPr>
          </w:p>
        </w:tc>
      </w:tr>
      <w:tr>
        <w:trPr>
          <w:trHeight w:val="198"/>
        </w:trPr>
        <w:tc>
          <w:tcPr>
            <w:tcW w:w="45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Other current assets ......................</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9,707</w:t>
            </w:r>
          </w:p>
        </w:tc>
        <w:tc>
          <w:tcPr>
            <w:tcW w:w="1700" w:type="dxa"/>
            <w:vAlign w:val="bottom"/>
          </w:tcPr>
          <w:p>
            <w:pPr>
              <w:spacing w:after="0"/>
              <w:rPr>
                <w:sz w:val="17"/>
                <w:szCs w:val="17"/>
                <w:color w:val="auto"/>
              </w:rPr>
            </w:pPr>
          </w:p>
        </w:tc>
      </w:tr>
      <w:tr>
        <w:trPr>
          <w:trHeight w:val="198"/>
        </w:trPr>
        <w:tc>
          <w:tcPr>
            <w:tcW w:w="4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ind w:left="260"/>
              <w:spacing w:after="0"/>
              <w:rPr>
                <w:sz w:val="20"/>
                <w:szCs w:val="20"/>
                <w:color w:val="auto"/>
              </w:rPr>
            </w:pPr>
            <w:r>
              <w:rPr>
                <w:rFonts w:ascii="Courier New" w:cs="Courier New" w:eastAsia="Courier New" w:hAnsi="Courier New"/>
                <w:sz w:val="17"/>
                <w:szCs w:val="17"/>
                <w:color w:val="auto"/>
                <w:w w:val="99"/>
              </w:rPr>
              <w:t>Wtd. Avg. Life</w:t>
            </w:r>
          </w:p>
        </w:tc>
      </w:tr>
      <w:tr>
        <w:trPr>
          <w:trHeight w:val="198"/>
        </w:trPr>
        <w:tc>
          <w:tcPr>
            <w:tcW w:w="4580" w:type="dxa"/>
            <w:vAlign w:val="bottom"/>
          </w:tcPr>
          <w:p>
            <w:pPr>
              <w:spacing w:after="0"/>
              <w:rPr>
                <w:sz w:val="20"/>
                <w:szCs w:val="20"/>
                <w:color w:val="auto"/>
              </w:rPr>
            </w:pPr>
            <w:r>
              <w:rPr>
                <w:rFonts w:ascii="Courier New" w:cs="Courier New" w:eastAsia="Courier New" w:hAnsi="Courier New"/>
                <w:sz w:val="17"/>
                <w:szCs w:val="17"/>
                <w:color w:val="auto"/>
              </w:rPr>
              <w:t>Intangible assets:</w:t>
            </w:r>
          </w:p>
        </w:tc>
        <w:tc>
          <w:tcPr>
            <w:tcW w:w="1140" w:type="dxa"/>
            <w:vAlign w:val="bottom"/>
          </w:tcPr>
          <w:p>
            <w:pPr>
              <w:spacing w:after="0"/>
              <w:rPr>
                <w:sz w:val="17"/>
                <w:szCs w:val="17"/>
                <w:color w:val="auto"/>
              </w:rPr>
            </w:pPr>
          </w:p>
        </w:tc>
        <w:tc>
          <w:tcPr>
            <w:tcW w:w="1700" w:type="dxa"/>
            <w:vAlign w:val="bottom"/>
          </w:tcPr>
          <w:p>
            <w:pPr>
              <w:ind w:left="26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45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Customer relationships .................</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15,000</w:t>
            </w:r>
          </w:p>
        </w:tc>
        <w:tc>
          <w:tcPr>
            <w:tcW w:w="1700" w:type="dxa"/>
            <w:vAlign w:val="bottom"/>
          </w:tcPr>
          <w:p>
            <w:pPr>
              <w:ind w:left="460"/>
              <w:spacing w:after="0"/>
              <w:rPr>
                <w:sz w:val="20"/>
                <w:szCs w:val="20"/>
                <w:color w:val="auto"/>
              </w:rPr>
            </w:pPr>
            <w:r>
              <w:rPr>
                <w:rFonts w:ascii="Courier New" w:cs="Courier New" w:eastAsia="Courier New" w:hAnsi="Courier New"/>
                <w:sz w:val="17"/>
                <w:szCs w:val="17"/>
                <w:color w:val="auto"/>
              </w:rPr>
              <w:t>15 years</w:t>
            </w:r>
          </w:p>
        </w:tc>
      </w:tr>
      <w:tr>
        <w:trPr>
          <w:trHeight w:val="198"/>
        </w:trPr>
        <w:tc>
          <w:tcPr>
            <w:tcW w:w="45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Tradename (Miltex)......................</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13,500</w:t>
            </w:r>
          </w:p>
        </w:tc>
        <w:tc>
          <w:tcPr>
            <w:tcW w:w="1700" w:type="dxa"/>
            <w:vAlign w:val="bottom"/>
          </w:tcPr>
          <w:p>
            <w:pPr>
              <w:ind w:left="460"/>
              <w:spacing w:after="0"/>
              <w:rPr>
                <w:sz w:val="20"/>
                <w:szCs w:val="20"/>
                <w:color w:val="auto"/>
              </w:rPr>
            </w:pPr>
            <w:r>
              <w:rPr>
                <w:rFonts w:ascii="Courier New" w:cs="Courier New" w:eastAsia="Courier New" w:hAnsi="Courier New"/>
                <w:sz w:val="17"/>
                <w:szCs w:val="17"/>
                <w:color w:val="auto"/>
              </w:rPr>
              <w:t>Indefinite</w:t>
            </w:r>
          </w:p>
        </w:tc>
      </w:tr>
      <w:tr>
        <w:trPr>
          <w:trHeight w:val="198"/>
        </w:trPr>
        <w:tc>
          <w:tcPr>
            <w:tcW w:w="4580" w:type="dxa"/>
            <w:vAlign w:val="bottom"/>
          </w:tcPr>
          <w:p>
            <w:pPr>
              <w:jc w:val="right"/>
              <w:spacing w:after="0"/>
              <w:rPr>
                <w:sz w:val="20"/>
                <w:szCs w:val="20"/>
                <w:color w:val="auto"/>
              </w:rPr>
            </w:pPr>
            <w:r>
              <w:rPr>
                <w:rFonts w:ascii="Courier New" w:cs="Courier New" w:eastAsia="Courier New" w:hAnsi="Courier New"/>
                <w:sz w:val="17"/>
                <w:szCs w:val="17"/>
                <w:color w:val="auto"/>
              </w:rPr>
              <w:t>Tradename (Moyco, Union Branch, Thompson)</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300</w:t>
            </w:r>
          </w:p>
        </w:tc>
        <w:tc>
          <w:tcPr>
            <w:tcW w:w="1700" w:type="dxa"/>
            <w:vAlign w:val="bottom"/>
          </w:tcPr>
          <w:p>
            <w:pPr>
              <w:ind w:left="560"/>
              <w:spacing w:after="0"/>
              <w:rPr>
                <w:sz w:val="20"/>
                <w:szCs w:val="20"/>
                <w:color w:val="auto"/>
              </w:rPr>
            </w:pPr>
            <w:r>
              <w:rPr>
                <w:rFonts w:ascii="Courier New" w:cs="Courier New" w:eastAsia="Courier New" w:hAnsi="Courier New"/>
                <w:sz w:val="17"/>
                <w:szCs w:val="17"/>
                <w:color w:val="auto"/>
              </w:rPr>
              <w:t>4 years</w:t>
            </w:r>
          </w:p>
        </w:tc>
      </w:tr>
      <w:tr>
        <w:trPr>
          <w:trHeight w:val="198"/>
        </w:trPr>
        <w:tc>
          <w:tcPr>
            <w:tcW w:w="45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Tradename (other product lines) ........</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600</w:t>
            </w:r>
          </w:p>
        </w:tc>
        <w:tc>
          <w:tcPr>
            <w:tcW w:w="1700" w:type="dxa"/>
            <w:vAlign w:val="bottom"/>
          </w:tcPr>
          <w:p>
            <w:pPr>
              <w:ind w:left="460"/>
              <w:spacing w:after="0"/>
              <w:rPr>
                <w:sz w:val="20"/>
                <w:szCs w:val="20"/>
                <w:color w:val="auto"/>
              </w:rPr>
            </w:pPr>
            <w:r>
              <w:rPr>
                <w:rFonts w:ascii="Courier New" w:cs="Courier New" w:eastAsia="Courier New" w:hAnsi="Courier New"/>
                <w:sz w:val="17"/>
                <w:szCs w:val="17"/>
                <w:color w:val="auto"/>
              </w:rPr>
              <w:t>15 years</w:t>
            </w:r>
          </w:p>
        </w:tc>
      </w:tr>
      <w:tr>
        <w:trPr>
          <w:trHeight w:val="198"/>
        </w:trPr>
        <w:tc>
          <w:tcPr>
            <w:tcW w:w="45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Technology..............................</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1,100</w:t>
            </w:r>
          </w:p>
        </w:tc>
        <w:tc>
          <w:tcPr>
            <w:tcW w:w="1700" w:type="dxa"/>
            <w:vAlign w:val="bottom"/>
          </w:tcPr>
          <w:p>
            <w:pPr>
              <w:ind w:left="460"/>
              <w:spacing w:after="0"/>
              <w:rPr>
                <w:sz w:val="20"/>
                <w:szCs w:val="20"/>
                <w:color w:val="auto"/>
              </w:rPr>
            </w:pPr>
            <w:r>
              <w:rPr>
                <w:rFonts w:ascii="Courier New" w:cs="Courier New" w:eastAsia="Courier New" w:hAnsi="Courier New"/>
                <w:sz w:val="17"/>
                <w:szCs w:val="17"/>
                <w:color w:val="auto"/>
              </w:rPr>
              <w:t>10 years</w:t>
            </w:r>
          </w:p>
        </w:tc>
      </w:tr>
      <w:tr>
        <w:trPr>
          <w:trHeight w:val="198"/>
        </w:trPr>
        <w:tc>
          <w:tcPr>
            <w:tcW w:w="45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Goodwill ..................................</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54,275</w:t>
            </w:r>
          </w:p>
        </w:tc>
        <w:tc>
          <w:tcPr>
            <w:tcW w:w="1700" w:type="dxa"/>
            <w:vAlign w:val="bottom"/>
          </w:tcPr>
          <w:p>
            <w:pPr>
              <w:spacing w:after="0"/>
              <w:rPr>
                <w:sz w:val="17"/>
                <w:szCs w:val="17"/>
                <w:color w:val="auto"/>
              </w:rPr>
            </w:pPr>
          </w:p>
        </w:tc>
      </w:tr>
      <w:tr>
        <w:trPr>
          <w:trHeight w:val="198"/>
        </w:trPr>
        <w:tc>
          <w:tcPr>
            <w:tcW w:w="45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Other assets ..............................</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295</w:t>
            </w:r>
          </w:p>
        </w:tc>
        <w:tc>
          <w:tcPr>
            <w:tcW w:w="1700" w:type="dxa"/>
            <w:vAlign w:val="bottom"/>
          </w:tcPr>
          <w:p>
            <w:pPr>
              <w:spacing w:after="0"/>
              <w:rPr>
                <w:sz w:val="17"/>
                <w:szCs w:val="17"/>
                <w:color w:val="auto"/>
              </w:rPr>
            </w:pPr>
          </w:p>
        </w:tc>
      </w:tr>
      <w:tr>
        <w:trPr>
          <w:trHeight w:val="198"/>
        </w:trPr>
        <w:tc>
          <w:tcPr>
            <w:tcW w:w="4580" w:type="dxa"/>
            <w:vAlign w:val="bottom"/>
          </w:tcPr>
          <w:p>
            <w:pPr>
              <w:spacing w:after="0"/>
              <w:rPr>
                <w:sz w:val="17"/>
                <w:szCs w:val="17"/>
                <w:color w:val="auto"/>
              </w:rPr>
            </w:pP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spacing w:after="0"/>
              <w:rPr>
                <w:sz w:val="17"/>
                <w:szCs w:val="17"/>
                <w:color w:val="auto"/>
              </w:rPr>
            </w:pPr>
          </w:p>
        </w:tc>
      </w:tr>
      <w:tr>
        <w:trPr>
          <w:trHeight w:val="198"/>
        </w:trPr>
        <w:tc>
          <w:tcPr>
            <w:tcW w:w="45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Total assets acquired ..................</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118,629</w:t>
            </w:r>
          </w:p>
        </w:tc>
        <w:tc>
          <w:tcPr>
            <w:tcW w:w="1700" w:type="dxa"/>
            <w:vAlign w:val="bottom"/>
          </w:tcPr>
          <w:p>
            <w:pPr>
              <w:spacing w:after="0"/>
              <w:rPr>
                <w:sz w:val="17"/>
                <w:szCs w:val="17"/>
                <w:color w:val="auto"/>
              </w:rPr>
            </w:pPr>
          </w:p>
        </w:tc>
      </w:tr>
      <w:tr>
        <w:trPr>
          <w:trHeight w:val="396"/>
        </w:trPr>
        <w:tc>
          <w:tcPr>
            <w:tcW w:w="4580" w:type="dxa"/>
            <w:vAlign w:val="bottom"/>
          </w:tcPr>
          <w:p>
            <w:pPr>
              <w:spacing w:after="0"/>
              <w:rPr>
                <w:sz w:val="20"/>
                <w:szCs w:val="20"/>
                <w:color w:val="auto"/>
              </w:rPr>
            </w:pPr>
            <w:r>
              <w:rPr>
                <w:rFonts w:ascii="Courier New" w:cs="Courier New" w:eastAsia="Courier New" w:hAnsi="Courier New"/>
                <w:sz w:val="17"/>
                <w:szCs w:val="17"/>
                <w:color w:val="auto"/>
                <w:strike w:val="1"/>
              </w:rPr>
              <w:t>Accrued expenses and other current</w:t>
            </w: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8"/>
        </w:trPr>
        <w:tc>
          <w:tcPr>
            <w:tcW w:w="45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liabilities ............................</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4,884</w:t>
            </w:r>
          </w:p>
        </w:tc>
        <w:tc>
          <w:tcPr>
            <w:tcW w:w="1700" w:type="dxa"/>
            <w:vAlign w:val="bottom"/>
          </w:tcPr>
          <w:p>
            <w:pPr>
              <w:spacing w:after="0"/>
              <w:rPr>
                <w:sz w:val="17"/>
                <w:szCs w:val="17"/>
                <w:color w:val="auto"/>
              </w:rPr>
            </w:pPr>
          </w:p>
        </w:tc>
      </w:tr>
      <w:tr>
        <w:trPr>
          <w:trHeight w:val="198"/>
        </w:trPr>
        <w:tc>
          <w:tcPr>
            <w:tcW w:w="45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Deferred tax liabilities ..................</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10,858</w:t>
            </w:r>
          </w:p>
        </w:tc>
        <w:tc>
          <w:tcPr>
            <w:tcW w:w="1700" w:type="dxa"/>
            <w:vAlign w:val="bottom"/>
          </w:tcPr>
          <w:p>
            <w:pPr>
              <w:spacing w:after="0"/>
              <w:rPr>
                <w:sz w:val="17"/>
                <w:szCs w:val="17"/>
                <w:color w:val="auto"/>
              </w:rPr>
            </w:pPr>
          </w:p>
        </w:tc>
      </w:tr>
      <w:tr>
        <w:trPr>
          <w:trHeight w:val="198"/>
        </w:trPr>
        <w:tc>
          <w:tcPr>
            <w:tcW w:w="4580" w:type="dxa"/>
            <w:vAlign w:val="bottom"/>
          </w:tcPr>
          <w:p>
            <w:pPr>
              <w:spacing w:after="0"/>
              <w:rPr>
                <w:sz w:val="17"/>
                <w:szCs w:val="17"/>
                <w:color w:val="auto"/>
              </w:rPr>
            </w:pP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spacing w:after="0"/>
              <w:rPr>
                <w:sz w:val="17"/>
                <w:szCs w:val="17"/>
                <w:color w:val="auto"/>
              </w:rPr>
            </w:pPr>
          </w:p>
        </w:tc>
      </w:tr>
      <w:tr>
        <w:trPr>
          <w:trHeight w:val="198"/>
        </w:trPr>
        <w:tc>
          <w:tcPr>
            <w:tcW w:w="45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Total liabilities assumed ..............</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15,742</w:t>
            </w:r>
          </w:p>
        </w:tc>
        <w:tc>
          <w:tcPr>
            <w:tcW w:w="1700" w:type="dxa"/>
            <w:vAlign w:val="bottom"/>
          </w:tcPr>
          <w:p>
            <w:pPr>
              <w:spacing w:after="0"/>
              <w:rPr>
                <w:sz w:val="17"/>
                <w:szCs w:val="17"/>
                <w:color w:val="auto"/>
              </w:rPr>
            </w:pPr>
          </w:p>
        </w:tc>
      </w:tr>
      <w:tr>
        <w:trPr>
          <w:trHeight w:val="198"/>
        </w:trPr>
        <w:tc>
          <w:tcPr>
            <w:tcW w:w="4580" w:type="dxa"/>
            <w:vAlign w:val="bottom"/>
          </w:tcPr>
          <w:p>
            <w:pPr>
              <w:spacing w:after="0"/>
              <w:rPr>
                <w:sz w:val="17"/>
                <w:szCs w:val="17"/>
                <w:color w:val="auto"/>
              </w:rPr>
            </w:pP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spacing w:after="0"/>
              <w:rPr>
                <w:sz w:val="17"/>
                <w:szCs w:val="17"/>
                <w:color w:val="auto"/>
              </w:rPr>
            </w:pPr>
          </w:p>
        </w:tc>
      </w:tr>
      <w:tr>
        <w:trPr>
          <w:trHeight w:val="198"/>
        </w:trPr>
        <w:tc>
          <w:tcPr>
            <w:tcW w:w="4580" w:type="dxa"/>
            <w:vAlign w:val="bottom"/>
          </w:tcPr>
          <w:p>
            <w:pPr>
              <w:jc w:val="right"/>
              <w:ind w:right="54"/>
              <w:spacing w:after="0"/>
              <w:rPr>
                <w:sz w:val="20"/>
                <w:szCs w:val="20"/>
                <w:color w:val="auto"/>
              </w:rPr>
            </w:pPr>
            <w:r>
              <w:rPr>
                <w:rFonts w:ascii="Courier New" w:cs="Courier New" w:eastAsia="Courier New" w:hAnsi="Courier New"/>
                <w:sz w:val="17"/>
                <w:szCs w:val="17"/>
                <w:color w:val="auto"/>
                <w:strike w:val="1"/>
              </w:rPr>
              <w:t>Net assets acquired .......................</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strike w:val="1"/>
              </w:rPr>
              <w:t>$102,887</w:t>
            </w:r>
          </w:p>
        </w:tc>
        <w:tc>
          <w:tcPr>
            <w:tcW w:w="1700" w:type="dxa"/>
            <w:vAlign w:val="bottom"/>
          </w:tcPr>
          <w:p>
            <w:pPr>
              <w:spacing w:after="0"/>
              <w:rPr>
                <w:sz w:val="17"/>
                <w:szCs w:val="17"/>
                <w:color w:val="auto"/>
              </w:rPr>
            </w:pPr>
          </w:p>
        </w:tc>
      </w:tr>
      <w:tr>
        <w:trPr>
          <w:trHeight w:val="198"/>
        </w:trPr>
        <w:tc>
          <w:tcPr>
            <w:tcW w:w="4580" w:type="dxa"/>
            <w:vAlign w:val="bottom"/>
          </w:tcPr>
          <w:p>
            <w:pPr>
              <w:spacing w:after="0"/>
              <w:rPr>
                <w:sz w:val="17"/>
                <w:szCs w:val="17"/>
                <w:color w:val="auto"/>
              </w:rPr>
            </w:pP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-2704465</wp:posOffset>
            </wp:positionV>
            <wp:extent cx="34651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-2578735</wp:posOffset>
            </wp:positionV>
            <wp:extent cx="34651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-2453005</wp:posOffset>
            </wp:positionV>
            <wp:extent cx="4707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-2327275</wp:posOffset>
            </wp:positionV>
            <wp:extent cx="4707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-2201545</wp:posOffset>
            </wp:positionV>
            <wp:extent cx="44462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4462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-2075815</wp:posOffset>
            </wp:positionV>
            <wp:extent cx="45764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764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-1950085</wp:posOffset>
            </wp:positionV>
            <wp:extent cx="44462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4462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-1824990</wp:posOffset>
            </wp:positionV>
            <wp:extent cx="44462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4462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-1699260</wp:posOffset>
            </wp:positionV>
            <wp:extent cx="44462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4462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-1573530</wp:posOffset>
            </wp:positionV>
            <wp:extent cx="34651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-1447800</wp:posOffset>
            </wp:positionV>
            <wp:extent cx="34651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-1322070</wp:posOffset>
            </wp:positionV>
            <wp:extent cx="34651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34651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34651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34651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34651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34651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34651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34651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65195"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The preliminary fair value of assets acquired was determined by management with</w:t>
      </w:r>
    </w:p>
    <w:p>
      <w:pPr>
        <w:sectPr>
          <w:pgSz w:w="11900" w:h="16838" w:orient="portrait"/>
          <w:cols w:equalWidth="0" w:num="1">
            <w:col w:w="10219"/>
          </w:cols>
          <w:pgMar w:left="240" w:top="907" w:right="1440" w:bottom="0" w:gutter="0" w:footer="0" w:header="0"/>
        </w:sectPr>
      </w:pPr>
    </w:p>
    <w:bookmarkStart w:id="9" w:name="page10"/>
    <w:bookmarkEnd w:id="9"/>
    <w:p>
      <w:pPr>
        <w:ind w:right="1979"/>
        <w:spacing w:after="0" w:line="247" w:lineRule="auto"/>
        <w:rPr>
          <w:sz w:val="20"/>
          <w:szCs w:val="20"/>
          <w:color w:val="auto"/>
        </w:rPr>
      </w:pPr>
      <w:r>
        <w:rPr>
          <w:rFonts w:ascii="Courier New" w:cs="Courier New" w:eastAsia="Courier New" w:hAnsi="Courier New"/>
          <w:sz w:val="17"/>
          <w:szCs w:val="17"/>
          <w:color w:val="auto"/>
          <w:strike w:val="1"/>
        </w:rPr>
        <w:t>the assistance of a third-party valuation firm. The goodwill recorded in connection with this acquisition is based on the benefits the Company expects to</w:t>
      </w: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155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15565" cy="825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10" w:name="page11"/>
    <w:bookmarkEnd w:id="10"/>
    <w:p>
      <w:pPr>
        <w:ind w:right="1979"/>
        <w:spacing w:after="0" w:line="246" w:lineRule="auto"/>
        <w:rPr>
          <w:sz w:val="20"/>
          <w:szCs w:val="20"/>
          <w:color w:val="auto"/>
        </w:rPr>
      </w:pPr>
      <w:r>
        <w:rPr>
          <w:rFonts w:ascii="Courier New" w:cs="Courier New" w:eastAsia="Courier New" w:hAnsi="Courier New"/>
          <w:sz w:val="17"/>
          <w:szCs w:val="17"/>
          <w:color w:val="auto"/>
          <w:strike w:val="1"/>
        </w:rPr>
        <w:t>generate from Miltex's future cash flows. Certain elements of the purchase price allocation are considered preliminary, particularly as they relate to the final valuation of certain identifiable intangible assets. Additional changes could be significant as the allocations are finalized.</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The results of operations of the acquired businesses have been included in the condensed consolidated financial statements since their respective dates of acquisition.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Newdeal Technologies SAS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 January 2005, the Company acquired all of the outstanding capital stock of Newdeal Technologies SAS ("Newdeal Technologies") for $51.9 million in cash paid at closing, a $0.7 million working capital adjustment paid in January 2006, and $0.8 million of acquisition related expenses. Additionally, the Company agreed to pay the sellers up to an additional 1.3 million euros if the sellers were to continue their employment with the Company through January 3, 2006. This additional payment was accrued to selling, general and administrative expense on a straight-line basis in 2005 over the one-year employment requirement period and was paid in January 2006.</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The following unaudited pro forma financial information summarizes the results of operations for the six months ended June 30, 2006 and 2005 as if the acquisitions consummated in 2006 had been completed as of the beginning of 2005. The pro forma results are based upon certain assumptions and estimates, and they give effect to actual operating results prior to the acquisitions and adjustments to reflect increased interest expense, depreciation expense, intangible asset amortization, and income taxes at a rate consistent with the Company's statutory rate in each year. No effect has been given to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200" w:lineRule="exact"/>
        <w:rPr>
          <w:sz w:val="20"/>
          <w:szCs w:val="20"/>
          <w:color w:val="auto"/>
        </w:rPr>
      </w:pP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7"/>
                <w:szCs w:val="17"/>
                <w:color w:val="auto"/>
                <w:w w:val="99"/>
              </w:rPr>
              <w:t>Three Months</w:t>
            </w:r>
          </w:p>
        </w:tc>
        <w:tc>
          <w:tcPr>
            <w:tcW w:w="980" w:type="dxa"/>
            <w:vAlign w:val="bottom"/>
          </w:tcPr>
          <w:p>
            <w:pPr>
              <w:ind w:left="100"/>
              <w:spacing w:after="0"/>
              <w:rPr>
                <w:sz w:val="20"/>
                <w:szCs w:val="20"/>
                <w:color w:val="auto"/>
              </w:rPr>
            </w:pPr>
            <w:r>
              <w:rPr>
                <w:rFonts w:ascii="Courier New" w:cs="Courier New" w:eastAsia="Courier New" w:hAnsi="Courier New"/>
                <w:sz w:val="17"/>
                <w:szCs w:val="17"/>
                <w:color w:val="auto"/>
              </w:rPr>
              <w:t>Ended</w:t>
            </w:r>
          </w:p>
        </w:tc>
        <w:tc>
          <w:tcPr>
            <w:tcW w:w="2320" w:type="dxa"/>
            <w:vAlign w:val="bottom"/>
            <w:gridSpan w:val="4"/>
          </w:tcPr>
          <w:p>
            <w:pPr>
              <w:ind w:left="260"/>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June</w:t>
            </w:r>
          </w:p>
        </w:tc>
        <w:tc>
          <w:tcPr>
            <w:tcW w:w="1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30,</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June 30,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5040" w:type="dxa"/>
            <w:vAlign w:val="bottom"/>
          </w:tcPr>
          <w:p>
            <w:pPr>
              <w:jc w:val="right"/>
              <w:ind w:right="854"/>
              <w:spacing w:after="0"/>
              <w:rPr>
                <w:sz w:val="20"/>
                <w:szCs w:val="20"/>
                <w:color w:val="auto"/>
              </w:rPr>
            </w:pPr>
            <w:r>
              <w:rPr>
                <w:rFonts w:ascii="Courier New" w:cs="Courier New" w:eastAsia="Courier New" w:hAnsi="Courier New"/>
                <w:sz w:val="17"/>
                <w:szCs w:val="17"/>
                <w:color w:val="auto"/>
                <w:w w:val="99"/>
              </w:rPr>
              <w:t>(in thousands, except per share amounts)</w:t>
            </w:r>
          </w:p>
        </w:tc>
        <w:tc>
          <w:tcPr>
            <w:tcW w:w="20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2006</w:t>
            </w:r>
          </w:p>
        </w:tc>
        <w:tc>
          <w:tcPr>
            <w:tcW w:w="160" w:type="dxa"/>
            <w:vAlign w:val="bottom"/>
          </w:tcPr>
          <w:p>
            <w:pPr>
              <w:spacing w:after="0"/>
              <w:rPr>
                <w:sz w:val="17"/>
                <w:szCs w:val="17"/>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7"/>
                <w:szCs w:val="17"/>
                <w:color w:val="auto"/>
              </w:rPr>
              <w:t>2005</w:t>
            </w:r>
          </w:p>
        </w:tc>
        <w:tc>
          <w:tcPr>
            <w:tcW w:w="360" w:type="dxa"/>
            <w:vAlign w:val="bottom"/>
          </w:tcPr>
          <w:p>
            <w:pPr>
              <w:spacing w:after="0"/>
              <w:rPr>
                <w:sz w:val="17"/>
                <w:szCs w:val="17"/>
                <w:color w:val="auto"/>
              </w:rPr>
            </w:pPr>
          </w:p>
        </w:tc>
        <w:tc>
          <w:tcPr>
            <w:tcW w:w="1120" w:type="dxa"/>
            <w:vAlign w:val="bottom"/>
          </w:tcPr>
          <w:p>
            <w:pPr>
              <w:jc w:val="right"/>
              <w:ind w:right="634"/>
              <w:spacing w:after="0"/>
              <w:rPr>
                <w:sz w:val="20"/>
                <w:szCs w:val="20"/>
                <w:color w:val="auto"/>
              </w:rPr>
            </w:pPr>
            <w:r>
              <w:rPr>
                <w:rFonts w:ascii="Courier New" w:cs="Courier New" w:eastAsia="Courier New" w:hAnsi="Courier New"/>
                <w:sz w:val="17"/>
                <w:szCs w:val="17"/>
                <w:color w:val="auto"/>
                <w:w w:val="93"/>
              </w:rPr>
              <w:t>2006</w:t>
            </w:r>
          </w:p>
        </w:tc>
        <w:tc>
          <w:tcPr>
            <w:tcW w:w="120" w:type="dxa"/>
            <w:vAlign w:val="bottom"/>
          </w:tcPr>
          <w:p>
            <w:pPr>
              <w:spacing w:after="0"/>
              <w:rPr>
                <w:sz w:val="17"/>
                <w:szCs w:val="17"/>
                <w:color w:val="auto"/>
              </w:rPr>
            </w:pPr>
          </w:p>
        </w:tc>
        <w:tc>
          <w:tcPr>
            <w:tcW w:w="7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3"/>
              </w:rPr>
              <w:t>2005</w:t>
            </w:r>
          </w:p>
        </w:tc>
      </w:tr>
      <w:tr>
        <w:trPr>
          <w:trHeight w:val="198"/>
        </w:trPr>
        <w:tc>
          <w:tcPr>
            <w:tcW w:w="5040" w:type="dxa"/>
            <w:vAlign w:val="bottom"/>
          </w:tcPr>
          <w:p>
            <w:pPr>
              <w:spacing w:after="0"/>
              <w:rPr>
                <w:sz w:val="17"/>
                <w:szCs w:val="17"/>
                <w:color w:val="auto"/>
              </w:rPr>
            </w:pPr>
          </w:p>
        </w:tc>
        <w:tc>
          <w:tcPr>
            <w:tcW w:w="12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revenue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107,175</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103,913</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1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210,481</w:t>
            </w:r>
          </w:p>
        </w:tc>
        <w:tc>
          <w:tcPr>
            <w:tcW w:w="1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192,811</w:t>
            </w:r>
          </w:p>
        </w:tc>
      </w:tr>
      <w:tr>
        <w:trPr>
          <w:trHeight w:val="198"/>
        </w:trPr>
        <w:tc>
          <w:tcPr>
            <w:tcW w:w="5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Net income ................................</w:t>
            </w:r>
          </w:p>
        </w:tc>
        <w:tc>
          <w:tcPr>
            <w:tcW w:w="200" w:type="dxa"/>
            <w:vAlign w:val="bottom"/>
          </w:tcPr>
          <w:p>
            <w:pPr>
              <w:spacing w:after="0"/>
              <w:rPr>
                <w:sz w:val="17"/>
                <w:szCs w:val="17"/>
                <w:color w:val="auto"/>
              </w:rPr>
            </w:pPr>
          </w:p>
        </w:tc>
        <w:tc>
          <w:tcPr>
            <w:tcW w:w="10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5,922</w:t>
            </w:r>
          </w:p>
        </w:tc>
        <w:tc>
          <w:tcPr>
            <w:tcW w:w="1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9,323</w:t>
            </w:r>
          </w:p>
        </w:tc>
        <w:tc>
          <w:tcPr>
            <w:tcW w:w="360" w:type="dxa"/>
            <w:vAlign w:val="bottom"/>
          </w:tcPr>
          <w:p>
            <w:pPr>
              <w:spacing w:after="0"/>
              <w:rPr>
                <w:sz w:val="17"/>
                <w:szCs w:val="17"/>
                <w:color w:val="auto"/>
              </w:rPr>
            </w:pPr>
          </w:p>
        </w:tc>
        <w:tc>
          <w:tcPr>
            <w:tcW w:w="11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15,611</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18,288</w:t>
            </w:r>
          </w:p>
        </w:tc>
      </w:tr>
      <w:tr>
        <w:trPr>
          <w:trHeight w:val="396"/>
        </w:trPr>
        <w:tc>
          <w:tcPr>
            <w:tcW w:w="5040" w:type="dxa"/>
            <w:vAlign w:val="bottom"/>
          </w:tcPr>
          <w:p>
            <w:pPr>
              <w:jc w:val="right"/>
              <w:ind w:right="2294"/>
              <w:spacing w:after="0"/>
              <w:rPr>
                <w:sz w:val="20"/>
                <w:szCs w:val="20"/>
                <w:color w:val="auto"/>
              </w:rPr>
            </w:pPr>
            <w:r>
              <w:rPr>
                <w:rFonts w:ascii="Courier New" w:cs="Courier New" w:eastAsia="Courier New" w:hAnsi="Courier New"/>
                <w:sz w:val="17"/>
                <w:szCs w:val="17"/>
                <w:color w:val="auto"/>
              </w:rPr>
              <w:t>Net income per share:</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5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Basic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0.20</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0.31</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1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0.53</w:t>
            </w:r>
          </w:p>
        </w:tc>
        <w:tc>
          <w:tcPr>
            <w:tcW w:w="1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0.60</w:t>
            </w:r>
          </w:p>
        </w:tc>
      </w:tr>
      <w:tr>
        <w:trPr>
          <w:trHeight w:val="198"/>
        </w:trPr>
        <w:tc>
          <w:tcPr>
            <w:tcW w:w="5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Diluted.................................</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0.20</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0.28</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1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0.51</w:t>
            </w:r>
          </w:p>
        </w:tc>
        <w:tc>
          <w:tcPr>
            <w:tcW w:w="1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-1322070</wp:posOffset>
            </wp:positionV>
            <wp:extent cx="60807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58191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1914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61461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63423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423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50342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63423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423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63423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423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18307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307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63423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423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63423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34238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3. INVENTORIES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Inventories, net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00" w:type="dxa"/>
            <w:vAlign w:val="bottom"/>
          </w:tcPr>
          <w:p>
            <w:pPr>
              <w:spacing w:after="0"/>
              <w:rPr>
                <w:sz w:val="16"/>
                <w:szCs w:val="16"/>
                <w:color w:val="auto"/>
              </w:rPr>
            </w:pP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June 30,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198"/>
        </w:trPr>
        <w:tc>
          <w:tcPr>
            <w:tcW w:w="4900" w:type="dxa"/>
            <w:vAlign w:val="bottom"/>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2006</w:t>
            </w:r>
          </w:p>
        </w:tc>
        <w:tc>
          <w:tcPr>
            <w:tcW w:w="14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2005</w:t>
            </w:r>
          </w:p>
        </w:tc>
      </w:tr>
      <w:tr>
        <w:trPr>
          <w:trHeight w:val="198"/>
        </w:trPr>
        <w:tc>
          <w:tcPr>
            <w:tcW w:w="4900" w:type="dxa"/>
            <w:vAlign w:val="bottom"/>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r>
      <w:tr>
        <w:trPr>
          <w:trHeight w:val="396"/>
        </w:trPr>
        <w:tc>
          <w:tcPr>
            <w:tcW w:w="4900" w:type="dxa"/>
            <w:vAlign w:val="bottom"/>
          </w:tcPr>
          <w:p>
            <w:pPr>
              <w:spacing w:after="0"/>
              <w:rPr>
                <w:sz w:val="20"/>
                <w:szCs w:val="20"/>
                <w:color w:val="auto"/>
              </w:rPr>
            </w:pPr>
            <w:r>
              <w:rPr>
                <w:rFonts w:ascii="Courier New" w:cs="Courier New" w:eastAsia="Courier New" w:hAnsi="Courier New"/>
                <w:sz w:val="17"/>
                <w:szCs w:val="17"/>
                <w:color w:val="auto"/>
              </w:rPr>
              <w:t>Raw materials..............................</w:t>
            </w:r>
          </w:p>
        </w:tc>
        <w:tc>
          <w:tcPr>
            <w:tcW w:w="14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$15,211</w:t>
            </w:r>
          </w:p>
        </w:tc>
        <w:tc>
          <w:tcPr>
            <w:tcW w:w="14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$13,175</w:t>
            </w:r>
          </w:p>
        </w:tc>
      </w:tr>
      <w:tr>
        <w:trPr>
          <w:trHeight w:val="198"/>
        </w:trPr>
        <w:tc>
          <w:tcPr>
            <w:tcW w:w="4900" w:type="dxa"/>
            <w:vAlign w:val="bottom"/>
          </w:tcPr>
          <w:p>
            <w:pPr>
              <w:spacing w:after="0"/>
              <w:rPr>
                <w:sz w:val="20"/>
                <w:szCs w:val="20"/>
                <w:color w:val="auto"/>
              </w:rPr>
            </w:pPr>
            <w:r>
              <w:rPr>
                <w:rFonts w:ascii="Courier New" w:cs="Courier New" w:eastAsia="Courier New" w:hAnsi="Courier New"/>
                <w:sz w:val="17"/>
                <w:szCs w:val="17"/>
                <w:color w:val="auto"/>
              </w:rPr>
              <w:t>Work-in process............................</w:t>
            </w:r>
          </w:p>
        </w:tc>
        <w:tc>
          <w:tcPr>
            <w:tcW w:w="14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14,459</w:t>
            </w:r>
          </w:p>
        </w:tc>
        <w:tc>
          <w:tcPr>
            <w:tcW w:w="14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9,801</w:t>
            </w:r>
          </w:p>
        </w:tc>
      </w:tr>
      <w:tr>
        <w:trPr>
          <w:trHeight w:val="198"/>
        </w:trPr>
        <w:tc>
          <w:tcPr>
            <w:tcW w:w="490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14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63,311</w:t>
            </w:r>
          </w:p>
        </w:tc>
        <w:tc>
          <w:tcPr>
            <w:tcW w:w="14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44,500</w:t>
            </w:r>
          </w:p>
        </w:tc>
      </w:tr>
      <w:tr>
        <w:trPr>
          <w:trHeight w:val="198"/>
        </w:trPr>
        <w:tc>
          <w:tcPr>
            <w:tcW w:w="4900" w:type="dxa"/>
            <w:vAlign w:val="bottom"/>
          </w:tcPr>
          <w:p>
            <w:pPr>
              <w:spacing w:after="0"/>
              <w:rPr>
                <w:sz w:val="17"/>
                <w:szCs w:val="17"/>
                <w:color w:val="auto"/>
              </w:rPr>
            </w:pPr>
          </w:p>
        </w:tc>
        <w:tc>
          <w:tcPr>
            <w:tcW w:w="14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00" w:type="dxa"/>
            <w:vAlign w:val="bottom"/>
          </w:tcPr>
          <w:p>
            <w:pPr>
              <w:spacing w:after="0"/>
              <w:rPr>
                <w:sz w:val="17"/>
                <w:szCs w:val="17"/>
                <w:color w:val="auto"/>
              </w:rPr>
            </w:pPr>
          </w:p>
        </w:tc>
        <w:tc>
          <w:tcPr>
            <w:tcW w:w="14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$92,981</w:t>
            </w:r>
          </w:p>
        </w:tc>
        <w:tc>
          <w:tcPr>
            <w:tcW w:w="14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$67,476</w:t>
            </w:r>
          </w:p>
        </w:tc>
      </w:tr>
      <w:tr>
        <w:trPr>
          <w:trHeight w:val="198"/>
        </w:trPr>
        <w:tc>
          <w:tcPr>
            <w:tcW w:w="4900" w:type="dxa"/>
            <w:vAlign w:val="bottom"/>
          </w:tcPr>
          <w:p>
            <w:pPr>
              <w:spacing w:after="0"/>
              <w:rPr>
                <w:sz w:val="17"/>
                <w:szCs w:val="17"/>
                <w:color w:val="auto"/>
              </w:rPr>
            </w:pPr>
          </w:p>
        </w:tc>
        <w:tc>
          <w:tcPr>
            <w:tcW w:w="14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-1196340</wp:posOffset>
            </wp:positionV>
            <wp:extent cx="49688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4707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4707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38576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576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4707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4707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4707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4707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4707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4707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07890" cy="8255"/>
                    </a:xfrm>
                    <a:prstGeom prst="rect">
                      <a:avLst/>
                    </a:prstGeom>
                    <a:noFill/>
                  </pic:spPr>
                </pic:pic>
              </a:graphicData>
            </a:graphic>
          </wp:anchor>
        </w:drawing>
      </w:r>
    </w:p>
    <w:p>
      <w:pPr>
        <w:spacing w:after="0" w:line="18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The Company capitalizes inventory costs associated with certain products prior to regulatory approval, based on management's judgment of probable future commercialization.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In June 2006, the Company recorded a $1.2 million charge to research and development related to pre-approval inventory associated with a project to develop an ultrasonic aspirator system. This project was discontinued in June 2006 following management's review of the Company's existing technology and the ultrasonic aspirator technology acquired in the Radionics acquisition. Management determined that there was no future, alternative use for the pre-approval inventory in any other development project.</w:t>
      </w:r>
    </w:p>
    <w:p>
      <w:pPr>
        <w:sectPr>
          <w:pgSz w:w="11900" w:h="16838" w:orient="portrait"/>
          <w:cols w:equalWidth="0" w:num="1">
            <w:col w:w="10219"/>
          </w:cols>
          <w:pgMar w:left="240" w:top="709" w:right="1440" w:bottom="126" w:gutter="0" w:footer="0" w:header="0"/>
        </w:sectPr>
      </w:pPr>
    </w:p>
    <w:bookmarkStart w:id="11" w:name="page12"/>
    <w:bookmarkEnd w:id="11"/>
    <w:p>
      <w:pPr>
        <w:ind w:left="2820"/>
        <w:spacing w:after="0"/>
        <w:rPr>
          <w:sz w:val="20"/>
          <w:szCs w:val="20"/>
          <w:color w:val="auto"/>
        </w:rPr>
      </w:pPr>
      <w:r>
        <w:rPr>
          <w:rFonts w:ascii="Courier New" w:cs="Courier New" w:eastAsia="Courier New" w:hAnsi="Courier New"/>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-57150</wp:posOffset>
            </wp:positionV>
            <wp:extent cx="26155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15565" cy="8255"/>
                    </a:xfrm>
                    <a:prstGeom prst="rect">
                      <a:avLst/>
                    </a:prstGeom>
                    <a:noFill/>
                  </pic:spPr>
                </pic:pic>
              </a:graphicData>
            </a:graphic>
          </wp:anchor>
        </w:drawing>
      </w:r>
    </w:p>
    <w:p>
      <w:pPr>
        <w:sectPr>
          <w:pgSz w:w="11900" w:h="16838" w:orient="portrait"/>
          <w:cols w:equalWidth="0" w:num="1">
            <w:col w:w="9019"/>
          </w:cols>
          <w:pgMar w:left="1440" w:top="34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strike w:val="1"/>
        </w:rPr>
        <w:t>4. GOODWILL AND OTHER INTANGIBLE ASSETS</w:t>
      </w:r>
    </w:p>
    <w:p>
      <w:pPr>
        <w:spacing w:after="0" w:line="203" w:lineRule="exact"/>
        <w:rPr>
          <w:sz w:val="20"/>
          <w:szCs w:val="20"/>
          <w:color w:val="auto"/>
        </w:rPr>
      </w:pPr>
    </w:p>
    <w:p>
      <w:pPr>
        <w:ind w:right="3700"/>
        <w:spacing w:after="0" w:line="247" w:lineRule="auto"/>
        <w:rPr>
          <w:sz w:val="20"/>
          <w:szCs w:val="20"/>
          <w:color w:val="auto"/>
        </w:rPr>
      </w:pPr>
      <w:r>
        <w:rPr>
          <w:rFonts w:ascii="Courier New" w:cs="Courier New" w:eastAsia="Courier New" w:hAnsi="Courier New"/>
          <w:sz w:val="17"/>
          <w:szCs w:val="17"/>
          <w:color w:val="auto"/>
          <w:strike w:val="1"/>
        </w:rPr>
        <w:t>Changes in the carrying amount of goodwill for the six months ended June 30, 2006,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308610</wp:posOffset>
            </wp:positionV>
            <wp:extent cx="45116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51167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6"/>
              </w:rPr>
              <w:t>Balance at December 31, 2005 .....................................</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40" w:type="dxa"/>
            <w:vAlign w:val="bottom"/>
          </w:tcPr>
          <w:p>
            <w:pPr>
              <w:jc w:val="right"/>
              <w:ind w:right="734"/>
              <w:spacing w:after="0"/>
              <w:rPr>
                <w:sz w:val="20"/>
                <w:szCs w:val="20"/>
                <w:color w:val="auto"/>
              </w:rPr>
            </w:pPr>
            <w:r>
              <w:rPr>
                <w:rFonts w:ascii="Courier New" w:cs="Courier New" w:eastAsia="Courier New" w:hAnsi="Courier New"/>
                <w:sz w:val="17"/>
                <w:szCs w:val="17"/>
                <w:color w:val="auto"/>
                <w:w w:val="97"/>
              </w:rPr>
              <w:t>$ 68,364</w:t>
            </w: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8"/>
        </w:trPr>
        <w:tc>
          <w:tcPr>
            <w:tcW w:w="660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6"/>
              </w:rPr>
              <w:t>Radionics acquisition ............................................</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20,604</w:t>
            </w: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6700" w:type="dxa"/>
            <w:vAlign w:val="bottom"/>
            <w:gridSpan w:val="3"/>
          </w:tcPr>
          <w:p>
            <w:pPr>
              <w:ind w:left="100"/>
              <w:spacing w:after="0"/>
              <w:rPr>
                <w:sz w:val="20"/>
                <w:szCs w:val="20"/>
                <w:color w:val="auto"/>
              </w:rPr>
            </w:pPr>
            <w:r>
              <w:rPr>
                <w:rFonts w:ascii="Courier New" w:cs="Courier New" w:eastAsia="Courier New" w:hAnsi="Courier New"/>
                <w:sz w:val="17"/>
                <w:szCs w:val="17"/>
                <w:color w:val="auto"/>
                <w:w w:val="97"/>
              </w:rPr>
              <w:t>Miltex acquisition (based on preliminary allocation)..............</w:t>
            </w:r>
          </w:p>
        </w:tc>
        <w:tc>
          <w:tcPr>
            <w:tcW w:w="720" w:type="dxa"/>
            <w:vAlign w:val="bottom"/>
          </w:tcPr>
          <w:p>
            <w:pPr>
              <w:spacing w:after="0"/>
              <w:rPr>
                <w:sz w:val="17"/>
                <w:szCs w:val="17"/>
                <w:color w:val="auto"/>
              </w:rPr>
            </w:pPr>
          </w:p>
        </w:tc>
        <w:tc>
          <w:tcPr>
            <w:tcW w:w="164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54,275</w:t>
            </w: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660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6"/>
              </w:rPr>
              <w:t>Newdeal working capital adjustment ...............................</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694</w:t>
            </w: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660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6"/>
              </w:rPr>
              <w:t>Foreign currency translation .....................................</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3,379</w:t>
            </w: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5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jc w:val="right"/>
              <w:ind w:right="734"/>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660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6"/>
              </w:rPr>
              <w:t>Balance at June 30, 2006 .........................................</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jc w:val="right"/>
              <w:ind w:right="734"/>
              <w:spacing w:after="0"/>
              <w:rPr>
                <w:sz w:val="20"/>
                <w:szCs w:val="20"/>
                <w:color w:val="auto"/>
              </w:rPr>
            </w:pPr>
            <w:r>
              <w:rPr>
                <w:rFonts w:ascii="Courier New" w:cs="Courier New" w:eastAsia="Courier New" w:hAnsi="Courier New"/>
                <w:sz w:val="17"/>
                <w:szCs w:val="17"/>
                <w:color w:val="auto"/>
                <w:w w:val="97"/>
              </w:rPr>
              <w:t>$147,316</w:t>
            </w: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5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jc w:val="right"/>
              <w:ind w:right="734"/>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96"/>
        </w:trPr>
        <w:tc>
          <w:tcPr>
            <w:tcW w:w="9060" w:type="dxa"/>
            <w:vAlign w:val="bottom"/>
            <w:gridSpan w:val="5"/>
          </w:tcPr>
          <w:p>
            <w:pPr>
              <w:spacing w:after="0"/>
              <w:rPr>
                <w:sz w:val="20"/>
                <w:szCs w:val="20"/>
                <w:color w:val="auto"/>
              </w:rPr>
            </w:pPr>
            <w:r>
              <w:rPr>
                <w:rFonts w:ascii="Courier New" w:cs="Courier New" w:eastAsia="Courier New" w:hAnsi="Courier New"/>
                <w:sz w:val="17"/>
                <w:szCs w:val="17"/>
                <w:color w:val="auto"/>
                <w:strike w:val="1"/>
              </w:rPr>
              <w:t>The components of the Company's identifiable intangible assets were as follows</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8"/>
        </w:trPr>
        <w:tc>
          <w:tcPr>
            <w:tcW w:w="5360" w:type="dxa"/>
            <w:vAlign w:val="bottom"/>
          </w:tcPr>
          <w:p>
            <w:pPr>
              <w:spacing w:after="0"/>
              <w:rPr>
                <w:sz w:val="20"/>
                <w:szCs w:val="20"/>
                <w:color w:val="auto"/>
              </w:rPr>
            </w:pPr>
            <w:r>
              <w:rPr>
                <w:rFonts w:ascii="Courier New" w:cs="Courier New" w:eastAsia="Courier New" w:hAnsi="Courier New"/>
                <w:sz w:val="17"/>
                <w:szCs w:val="17"/>
                <w:color w:val="auto"/>
                <w:strike w:val="1"/>
              </w:rPr>
              <w:t>(in thousands):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594"/>
        </w:trPr>
        <w:tc>
          <w:tcPr>
            <w:tcW w:w="5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2"/>
          </w:tcPr>
          <w:p>
            <w:pPr>
              <w:jc w:val="right"/>
              <w:ind w:right="634"/>
              <w:spacing w:after="0"/>
              <w:rPr>
                <w:sz w:val="20"/>
                <w:szCs w:val="20"/>
                <w:color w:val="auto"/>
              </w:rPr>
            </w:pPr>
            <w:r>
              <w:rPr>
                <w:rFonts w:ascii="Courier New" w:cs="Courier New" w:eastAsia="Courier New" w:hAnsi="Courier New"/>
                <w:sz w:val="17"/>
                <w:szCs w:val="17"/>
                <w:color w:val="auto"/>
              </w:rPr>
              <w:t>June 30, 2006</w:t>
            </w:r>
          </w:p>
        </w:tc>
        <w:tc>
          <w:tcPr>
            <w:tcW w:w="246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December 31, 2005</w:t>
            </w:r>
          </w:p>
        </w:tc>
      </w:tr>
      <w:tr>
        <w:trPr>
          <w:trHeight w:val="198"/>
        </w:trPr>
        <w:tc>
          <w:tcPr>
            <w:tcW w:w="5360" w:type="dxa"/>
            <w:vAlign w:val="bottom"/>
          </w:tcPr>
          <w:p>
            <w:pPr>
              <w:spacing w:after="0"/>
              <w:rPr>
                <w:sz w:val="17"/>
                <w:szCs w:val="17"/>
                <w:color w:val="auto"/>
              </w:rPr>
            </w:pP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Weighted</w:t>
            </w:r>
          </w:p>
        </w:tc>
        <w:tc>
          <w:tcPr>
            <w:tcW w:w="8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c>
          <w:tcPr>
            <w:tcW w:w="1640" w:type="dxa"/>
            <w:vAlign w:val="bottom"/>
          </w:tcPr>
          <w:p>
            <w:pPr>
              <w:spacing w:after="0"/>
              <w:rPr>
                <w:sz w:val="17"/>
                <w:szCs w:val="17"/>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360" w:type="dxa"/>
            <w:vAlign w:val="bottom"/>
          </w:tcPr>
          <w:p>
            <w:pPr>
              <w:spacing w:after="0"/>
              <w:rPr>
                <w:sz w:val="17"/>
                <w:szCs w:val="17"/>
                <w:color w:val="auto"/>
              </w:rPr>
            </w:pP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Average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rPr>
              <w:t>Accumulated</w:t>
            </w:r>
          </w:p>
        </w:tc>
        <w:tc>
          <w:tcPr>
            <w:tcW w:w="1180" w:type="dxa"/>
            <w:vAlign w:val="bottom"/>
          </w:tcPr>
          <w:p>
            <w:pPr>
              <w:spacing w:after="0"/>
              <w:rPr>
                <w:sz w:val="17"/>
                <w:szCs w:val="17"/>
                <w:color w:val="auto"/>
              </w:rPr>
            </w:pP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rPr>
              <w:t>Accumulated</w:t>
            </w:r>
          </w:p>
        </w:tc>
      </w:tr>
      <w:tr>
        <w:trPr>
          <w:trHeight w:val="198"/>
        </w:trPr>
        <w:tc>
          <w:tcPr>
            <w:tcW w:w="5360" w:type="dxa"/>
            <w:vAlign w:val="bottom"/>
          </w:tcPr>
          <w:p>
            <w:pPr>
              <w:spacing w:after="0"/>
              <w:rPr>
                <w:sz w:val="17"/>
                <w:szCs w:val="17"/>
                <w:color w:val="auto"/>
              </w:rPr>
            </w:pPr>
          </w:p>
        </w:tc>
        <w:tc>
          <w:tcPr>
            <w:tcW w:w="12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Life</w:t>
            </w:r>
          </w:p>
        </w:tc>
        <w:tc>
          <w:tcPr>
            <w:tcW w:w="100" w:type="dxa"/>
            <w:vAlign w:val="bottom"/>
          </w:tcPr>
          <w:p>
            <w:pPr>
              <w:spacing w:after="0"/>
              <w:rPr>
                <w:sz w:val="17"/>
                <w:szCs w:val="17"/>
                <w:color w:val="auto"/>
              </w:rPr>
            </w:pP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Cost</w:t>
            </w: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rPr>
              <w:t>Amortization</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Cost</w:t>
            </w: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w w:val="98"/>
              </w:rPr>
              <w:t>Amortization</w:t>
            </w:r>
          </w:p>
        </w:tc>
      </w:tr>
      <w:tr>
        <w:trPr>
          <w:trHeight w:val="198"/>
        </w:trPr>
        <w:tc>
          <w:tcPr>
            <w:tcW w:w="5360" w:type="dxa"/>
            <w:vAlign w:val="bottom"/>
          </w:tcPr>
          <w:p>
            <w:pPr>
              <w:spacing w:after="0"/>
              <w:rPr>
                <w:sz w:val="17"/>
                <w:szCs w:val="17"/>
                <w:color w:val="auto"/>
              </w:rPr>
            </w:pP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w:t>
            </w: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360" w:type="dxa"/>
            <w:vAlign w:val="bottom"/>
          </w:tcPr>
          <w:p>
            <w:pPr>
              <w:ind w:left="2160"/>
              <w:spacing w:after="0"/>
              <w:rPr>
                <w:sz w:val="20"/>
                <w:szCs w:val="20"/>
                <w:color w:val="auto"/>
              </w:rPr>
            </w:pPr>
            <w:r>
              <w:rPr>
                <w:rFonts w:ascii="Courier New" w:cs="Courier New" w:eastAsia="Courier New" w:hAnsi="Courier New"/>
                <w:sz w:val="17"/>
                <w:szCs w:val="17"/>
                <w:color w:val="auto"/>
              </w:rPr>
              <w:t>Completed technology .......</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12 years</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30,590</w:t>
            </w:r>
          </w:p>
        </w:tc>
        <w:tc>
          <w:tcPr>
            <w:tcW w:w="16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 (6,926)</w:t>
            </w: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$ 18,921</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 (5,691)</w:t>
            </w:r>
          </w:p>
        </w:tc>
      </w:tr>
      <w:tr>
        <w:trPr>
          <w:trHeight w:val="198"/>
        </w:trPr>
        <w:tc>
          <w:tcPr>
            <w:tcW w:w="5360" w:type="dxa"/>
            <w:vAlign w:val="bottom"/>
          </w:tcPr>
          <w:p>
            <w:pPr>
              <w:ind w:left="2160"/>
              <w:spacing w:after="0"/>
              <w:rPr>
                <w:sz w:val="20"/>
                <w:szCs w:val="20"/>
                <w:color w:val="auto"/>
              </w:rPr>
            </w:pPr>
            <w:r>
              <w:rPr>
                <w:rFonts w:ascii="Courier New" w:cs="Courier New" w:eastAsia="Courier New" w:hAnsi="Courier New"/>
                <w:sz w:val="17"/>
                <w:szCs w:val="17"/>
                <w:color w:val="auto"/>
              </w:rPr>
              <w:t>Customer relationships .....</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13 years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58,822</w:t>
            </w:r>
          </w:p>
        </w:tc>
        <w:tc>
          <w:tcPr>
            <w:tcW w:w="16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(6,923)</w:t>
            </w: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22,550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(4,823)</w:t>
            </w:r>
          </w:p>
        </w:tc>
      </w:tr>
      <w:tr>
        <w:trPr>
          <w:trHeight w:val="198"/>
        </w:trPr>
        <w:tc>
          <w:tcPr>
            <w:tcW w:w="6600" w:type="dxa"/>
            <w:vAlign w:val="bottom"/>
            <w:gridSpan w:val="2"/>
          </w:tcPr>
          <w:p>
            <w:pPr>
              <w:ind w:left="2160"/>
              <w:spacing w:after="0"/>
              <w:rPr>
                <w:sz w:val="20"/>
                <w:szCs w:val="20"/>
                <w:color w:val="auto"/>
              </w:rPr>
            </w:pPr>
            <w:r>
              <w:rPr>
                <w:rFonts w:ascii="Courier New" w:cs="Courier New" w:eastAsia="Courier New" w:hAnsi="Courier New"/>
                <w:sz w:val="17"/>
                <w:szCs w:val="17"/>
                <w:color w:val="auto"/>
              </w:rPr>
              <w:t>Trademarks/brand names ..... Indefinite</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31,600</w:t>
            </w:r>
          </w:p>
        </w:tc>
        <w:tc>
          <w:tcPr>
            <w:tcW w:w="16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5360" w:type="dxa"/>
            <w:vAlign w:val="bottom"/>
          </w:tcPr>
          <w:p>
            <w:pPr>
              <w:ind w:left="2160"/>
              <w:spacing w:after="0"/>
              <w:rPr>
                <w:sz w:val="20"/>
                <w:szCs w:val="20"/>
                <w:color w:val="auto"/>
              </w:rPr>
            </w:pPr>
            <w:r>
              <w:rPr>
                <w:rFonts w:ascii="Courier New" w:cs="Courier New" w:eastAsia="Courier New" w:hAnsi="Courier New"/>
                <w:sz w:val="17"/>
                <w:szCs w:val="17"/>
                <w:color w:val="auto"/>
              </w:rPr>
              <w:t>Trademarks/brand names .....</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35 years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32,256</w:t>
            </w:r>
          </w:p>
        </w:tc>
        <w:tc>
          <w:tcPr>
            <w:tcW w:w="16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(3,367)</w:t>
            </w: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31,175</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(2,802)</w:t>
            </w:r>
          </w:p>
        </w:tc>
      </w:tr>
      <w:tr>
        <w:trPr>
          <w:trHeight w:val="198"/>
        </w:trPr>
        <w:tc>
          <w:tcPr>
            <w:tcW w:w="5360" w:type="dxa"/>
            <w:vAlign w:val="bottom"/>
          </w:tcPr>
          <w:p>
            <w:pPr>
              <w:ind w:left="2160"/>
              <w:spacing w:after="0"/>
              <w:rPr>
                <w:sz w:val="20"/>
                <w:szCs w:val="20"/>
                <w:color w:val="auto"/>
              </w:rPr>
            </w:pPr>
            <w:r>
              <w:rPr>
                <w:rFonts w:ascii="Courier New" w:cs="Courier New" w:eastAsia="Courier New" w:hAnsi="Courier New"/>
                <w:sz w:val="17"/>
                <w:szCs w:val="17"/>
                <w:color w:val="auto"/>
              </w:rPr>
              <w:t>Noncompetition agreements...</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 years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7,006</w:t>
            </w:r>
          </w:p>
        </w:tc>
        <w:tc>
          <w:tcPr>
            <w:tcW w:w="16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(3,343)</w:t>
            </w: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6,943</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(2,607)</w:t>
            </w:r>
          </w:p>
        </w:tc>
      </w:tr>
      <w:tr>
        <w:trPr>
          <w:trHeight w:val="198"/>
        </w:trPr>
        <w:tc>
          <w:tcPr>
            <w:tcW w:w="5360" w:type="dxa"/>
            <w:vAlign w:val="bottom"/>
          </w:tcPr>
          <w:p>
            <w:pPr>
              <w:ind w:left="2160"/>
              <w:spacing w:after="0"/>
              <w:rPr>
                <w:sz w:val="20"/>
                <w:szCs w:val="20"/>
                <w:color w:val="auto"/>
              </w:rPr>
            </w:pPr>
            <w:r>
              <w:rPr>
                <w:rFonts w:ascii="Courier New" w:cs="Courier New" w:eastAsia="Courier New" w:hAnsi="Courier New"/>
                <w:sz w:val="17"/>
                <w:szCs w:val="17"/>
                <w:color w:val="auto"/>
              </w:rPr>
              <w:t>All other ..................</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15 years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1,620</w:t>
            </w:r>
          </w:p>
        </w:tc>
        <w:tc>
          <w:tcPr>
            <w:tcW w:w="16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(783)</w:t>
            </w: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2,233</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(1,330)</w:t>
            </w:r>
          </w:p>
        </w:tc>
      </w:tr>
      <w:tr>
        <w:trPr>
          <w:trHeight w:val="198"/>
        </w:trPr>
        <w:tc>
          <w:tcPr>
            <w:tcW w:w="5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w:t>
            </w: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161,894</w:t>
            </w:r>
          </w:p>
        </w:tc>
        <w:tc>
          <w:tcPr>
            <w:tcW w:w="16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$(21,342)</w:t>
            </w: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$ 81,822</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$(17,253)</w:t>
            </w:r>
          </w:p>
        </w:tc>
      </w:tr>
      <w:tr>
        <w:trPr>
          <w:trHeight w:val="198"/>
        </w:trPr>
        <w:tc>
          <w:tcPr>
            <w:tcW w:w="5360" w:type="dxa"/>
            <w:vAlign w:val="bottom"/>
          </w:tcPr>
          <w:p>
            <w:pPr>
              <w:ind w:left="2160"/>
              <w:spacing w:after="0"/>
              <w:rPr>
                <w:sz w:val="20"/>
                <w:szCs w:val="20"/>
                <w:color w:val="auto"/>
              </w:rPr>
            </w:pPr>
            <w:r>
              <w:rPr>
                <w:rFonts w:ascii="Courier New" w:cs="Courier New" w:eastAsia="Courier New" w:hAnsi="Courier New"/>
                <w:sz w:val="17"/>
                <w:szCs w:val="17"/>
                <w:color w:val="auto"/>
              </w:rPr>
              <w:t>Accumulated amortization ..</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2"/>
          </w:tcPr>
          <w:p>
            <w:pPr>
              <w:jc w:val="right"/>
              <w:ind w:right="1454"/>
              <w:spacing w:after="0"/>
              <w:rPr>
                <w:sz w:val="20"/>
                <w:szCs w:val="20"/>
                <w:color w:val="auto"/>
              </w:rPr>
            </w:pPr>
            <w:r>
              <w:rPr>
                <w:rFonts w:ascii="Courier New" w:cs="Courier New" w:eastAsia="Courier New" w:hAnsi="Courier New"/>
                <w:sz w:val="17"/>
                <w:szCs w:val="17"/>
                <w:color w:val="auto"/>
                <w:w w:val="97"/>
              </w:rPr>
              <w:t>(21,342)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(17,253)</w:t>
            </w:r>
          </w:p>
        </w:tc>
        <w:tc>
          <w:tcPr>
            <w:tcW w:w="1280" w:type="dxa"/>
            <w:vAlign w:val="bottom"/>
          </w:tcPr>
          <w:p>
            <w:pPr>
              <w:spacing w:after="0"/>
              <w:rPr>
                <w:sz w:val="17"/>
                <w:szCs w:val="17"/>
                <w:color w:val="auto"/>
              </w:rPr>
            </w:pPr>
          </w:p>
        </w:tc>
      </w:tr>
      <w:tr>
        <w:trPr>
          <w:trHeight w:val="198"/>
        </w:trPr>
        <w:tc>
          <w:tcPr>
            <w:tcW w:w="5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w:t>
            </w:r>
          </w:p>
        </w:tc>
        <w:tc>
          <w:tcPr>
            <w:tcW w:w="164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spacing w:after="0"/>
              <w:rPr>
                <w:sz w:val="17"/>
                <w:szCs w:val="17"/>
                <w:color w:val="auto"/>
              </w:rPr>
            </w:pPr>
          </w:p>
        </w:tc>
      </w:tr>
      <w:tr>
        <w:trPr>
          <w:trHeight w:val="198"/>
        </w:trPr>
        <w:tc>
          <w:tcPr>
            <w:tcW w:w="5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140,552</w:t>
            </w:r>
          </w:p>
        </w:tc>
        <w:tc>
          <w:tcPr>
            <w:tcW w:w="164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$ 64,569</w:t>
            </w:r>
          </w:p>
        </w:tc>
        <w:tc>
          <w:tcPr>
            <w:tcW w:w="1280" w:type="dxa"/>
            <w:vAlign w:val="bottom"/>
          </w:tcPr>
          <w:p>
            <w:pPr>
              <w:spacing w:after="0"/>
              <w:rPr>
                <w:sz w:val="17"/>
                <w:szCs w:val="17"/>
                <w:color w:val="auto"/>
              </w:rPr>
            </w:pPr>
          </w:p>
        </w:tc>
      </w:tr>
      <w:tr>
        <w:trPr>
          <w:trHeight w:val="198"/>
        </w:trPr>
        <w:tc>
          <w:tcPr>
            <w:tcW w:w="5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w:t>
            </w:r>
          </w:p>
        </w:tc>
        <w:tc>
          <w:tcPr>
            <w:tcW w:w="164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-3836035</wp:posOffset>
            </wp:positionV>
            <wp:extent cx="52304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-3710305</wp:posOffset>
            </wp:positionV>
            <wp:extent cx="52304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-3584575</wp:posOffset>
            </wp:positionV>
            <wp:extent cx="52304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-3458845</wp:posOffset>
            </wp:positionV>
            <wp:extent cx="52304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-3333115</wp:posOffset>
            </wp:positionV>
            <wp:extent cx="52304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-3207385</wp:posOffset>
            </wp:positionV>
            <wp:extent cx="52304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-3081655</wp:posOffset>
            </wp:positionV>
            <wp:extent cx="52304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-2955925</wp:posOffset>
            </wp:positionV>
            <wp:extent cx="52304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-2201545</wp:posOffset>
            </wp:positionV>
            <wp:extent cx="70612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6120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-2075815</wp:posOffset>
            </wp:positionV>
            <wp:extent cx="73113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113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-1950085</wp:posOffset>
            </wp:positionV>
            <wp:extent cx="72574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74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-1824990</wp:posOffset>
            </wp:positionV>
            <wp:extent cx="73113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113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-1699260</wp:posOffset>
            </wp:positionV>
            <wp:extent cx="73113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113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-1573530</wp:posOffset>
            </wp:positionV>
            <wp:extent cx="56876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876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-1447800</wp:posOffset>
            </wp:positionV>
            <wp:extent cx="72574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74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-1322070</wp:posOffset>
            </wp:positionV>
            <wp:extent cx="72574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74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71920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920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72574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74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72574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74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72574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74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73113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113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72574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74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64725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4725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64077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077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64077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077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640778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07785" cy="8255"/>
                    </a:xfrm>
                    <a:prstGeom prst="rect">
                      <a:avLst/>
                    </a:prstGeom>
                    <a:noFill/>
                  </pic:spPr>
                </pic:pic>
              </a:graphicData>
            </a:graphic>
          </wp:anchor>
        </w:drawing>
      </w:r>
    </w:p>
    <w:p>
      <w:pPr>
        <w:spacing w:after="0" w:line="183" w:lineRule="exact"/>
        <w:rPr>
          <w:sz w:val="20"/>
          <w:szCs w:val="20"/>
          <w:color w:val="auto"/>
        </w:rPr>
      </w:pPr>
    </w:p>
    <w:p>
      <w:pPr>
        <w:ind w:right="3480"/>
        <w:spacing w:after="0" w:line="246" w:lineRule="auto"/>
        <w:rPr>
          <w:sz w:val="20"/>
          <w:szCs w:val="20"/>
          <w:color w:val="auto"/>
        </w:rPr>
      </w:pPr>
      <w:r>
        <w:rPr>
          <w:rFonts w:ascii="Courier New" w:cs="Courier New" w:eastAsia="Courier New" w:hAnsi="Courier New"/>
          <w:sz w:val="17"/>
          <w:szCs w:val="17"/>
          <w:color w:val="auto"/>
          <w:strike w:val="1"/>
        </w:rPr>
        <w:t>Annual amortization expense is expected to approximate $9.8 million in 2006, $10.6 million in 2007, $10.3 million in 2008, $9.6 million in 2009, and $8.9 million in 2010. Identifiable intangible assets are initially recorded at fair market value at the time of acquisition generally using an income or cost approach.</w:t>
      </w:r>
    </w:p>
    <w:p>
      <w:pPr>
        <w:spacing w:after="0" w:line="201" w:lineRule="exact"/>
        <w:rPr>
          <w:sz w:val="20"/>
          <w:szCs w:val="20"/>
          <w:color w:val="auto"/>
        </w:rPr>
      </w:pPr>
    </w:p>
    <w:p>
      <w:pPr>
        <w:ind w:left="420" w:hanging="414"/>
        <w:spacing w:after="0"/>
        <w:tabs>
          <w:tab w:leader="none" w:pos="420" w:val="left"/>
        </w:tabs>
        <w:numPr>
          <w:ilvl w:val="0"/>
          <w:numId w:val="5"/>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RESTRUCTURING ACTIVITIES</w:t>
      </w:r>
    </w:p>
    <w:p>
      <w:pPr>
        <w:spacing w:after="0" w:line="203" w:lineRule="exact"/>
        <w:rPr>
          <w:sz w:val="20"/>
          <w:szCs w:val="20"/>
          <w:color w:val="auto"/>
        </w:rPr>
      </w:pPr>
    </w:p>
    <w:p>
      <w:pPr>
        <w:ind w:right="3280"/>
        <w:spacing w:after="0" w:line="246" w:lineRule="auto"/>
        <w:rPr>
          <w:sz w:val="20"/>
          <w:szCs w:val="20"/>
          <w:color w:val="auto"/>
        </w:rPr>
      </w:pPr>
      <w:r>
        <w:rPr>
          <w:rFonts w:ascii="Courier New" w:cs="Courier New" w:eastAsia="Courier New" w:hAnsi="Courier New"/>
          <w:sz w:val="17"/>
          <w:szCs w:val="17"/>
          <w:color w:val="auto"/>
          <w:strike w:val="1"/>
        </w:rPr>
        <w:t>In June 2005, management announced plans to restructure the Company's European operations. The restructuring plan included closing the Company's Integra ME production facility in Tuttlingen, Germany and reducing various positions in the Company's production facility located in Biot, France, both of which were substantially completed in December 2005. The Company transitioned the manufacturing operations of Integra ME to its production facility in Andover, UK. The Company also eliminated some duplicative sales and marketing positions, primarily in Europe. The Company terminated 68 individuals under the European restructuring plan.</w:t>
      </w:r>
    </w:p>
    <w:p>
      <w:pPr>
        <w:spacing w:after="0" w:line="203" w:lineRule="exact"/>
        <w:rPr>
          <w:sz w:val="20"/>
          <w:szCs w:val="20"/>
          <w:color w:val="auto"/>
        </w:rPr>
      </w:pPr>
    </w:p>
    <w:p>
      <w:pPr>
        <w:ind w:right="3280"/>
        <w:spacing w:after="0" w:line="246" w:lineRule="auto"/>
        <w:rPr>
          <w:sz w:val="20"/>
          <w:szCs w:val="20"/>
          <w:color w:val="auto"/>
        </w:rPr>
      </w:pPr>
      <w:r>
        <w:rPr>
          <w:rFonts w:ascii="Courier New" w:cs="Courier New" w:eastAsia="Courier New" w:hAnsi="Courier New"/>
          <w:sz w:val="17"/>
          <w:szCs w:val="17"/>
          <w:color w:val="auto"/>
          <w:strike w:val="1"/>
        </w:rPr>
        <w:t>During the six months ended June 30, 2006, the Company terminated four employees in connection with the transfer of certain manufacturing packaging operations from its plant in Plainsboro, New Jersey to its plant in Anasco, Puerto Rico. The Company may terminate approximately ten additional employees over the next nine to twelve months in connection with this transfer; however no final decision has been made.</w:t>
      </w:r>
    </w:p>
    <w:p>
      <w:pPr>
        <w:spacing w:after="0" w:line="202" w:lineRule="exact"/>
        <w:rPr>
          <w:sz w:val="20"/>
          <w:szCs w:val="20"/>
          <w:color w:val="auto"/>
        </w:rPr>
      </w:pPr>
    </w:p>
    <w:p>
      <w:pPr>
        <w:ind w:right="3380"/>
        <w:spacing w:after="0" w:line="246" w:lineRule="auto"/>
        <w:rPr>
          <w:sz w:val="20"/>
          <w:szCs w:val="20"/>
          <w:color w:val="auto"/>
        </w:rPr>
      </w:pPr>
      <w:r>
        <w:rPr>
          <w:rFonts w:ascii="Courier New" w:cs="Courier New" w:eastAsia="Courier New" w:hAnsi="Courier New"/>
          <w:sz w:val="17"/>
          <w:szCs w:val="17"/>
          <w:color w:val="auto"/>
          <w:strike w:val="1"/>
        </w:rPr>
        <w:t>In connection with these restructuring activities, the Company has recorded the following charges during the three and six months ended June 30, 2006 (in thousands):</w:t>
      </w:r>
    </w:p>
    <w:p>
      <w:pPr>
        <w:sectPr>
          <w:pgSz w:w="11900" w:h="16838" w:orient="portrait"/>
          <w:cols w:equalWidth="0" w:num="1">
            <w:col w:w="11520"/>
          </w:cols>
          <w:pgMar w:left="240" w:top="709" w:right="139" w:bottom="0" w:gutter="0" w:footer="0" w:header="0"/>
        </w:sectPr>
      </w:pPr>
    </w:p>
    <w:p>
      <w:pPr>
        <w:spacing w:after="0" w:line="200" w:lineRule="exact"/>
        <w:rPr>
          <w:sz w:val="20"/>
          <w:szCs w:val="20"/>
          <w:color w:val="auto"/>
        </w:rPr>
      </w:pPr>
    </w:p>
    <w:p>
      <w:pPr>
        <w:spacing w:after="0" w:line="396"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Cost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-189865</wp:posOffset>
            </wp:positionV>
            <wp:extent cx="51650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-64135</wp:posOffset>
            </wp:positionV>
            <wp:extent cx="52959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95900" cy="8255"/>
                    </a:xfrm>
                    <a:prstGeom prst="rect">
                      <a:avLst/>
                    </a:prstGeom>
                    <a:noFill/>
                  </pic:spPr>
                </pic:pic>
              </a:graphicData>
            </a:graphic>
          </wp:anchor>
        </w:drawing>
      </w:r>
    </w:p>
    <w:p>
      <w:pPr>
        <w:ind w:left="4540"/>
        <w:spacing w:after="0"/>
        <w:rPr>
          <w:sz w:val="20"/>
          <w:szCs w:val="20"/>
          <w:color w:val="auto"/>
        </w:rPr>
      </w:pPr>
      <w:r>
        <w:rPr>
          <w:rFonts w:ascii="Courier New" w:cs="Courier New" w:eastAsia="Courier New" w:hAnsi="Courier New"/>
          <w:sz w:val="17"/>
          <w:szCs w:val="17"/>
          <w:color w:val="auto"/>
        </w:rPr>
        <w:t>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60153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15355" cy="8255"/>
                    </a:xfrm>
                    <a:prstGeom prst="rect">
                      <a:avLst/>
                    </a:prstGeom>
                    <a:noFill/>
                  </pic:spPr>
                </pic:pic>
              </a:graphicData>
            </a:graphic>
          </wp:anchor>
        </w:drawing>
      </w:r>
    </w:p>
    <w:p>
      <w:pPr>
        <w:ind w:left="44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60807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60960</wp:posOffset>
            </wp:positionV>
            <wp:extent cx="4707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07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Research</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Development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Selling</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General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40"/>
        <w:spacing w:after="0"/>
        <w:rPr>
          <w:sz w:val="20"/>
          <w:szCs w:val="20"/>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19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4">
            <w:col w:w="5160" w:space="500"/>
            <w:col w:w="1140" w:space="300"/>
            <w:col w:w="1460" w:space="300"/>
            <w:col w:w="2660"/>
          </w:cols>
          <w:pgMar w:left="240" w:top="709" w:right="139"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Involuntary employee termination costs:</w:t>
      </w:r>
    </w:p>
    <w:p>
      <w:pPr>
        <w:sectPr>
          <w:pgSz w:w="11900" w:h="16838" w:orient="portrait"/>
          <w:cols w:equalWidth="0" w:num="1">
            <w:col w:w="11520"/>
          </w:cols>
          <w:pgMar w:left="240" w:top="709" w:right="139" w:bottom="0" w:gutter="0" w:footer="0" w:header="0"/>
          <w:type w:val="continuous"/>
        </w:sectPr>
      </w:pPr>
    </w:p>
    <w:p>
      <w:pPr>
        <w:spacing w:after="0" w:line="5" w:lineRule="exact"/>
        <w:rPr>
          <w:sz w:val="20"/>
          <w:szCs w:val="20"/>
          <w:color w:val="auto"/>
        </w:rPr>
      </w:pPr>
    </w:p>
    <w:p>
      <w:pPr>
        <w:spacing w:after="0" w:line="247" w:lineRule="auto"/>
        <w:rPr>
          <w:sz w:val="20"/>
          <w:szCs w:val="20"/>
          <w:color w:val="auto"/>
        </w:rPr>
      </w:pPr>
      <w:r>
        <w:rPr>
          <w:rFonts w:ascii="Courier New" w:cs="Courier New" w:eastAsia="Courier New" w:hAnsi="Courier New"/>
          <w:sz w:val="17"/>
          <w:szCs w:val="17"/>
          <w:color w:val="auto"/>
        </w:rPr>
        <w:t>Three months ended June 30, 2006 ......... $ 127 Six months ended June 30, 2006............ $ 228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58845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845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-67945</wp:posOffset>
            </wp:positionV>
            <wp:extent cx="58845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845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7"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7"/>
          <w:szCs w:val="17"/>
          <w:color w:val="auto"/>
        </w:rPr>
        <w:t>$</w:t>
        <w:tab/>
        <w:t>127</w:t>
      </w:r>
    </w:p>
    <w:p>
      <w:pPr>
        <w:spacing w:after="0" w:line="5"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7"/>
          <w:szCs w:val="17"/>
          <w:color w:val="auto"/>
        </w:rPr>
        <w:t>$</w:t>
        <w:tab/>
        <w:t>250</w:t>
      </w:r>
    </w:p>
    <w:p>
      <w:pPr>
        <w:spacing w:after="0" w:line="205" w:lineRule="exact"/>
        <w:rPr>
          <w:sz w:val="20"/>
          <w:szCs w:val="20"/>
          <w:color w:val="auto"/>
        </w:rPr>
      </w:pPr>
    </w:p>
    <w:p>
      <w:pPr>
        <w:sectPr>
          <w:pgSz w:w="11900" w:h="16838" w:orient="portrait"/>
          <w:cols w:equalWidth="0" w:num="5">
            <w:col w:w="4940" w:space="720"/>
            <w:col w:w="120" w:space="400"/>
            <w:col w:w="200" w:space="720"/>
            <w:col w:w="840" w:space="720"/>
            <w:col w:w="2860"/>
          </w:cols>
          <w:pgMar w:left="240" w:top="709" w:right="139" w:bottom="0" w:gutter="0" w:footer="0" w:header="0"/>
          <w:type w:val="continuous"/>
        </w:sectPr>
      </w:pPr>
    </w:p>
    <w:p>
      <w:pPr>
        <w:spacing w:after="0" w:line="19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26155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15565" cy="8255"/>
                    </a:xfrm>
                    <a:prstGeom prst="rect">
                      <a:avLst/>
                    </a:prstGeom>
                    <a:noFill/>
                  </pic:spPr>
                </pic:pic>
              </a:graphicData>
            </a:graphic>
          </wp:anchor>
        </w:drawing>
      </w:r>
    </w:p>
    <w:p>
      <w:pPr>
        <w:sectPr>
          <w:pgSz w:w="11900" w:h="16838" w:orient="portrait"/>
          <w:cols w:equalWidth="0" w:num="1">
            <w:col w:w="11520"/>
          </w:cols>
          <w:pgMar w:left="240" w:top="709" w:right="139" w:bottom="0" w:gutter="0" w:footer="0" w:header="0"/>
          <w:type w:val="continuous"/>
        </w:sectPr>
      </w:pPr>
    </w:p>
    <w:bookmarkStart w:id="13" w:name="page14"/>
    <w:bookmarkEnd w:id="13"/>
    <w:p>
      <w:pPr>
        <w:ind w:right="2079"/>
        <w:spacing w:after="0" w:line="247" w:lineRule="auto"/>
        <w:rPr>
          <w:sz w:val="20"/>
          <w:szCs w:val="20"/>
          <w:color w:val="auto"/>
        </w:rPr>
      </w:pPr>
      <w:r>
        <w:rPr>
          <w:rFonts w:ascii="Courier New" w:cs="Courier New" w:eastAsia="Courier New" w:hAnsi="Courier New"/>
          <w:sz w:val="17"/>
          <w:szCs w:val="17"/>
          <w:color w:val="auto"/>
          <w:strike w:val="1"/>
        </w:rPr>
        <w:t>Below is a reconciliation of the restructuring accrual activity recorded during 2006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Employee</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Facility</w:t>
            </w:r>
          </w:p>
        </w:tc>
        <w:tc>
          <w:tcPr>
            <w:tcW w:w="1180" w:type="dxa"/>
            <w:vAlign w:val="bottom"/>
          </w:tcPr>
          <w:p>
            <w:pPr>
              <w:spacing w:after="0"/>
              <w:rPr>
                <w:sz w:val="16"/>
                <w:szCs w:val="16"/>
                <w:color w:val="auto"/>
              </w:rPr>
            </w:pPr>
          </w:p>
        </w:tc>
      </w:tr>
      <w:tr>
        <w:trPr>
          <w:trHeight w:val="198"/>
        </w:trPr>
        <w:tc>
          <w:tcPr>
            <w:tcW w:w="552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Termination</w:t>
            </w:r>
          </w:p>
        </w:tc>
        <w:tc>
          <w:tcPr>
            <w:tcW w:w="46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Exit</w:t>
            </w:r>
          </w:p>
        </w:tc>
        <w:tc>
          <w:tcPr>
            <w:tcW w:w="1180" w:type="dxa"/>
            <w:vAlign w:val="bottom"/>
          </w:tcPr>
          <w:p>
            <w:pPr>
              <w:spacing w:after="0"/>
              <w:rPr>
                <w:sz w:val="17"/>
                <w:szCs w:val="17"/>
                <w:color w:val="auto"/>
              </w:rPr>
            </w:pPr>
          </w:p>
        </w:tc>
      </w:tr>
      <w:tr>
        <w:trPr>
          <w:trHeight w:val="198"/>
        </w:trPr>
        <w:tc>
          <w:tcPr>
            <w:tcW w:w="5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4"/>
              </w:rPr>
              <w:t>Costs</w:t>
            </w:r>
          </w:p>
        </w:tc>
        <w:tc>
          <w:tcPr>
            <w:tcW w:w="46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Costs</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Total</w:t>
            </w:r>
          </w:p>
        </w:tc>
      </w:tr>
      <w:tr>
        <w:trPr>
          <w:trHeight w:val="198"/>
        </w:trPr>
        <w:tc>
          <w:tcPr>
            <w:tcW w:w="5520" w:type="dxa"/>
            <w:vAlign w:val="bottom"/>
          </w:tcPr>
          <w:p>
            <w:pPr>
              <w:spacing w:after="0"/>
              <w:rPr>
                <w:sz w:val="17"/>
                <w:szCs w:val="17"/>
                <w:color w:val="auto"/>
              </w:rPr>
            </w:pPr>
          </w:p>
        </w:tc>
        <w:tc>
          <w:tcPr>
            <w:tcW w:w="14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520" w:type="dxa"/>
            <w:vAlign w:val="bottom"/>
          </w:tcPr>
          <w:p>
            <w:pPr>
              <w:spacing w:after="0"/>
              <w:rPr>
                <w:sz w:val="20"/>
                <w:szCs w:val="20"/>
                <w:color w:val="auto"/>
              </w:rPr>
            </w:pPr>
            <w:r>
              <w:rPr>
                <w:rFonts w:ascii="Courier New" w:cs="Courier New" w:eastAsia="Courier New" w:hAnsi="Courier New"/>
                <w:sz w:val="17"/>
                <w:szCs w:val="17"/>
                <w:color w:val="auto"/>
              </w:rPr>
              <w:t>Balance at December 31, 2005 ........................</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2,420</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124</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$ 2,544</w:t>
            </w:r>
          </w:p>
        </w:tc>
      </w:tr>
      <w:tr>
        <w:trPr>
          <w:trHeight w:val="198"/>
        </w:trPr>
        <w:tc>
          <w:tcPr>
            <w:tcW w:w="5520" w:type="dxa"/>
            <w:vAlign w:val="bottom"/>
          </w:tcPr>
          <w:p>
            <w:pPr>
              <w:spacing w:after="0"/>
              <w:rPr>
                <w:sz w:val="20"/>
                <w:szCs w:val="20"/>
                <w:color w:val="auto"/>
              </w:rPr>
            </w:pPr>
            <w:r>
              <w:rPr>
                <w:rFonts w:ascii="Courier New" w:cs="Courier New" w:eastAsia="Courier New" w:hAnsi="Courier New"/>
                <w:sz w:val="17"/>
                <w:szCs w:val="17"/>
                <w:color w:val="auto"/>
              </w:rPr>
              <w:t>Additions ...........................................</w:t>
            </w:r>
          </w:p>
        </w:tc>
        <w:tc>
          <w:tcPr>
            <w:tcW w:w="3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268</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268</w:t>
            </w:r>
          </w:p>
        </w:tc>
      </w:tr>
      <w:tr>
        <w:trPr>
          <w:trHeight w:val="198"/>
        </w:trPr>
        <w:tc>
          <w:tcPr>
            <w:tcW w:w="5520" w:type="dxa"/>
            <w:vAlign w:val="bottom"/>
          </w:tcPr>
          <w:p>
            <w:pPr>
              <w:spacing w:after="0"/>
              <w:rPr>
                <w:sz w:val="20"/>
                <w:szCs w:val="20"/>
                <w:color w:val="auto"/>
              </w:rPr>
            </w:pPr>
            <w:r>
              <w:rPr>
                <w:rFonts w:ascii="Courier New" w:cs="Courier New" w:eastAsia="Courier New" w:hAnsi="Courier New"/>
                <w:sz w:val="17"/>
                <w:szCs w:val="17"/>
                <w:color w:val="auto"/>
              </w:rPr>
              <w:t>Change in estimate...................................</w:t>
            </w:r>
          </w:p>
        </w:tc>
        <w:tc>
          <w:tcPr>
            <w:tcW w:w="360" w:type="dxa"/>
            <w:vAlign w:val="bottom"/>
          </w:tcPr>
          <w:p>
            <w:pPr>
              <w:spacing w:after="0"/>
              <w:rPr>
                <w:sz w:val="17"/>
                <w:szCs w:val="17"/>
                <w:color w:val="auto"/>
              </w:rPr>
            </w:pPr>
          </w:p>
        </w:tc>
        <w:tc>
          <w:tcPr>
            <w:tcW w:w="10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(18)</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8"/>
        </w:trPr>
        <w:tc>
          <w:tcPr>
            <w:tcW w:w="5520" w:type="dxa"/>
            <w:vAlign w:val="bottom"/>
          </w:tcPr>
          <w:p>
            <w:pPr>
              <w:spacing w:after="0"/>
              <w:rPr>
                <w:sz w:val="20"/>
                <w:szCs w:val="20"/>
                <w:color w:val="auto"/>
              </w:rPr>
            </w:pPr>
            <w:r>
              <w:rPr>
                <w:rFonts w:ascii="Courier New" w:cs="Courier New" w:eastAsia="Courier New" w:hAnsi="Courier New"/>
                <w:sz w:val="17"/>
                <w:szCs w:val="17"/>
                <w:color w:val="auto"/>
              </w:rPr>
              <w:t>Payments ............................................</w:t>
            </w:r>
          </w:p>
        </w:tc>
        <w:tc>
          <w:tcPr>
            <w:tcW w:w="360" w:type="dxa"/>
            <w:vAlign w:val="bottom"/>
          </w:tcPr>
          <w:p>
            <w:pPr>
              <w:spacing w:after="0"/>
              <w:rPr>
                <w:sz w:val="17"/>
                <w:szCs w:val="17"/>
                <w:color w:val="auto"/>
              </w:rPr>
            </w:pPr>
          </w:p>
        </w:tc>
        <w:tc>
          <w:tcPr>
            <w:tcW w:w="10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(1,991)</w:t>
            </w:r>
          </w:p>
        </w:tc>
        <w:tc>
          <w:tcPr>
            <w:tcW w:w="460" w:type="dxa"/>
            <w:vAlign w:val="bottom"/>
          </w:tcPr>
          <w:p>
            <w:pPr>
              <w:spacing w:after="0"/>
              <w:rPr>
                <w:sz w:val="17"/>
                <w:szCs w:val="17"/>
                <w:color w:val="auto"/>
              </w:rPr>
            </w:pPr>
          </w:p>
        </w:tc>
        <w:tc>
          <w:tcPr>
            <w:tcW w:w="10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(115)</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(2,106)</w:t>
            </w:r>
          </w:p>
        </w:tc>
      </w:tr>
      <w:tr>
        <w:trPr>
          <w:trHeight w:val="198"/>
        </w:trPr>
        <w:tc>
          <w:tcPr>
            <w:tcW w:w="5520" w:type="dxa"/>
            <w:vAlign w:val="bottom"/>
          </w:tcPr>
          <w:p>
            <w:pPr>
              <w:spacing w:after="0"/>
              <w:rPr>
                <w:sz w:val="20"/>
                <w:szCs w:val="20"/>
                <w:color w:val="auto"/>
              </w:rPr>
            </w:pPr>
            <w:r>
              <w:rPr>
                <w:rFonts w:ascii="Courier New" w:cs="Courier New" w:eastAsia="Courier New" w:hAnsi="Courier New"/>
                <w:sz w:val="17"/>
                <w:szCs w:val="17"/>
                <w:color w:val="auto"/>
              </w:rPr>
              <w:t>Effects of foreign exchange .........................</w:t>
            </w:r>
          </w:p>
        </w:tc>
        <w:tc>
          <w:tcPr>
            <w:tcW w:w="3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108</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5</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113</w:t>
            </w:r>
          </w:p>
        </w:tc>
      </w:tr>
      <w:tr>
        <w:trPr>
          <w:trHeight w:val="198"/>
        </w:trPr>
        <w:tc>
          <w:tcPr>
            <w:tcW w:w="5520" w:type="dxa"/>
            <w:vAlign w:val="bottom"/>
          </w:tcPr>
          <w:p>
            <w:pPr>
              <w:spacing w:after="0"/>
              <w:rPr>
                <w:sz w:val="17"/>
                <w:szCs w:val="17"/>
                <w:color w:val="auto"/>
              </w:rPr>
            </w:pPr>
          </w:p>
        </w:tc>
        <w:tc>
          <w:tcPr>
            <w:tcW w:w="14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520" w:type="dxa"/>
            <w:vAlign w:val="bottom"/>
          </w:tcPr>
          <w:p>
            <w:pPr>
              <w:spacing w:after="0"/>
              <w:rPr>
                <w:sz w:val="20"/>
                <w:szCs w:val="20"/>
                <w:color w:val="auto"/>
              </w:rPr>
            </w:pPr>
            <w:r>
              <w:rPr>
                <w:rFonts w:ascii="Courier New" w:cs="Courier New" w:eastAsia="Courier New" w:hAnsi="Courier New"/>
                <w:sz w:val="17"/>
                <w:szCs w:val="17"/>
                <w:color w:val="auto"/>
              </w:rPr>
              <w:t>Balance at June 30, 2006 ............................</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787</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14</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801</w:t>
            </w:r>
          </w:p>
        </w:tc>
      </w:tr>
      <w:tr>
        <w:trPr>
          <w:trHeight w:val="198"/>
        </w:trPr>
        <w:tc>
          <w:tcPr>
            <w:tcW w:w="5520" w:type="dxa"/>
            <w:vAlign w:val="bottom"/>
          </w:tcPr>
          <w:p>
            <w:pPr>
              <w:spacing w:after="0"/>
              <w:rPr>
                <w:sz w:val="17"/>
                <w:szCs w:val="17"/>
                <w:color w:val="auto"/>
              </w:rPr>
            </w:pPr>
          </w:p>
        </w:tc>
        <w:tc>
          <w:tcPr>
            <w:tcW w:w="14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-1573530</wp:posOffset>
            </wp:positionV>
            <wp:extent cx="50996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-1447800</wp:posOffset>
            </wp:positionV>
            <wp:extent cx="496887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-1322070</wp:posOffset>
            </wp:positionV>
            <wp:extent cx="60153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153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60807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50342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60807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60807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61461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61461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60807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60807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60807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60807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8076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The Company expects to pay all of the remaining costs by the end of 2006.</w:t>
      </w:r>
    </w:p>
    <w:p>
      <w:pPr>
        <w:spacing w:after="0" w:line="203" w:lineRule="exact"/>
        <w:rPr>
          <w:sz w:val="20"/>
          <w:szCs w:val="20"/>
          <w:color w:val="auto"/>
        </w:rPr>
      </w:pPr>
    </w:p>
    <w:p>
      <w:pPr>
        <w:ind w:left="420" w:hanging="414"/>
        <w:spacing w:after="0"/>
        <w:tabs>
          <w:tab w:leader="none" w:pos="420" w:val="left"/>
        </w:tabs>
        <w:numPr>
          <w:ilvl w:val="0"/>
          <w:numId w:val="6"/>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STOCK-BASED COMPENSATION</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As of June 30, 2006, the Company had stock options, restricted stock awards, performance stock awards, contract stock awards and restricted stock unit awards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1993 Plan or the 1996 Plan.</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at three years after the date of grant.</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Prior to the adoption of Statement 123(R), the Company presented all tax benefits resulting from the exercise of stock options as operating cash flows (reflected in accrued taxes). Statement 123(R) requires the cash flows resulting from excess tax benefits (tax deductions realized in excess of the compensation costs recognized for the options exercised) from the date of adoption of Statement 123(R) to be classified as financing cash flows. Therefore, as of January 1, 2006, excess tax benefits for the six months ended June 30, 2006, have been classified as financing cash flows.</w:t>
      </w:r>
    </w:p>
    <w:p>
      <w:pPr>
        <w:spacing w:after="0" w:line="203"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strike w:val="1"/>
        </w:rPr>
        <w:t>At June 30, 2006, there were 6,697,371 shares authorized for issuance under the Plans, with 1,561,299 shares available for grant under the Plans.</w:t>
      </w:r>
    </w:p>
    <w:p>
      <w:pPr>
        <w:spacing w:after="0" w:line="198"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strike w:val="1"/>
        </w:rPr>
        <w:t>Employee stock-based compensation expense recognized under FAS 123(R) was as follows (in thousands, except for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00" w:type="dxa"/>
            <w:vAlign w:val="bottom"/>
          </w:tcPr>
          <w:p>
            <w:pPr>
              <w:spacing w:after="0"/>
              <w:rPr>
                <w:sz w:val="16"/>
                <w:szCs w:val="16"/>
                <w:color w:val="auto"/>
              </w:rPr>
            </w:pPr>
          </w:p>
        </w:tc>
        <w:tc>
          <w:tcPr>
            <w:tcW w:w="222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Three Months Ended</w:t>
            </w:r>
          </w:p>
        </w:tc>
        <w:tc>
          <w:tcPr>
            <w:tcW w:w="1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5300" w:type="dxa"/>
            <w:vAlign w:val="bottom"/>
          </w:tcPr>
          <w:p>
            <w:pPr>
              <w:spacing w:after="0"/>
              <w:rPr>
                <w:sz w:val="17"/>
                <w:szCs w:val="17"/>
                <w:color w:val="auto"/>
              </w:rPr>
            </w:pPr>
          </w:p>
        </w:tc>
        <w:tc>
          <w:tcPr>
            <w:tcW w:w="2220" w:type="dxa"/>
            <w:vAlign w:val="bottom"/>
            <w:gridSpan w:val="2"/>
          </w:tcPr>
          <w:p>
            <w:pPr>
              <w:jc w:val="right"/>
              <w:ind w:right="534"/>
              <w:spacing w:after="0"/>
              <w:rPr>
                <w:sz w:val="20"/>
                <w:szCs w:val="20"/>
                <w:color w:val="auto"/>
              </w:rPr>
            </w:pPr>
            <w:r>
              <w:rPr>
                <w:rFonts w:ascii="Courier New" w:cs="Courier New" w:eastAsia="Courier New" w:hAnsi="Courier New"/>
                <w:sz w:val="17"/>
                <w:szCs w:val="17"/>
                <w:color w:val="auto"/>
              </w:rPr>
              <w:t>June 30, 2006</w:t>
            </w:r>
          </w:p>
        </w:tc>
        <w:tc>
          <w:tcPr>
            <w:tcW w:w="196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June 30, 2006</w:t>
            </w:r>
          </w:p>
        </w:tc>
      </w:tr>
      <w:tr>
        <w:trPr>
          <w:trHeight w:val="198"/>
        </w:trPr>
        <w:tc>
          <w:tcPr>
            <w:tcW w:w="5300" w:type="dxa"/>
            <w:vAlign w:val="bottom"/>
          </w:tcPr>
          <w:p>
            <w:pPr>
              <w:spacing w:after="0"/>
              <w:rPr>
                <w:sz w:val="17"/>
                <w:szCs w:val="17"/>
                <w:color w:val="auto"/>
              </w:rPr>
            </w:pPr>
          </w:p>
        </w:tc>
        <w:tc>
          <w:tcPr>
            <w:tcW w:w="222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Research and development expense ..................</w:t>
            </w:r>
          </w:p>
        </w:tc>
        <w:tc>
          <w:tcPr>
            <w:tcW w:w="6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139</w:t>
            </w:r>
          </w:p>
        </w:tc>
        <w:tc>
          <w:tcPr>
            <w:tcW w:w="62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284</w:t>
            </w:r>
          </w:p>
        </w:tc>
      </w:tr>
      <w:tr>
        <w:trPr>
          <w:trHeight w:val="198"/>
        </w:trPr>
        <w:tc>
          <w:tcPr>
            <w:tcW w:w="530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w:t>
            </w:r>
          </w:p>
        </w:tc>
        <w:tc>
          <w:tcPr>
            <w:tcW w:w="680" w:type="dxa"/>
            <w:vAlign w:val="bottom"/>
          </w:tcPr>
          <w:p>
            <w:pPr>
              <w:spacing w:after="0"/>
              <w:rPr>
                <w:sz w:val="17"/>
                <w:szCs w:val="17"/>
                <w:color w:val="auto"/>
              </w:rPr>
            </w:pPr>
          </w:p>
        </w:tc>
        <w:tc>
          <w:tcPr>
            <w:tcW w:w="15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3,193</w:t>
            </w:r>
          </w:p>
        </w:tc>
        <w:tc>
          <w:tcPr>
            <w:tcW w:w="62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6,084</w:t>
            </w:r>
          </w:p>
        </w:tc>
      </w:tr>
      <w:tr>
        <w:trPr>
          <w:trHeight w:val="198"/>
        </w:trPr>
        <w:tc>
          <w:tcPr>
            <w:tcW w:w="5300" w:type="dxa"/>
            <w:vAlign w:val="bottom"/>
          </w:tcPr>
          <w:p>
            <w:pPr>
              <w:spacing w:after="0"/>
              <w:rPr>
                <w:sz w:val="20"/>
                <w:szCs w:val="20"/>
                <w:color w:val="auto"/>
              </w:rPr>
            </w:pPr>
            <w:r>
              <w:rPr>
                <w:rFonts w:ascii="Courier New" w:cs="Courier New" w:eastAsia="Courier New" w:hAnsi="Courier New"/>
                <w:sz w:val="17"/>
                <w:szCs w:val="17"/>
                <w:color w:val="auto"/>
                <w:strike w:val="1"/>
              </w:rPr>
              <w:t>Amortization of amounts previously capitalized</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to inventory ...................................</w:t>
            </w:r>
          </w:p>
        </w:tc>
        <w:tc>
          <w:tcPr>
            <w:tcW w:w="680" w:type="dxa"/>
            <w:vAlign w:val="bottom"/>
          </w:tcPr>
          <w:p>
            <w:pPr>
              <w:spacing w:after="0"/>
              <w:rPr>
                <w:sz w:val="17"/>
                <w:szCs w:val="17"/>
                <w:color w:val="auto"/>
              </w:rPr>
            </w:pPr>
          </w:p>
        </w:tc>
        <w:tc>
          <w:tcPr>
            <w:tcW w:w="15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105</w:t>
            </w:r>
          </w:p>
        </w:tc>
        <w:tc>
          <w:tcPr>
            <w:tcW w:w="62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105</w:t>
            </w:r>
          </w:p>
        </w:tc>
      </w:tr>
      <w:tr>
        <w:trPr>
          <w:trHeight w:val="198"/>
        </w:trPr>
        <w:tc>
          <w:tcPr>
            <w:tcW w:w="5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jc w:val="right"/>
              <w:ind w:right="83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r>
      <w:tr>
        <w:trPr>
          <w:trHeight w:val="198"/>
        </w:trPr>
        <w:tc>
          <w:tcPr>
            <w:tcW w:w="5300" w:type="dxa"/>
            <w:vAlign w:val="bottom"/>
          </w:tcPr>
          <w:p>
            <w:pPr>
              <w:spacing w:after="0"/>
              <w:rPr>
                <w:sz w:val="20"/>
                <w:szCs w:val="20"/>
                <w:color w:val="auto"/>
              </w:rPr>
            </w:pPr>
            <w:r>
              <w:rPr>
                <w:rFonts w:ascii="Courier New" w:cs="Courier New" w:eastAsia="Courier New" w:hAnsi="Courier New"/>
                <w:sz w:val="17"/>
                <w:szCs w:val="17"/>
                <w:color w:val="auto"/>
              </w:rPr>
              <w:t>Total employee stock-based compensation expense ...</w:t>
            </w:r>
          </w:p>
        </w:tc>
        <w:tc>
          <w:tcPr>
            <w:tcW w:w="680" w:type="dxa"/>
            <w:vAlign w:val="bottom"/>
          </w:tcPr>
          <w:p>
            <w:pPr>
              <w:spacing w:after="0"/>
              <w:rPr>
                <w:sz w:val="17"/>
                <w:szCs w:val="17"/>
                <w:color w:val="auto"/>
              </w:rPr>
            </w:pPr>
          </w:p>
        </w:tc>
        <w:tc>
          <w:tcPr>
            <w:tcW w:w="15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3,437</w:t>
            </w:r>
          </w:p>
        </w:tc>
        <w:tc>
          <w:tcPr>
            <w:tcW w:w="62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6,473</w:t>
            </w:r>
          </w:p>
        </w:tc>
      </w:tr>
      <w:tr>
        <w:trPr>
          <w:trHeight w:val="198"/>
        </w:trPr>
        <w:tc>
          <w:tcPr>
            <w:tcW w:w="5300" w:type="dxa"/>
            <w:vAlign w:val="bottom"/>
          </w:tcPr>
          <w:p>
            <w:pPr>
              <w:spacing w:after="0"/>
              <w:rPr>
                <w:sz w:val="20"/>
                <w:szCs w:val="20"/>
                <w:color w:val="auto"/>
              </w:rPr>
            </w:pPr>
            <w:r>
              <w:rPr>
                <w:rFonts w:ascii="Courier New" w:cs="Courier New" w:eastAsia="Courier New" w:hAnsi="Courier New"/>
                <w:sz w:val="17"/>
                <w:szCs w:val="17"/>
                <w:color w:val="auto"/>
                <w:strike w:val="1"/>
              </w:rPr>
              <w:t>Tax benefit related to employee stock-based</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compensation expense ...........................</w:t>
            </w:r>
          </w:p>
        </w:tc>
        <w:tc>
          <w:tcPr>
            <w:tcW w:w="680" w:type="dxa"/>
            <w:vAlign w:val="bottom"/>
          </w:tcPr>
          <w:p>
            <w:pPr>
              <w:spacing w:after="0"/>
              <w:rPr>
                <w:sz w:val="17"/>
                <w:szCs w:val="17"/>
                <w:color w:val="auto"/>
              </w:rPr>
            </w:pPr>
          </w:p>
        </w:tc>
        <w:tc>
          <w:tcPr>
            <w:tcW w:w="1540" w:type="dxa"/>
            <w:vAlign w:val="bottom"/>
          </w:tcPr>
          <w:p>
            <w:pPr>
              <w:jc w:val="right"/>
              <w:ind w:right="734"/>
              <w:spacing w:after="0"/>
              <w:rPr>
                <w:sz w:val="20"/>
                <w:szCs w:val="20"/>
                <w:color w:val="auto"/>
              </w:rPr>
            </w:pPr>
            <w:r>
              <w:rPr>
                <w:rFonts w:ascii="Courier New" w:cs="Courier New" w:eastAsia="Courier New" w:hAnsi="Courier New"/>
                <w:sz w:val="17"/>
                <w:szCs w:val="17"/>
                <w:color w:val="auto"/>
                <w:w w:val="97"/>
              </w:rPr>
              <w:t>(1,089)</w:t>
            </w:r>
          </w:p>
        </w:tc>
        <w:tc>
          <w:tcPr>
            <w:tcW w:w="62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(2,040)</w:t>
            </w:r>
          </w:p>
        </w:tc>
      </w:tr>
      <w:tr>
        <w:trPr>
          <w:trHeight w:val="198"/>
        </w:trPr>
        <w:tc>
          <w:tcPr>
            <w:tcW w:w="5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jc w:val="right"/>
              <w:ind w:right="83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r>
      <w:tr>
        <w:trPr>
          <w:trHeight w:val="198"/>
        </w:trPr>
        <w:tc>
          <w:tcPr>
            <w:tcW w:w="5300" w:type="dxa"/>
            <w:vAlign w:val="bottom"/>
          </w:tcPr>
          <w:p>
            <w:pPr>
              <w:spacing w:after="0"/>
              <w:rPr>
                <w:sz w:val="20"/>
                <w:szCs w:val="20"/>
                <w:color w:val="auto"/>
              </w:rPr>
            </w:pPr>
            <w:r>
              <w:rPr>
                <w:rFonts w:ascii="Courier New" w:cs="Courier New" w:eastAsia="Courier New" w:hAnsi="Courier New"/>
                <w:sz w:val="17"/>
                <w:szCs w:val="17"/>
                <w:color w:val="auto"/>
              </w:rPr>
              <w:t>Net effect on net income ..........................</w:t>
            </w:r>
          </w:p>
        </w:tc>
        <w:tc>
          <w:tcPr>
            <w:tcW w:w="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2,348</w:t>
            </w:r>
          </w:p>
        </w:tc>
        <w:tc>
          <w:tcPr>
            <w:tcW w:w="62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4,433</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strike w:val="1"/>
              </w:rPr>
              <w:t>Effect on earnings per share:</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Basic ........................................</w:t>
            </w:r>
          </w:p>
        </w:tc>
        <w:tc>
          <w:tcPr>
            <w:tcW w:w="6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.08</w:t>
            </w:r>
          </w:p>
        </w:tc>
        <w:tc>
          <w:tcPr>
            <w:tcW w:w="62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0.15</w:t>
            </w:r>
          </w:p>
        </w:tc>
      </w:tr>
      <w:tr>
        <w:trPr>
          <w:trHeight w:val="198"/>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Diluted ......................................</w:t>
            </w:r>
          </w:p>
        </w:tc>
        <w:tc>
          <w:tcPr>
            <w:tcW w:w="6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.06</w:t>
            </w:r>
          </w:p>
        </w:tc>
        <w:tc>
          <w:tcPr>
            <w:tcW w:w="62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-2201545</wp:posOffset>
            </wp:positionV>
            <wp:extent cx="60153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153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-2075815</wp:posOffset>
            </wp:positionV>
            <wp:extent cx="58845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845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-1950085</wp:posOffset>
            </wp:positionV>
            <wp:extent cx="60153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153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-1824990</wp:posOffset>
            </wp:positionV>
            <wp:extent cx="483806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8380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-1699260</wp:posOffset>
            </wp:positionV>
            <wp:extent cx="56229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6229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-1573530</wp:posOffset>
            </wp:positionV>
            <wp:extent cx="56229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229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-1322070</wp:posOffset>
            </wp:positionV>
            <wp:extent cx="56229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229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56229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229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56229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229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56883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88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56229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6229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56229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6229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56229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6229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56229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622925" cy="8255"/>
                    </a:xfrm>
                    <a:prstGeom prst="rect">
                      <a:avLst/>
                    </a:prstGeom>
                    <a:noFill/>
                  </pic:spPr>
                </pic:pic>
              </a:graphicData>
            </a:graphic>
          </wp:anchor>
        </w:drawing>
      </w:r>
    </w:p>
    <w:p>
      <w:pPr>
        <w:spacing w:after="0" w:line="38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For the six months ended June 30, 2006, the Company also capitalized $116,000 of stock-based compensation costs in inventory based on the underlying employees receiving the awards.</w:t>
      </w:r>
    </w:p>
    <w:p>
      <w:pPr>
        <w:sectPr>
          <w:pgSz w:w="11900" w:h="16838" w:orient="portrait"/>
          <w:cols w:equalWidth="0" w:num="1">
            <w:col w:w="10219"/>
          </w:cols>
          <w:pgMar w:left="240" w:top="907" w:right="1440" w:bottom="123" w:gutter="0" w:footer="0" w:header="0"/>
        </w:sectPr>
      </w:pPr>
    </w:p>
    <w:bookmarkStart w:id="14" w:name="page15"/>
    <w:bookmarkEnd w:id="14"/>
    <w:p>
      <w:pPr>
        <w:ind w:left="2820"/>
        <w:spacing w:after="0"/>
        <w:rPr>
          <w:sz w:val="20"/>
          <w:szCs w:val="20"/>
          <w:color w:val="auto"/>
        </w:rPr>
      </w:pPr>
      <w:r>
        <w:rPr>
          <w:rFonts w:ascii="Courier New" w:cs="Courier New" w:eastAsia="Courier New" w:hAnsi="Courier New"/>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-57150</wp:posOffset>
            </wp:positionV>
            <wp:extent cx="26809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9019"/>
          </w:cols>
          <w:pgMar w:left="1440" w:top="340"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strike w:val="1"/>
        </w:rPr>
        <w:t>Stock Options</w:t>
      </w:r>
    </w:p>
    <w:p>
      <w:pPr>
        <w:spacing w:after="0" w:line="203" w:lineRule="exact"/>
        <w:rPr>
          <w:sz w:val="20"/>
          <w:szCs w:val="20"/>
          <w:color w:val="auto"/>
        </w:rPr>
      </w:pPr>
    </w:p>
    <w:p>
      <w:pPr>
        <w:ind w:right="2900"/>
        <w:spacing w:after="0" w:line="247" w:lineRule="auto"/>
        <w:rPr>
          <w:sz w:val="20"/>
          <w:szCs w:val="20"/>
          <w:color w:val="auto"/>
        </w:rPr>
      </w:pPr>
      <w:r>
        <w:rPr>
          <w:rFonts w:ascii="Courier New" w:cs="Courier New" w:eastAsia="Courier New" w:hAnsi="Courier New"/>
          <w:sz w:val="17"/>
          <w:szCs w:val="17"/>
          <w:color w:val="auto"/>
          <w:strike w:val="1"/>
        </w:rPr>
        <w:t>The following is a summary of stock option activity for the six-month period ended June 30, 2006 (shares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rPr>
              <w:t>Wtd. Avg.</w:t>
            </w:r>
          </w:p>
        </w:tc>
        <w:tc>
          <w:tcPr>
            <w:tcW w:w="1400" w:type="dxa"/>
            <w:vAlign w:val="bottom"/>
          </w:tcPr>
          <w:p>
            <w:pPr>
              <w:spacing w:after="0"/>
              <w:rPr>
                <w:sz w:val="16"/>
                <w:szCs w:val="16"/>
                <w:color w:val="auto"/>
              </w:rPr>
            </w:pPr>
          </w:p>
        </w:tc>
      </w:tr>
      <w:tr>
        <w:trPr>
          <w:trHeight w:val="198"/>
        </w:trPr>
        <w:tc>
          <w:tcPr>
            <w:tcW w:w="4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Wtd.</w:t>
            </w: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rPr>
              <w:t>Remaining</w:t>
            </w:r>
          </w:p>
        </w:tc>
        <w:tc>
          <w:tcPr>
            <w:tcW w:w="1400" w:type="dxa"/>
            <w:vAlign w:val="bottom"/>
          </w:tcPr>
          <w:p>
            <w:pPr>
              <w:spacing w:after="0"/>
              <w:rPr>
                <w:sz w:val="17"/>
                <w:szCs w:val="17"/>
                <w:color w:val="auto"/>
              </w:rPr>
            </w:pPr>
          </w:p>
        </w:tc>
      </w:tr>
      <w:tr>
        <w:trPr>
          <w:trHeight w:val="198"/>
        </w:trPr>
        <w:tc>
          <w:tcPr>
            <w:tcW w:w="4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Avg.</w:t>
            </w: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rPr>
              <w:t>Contractual</w:t>
            </w:r>
          </w:p>
        </w:tc>
        <w:tc>
          <w:tcPr>
            <w:tcW w:w="1400" w:type="dxa"/>
            <w:vAlign w:val="bottom"/>
          </w:tcPr>
          <w:p>
            <w:pPr>
              <w:jc w:val="center"/>
              <w:ind w:left="174"/>
              <w:spacing w:after="0"/>
              <w:rPr>
                <w:sz w:val="20"/>
                <w:szCs w:val="20"/>
                <w:color w:val="auto"/>
              </w:rPr>
            </w:pPr>
            <w:r>
              <w:rPr>
                <w:rFonts w:ascii="Courier New" w:cs="Courier New" w:eastAsia="Courier New" w:hAnsi="Courier New"/>
                <w:sz w:val="17"/>
                <w:szCs w:val="17"/>
                <w:color w:val="auto"/>
              </w:rPr>
              <w:t>Aggregate</w:t>
            </w:r>
          </w:p>
        </w:tc>
      </w:tr>
      <w:tr>
        <w:trPr>
          <w:trHeight w:val="198"/>
        </w:trPr>
        <w:tc>
          <w:tcPr>
            <w:tcW w:w="4020" w:type="dxa"/>
            <w:vAlign w:val="bottom"/>
          </w:tcPr>
          <w:p>
            <w:pPr>
              <w:spacing w:after="0"/>
              <w:rPr>
                <w:sz w:val="17"/>
                <w:szCs w:val="17"/>
                <w:color w:val="auto"/>
              </w:rPr>
            </w:pPr>
          </w:p>
        </w:tc>
        <w:tc>
          <w:tcPr>
            <w:tcW w:w="1140" w:type="dxa"/>
            <w:vAlign w:val="bottom"/>
          </w:tcPr>
          <w:p>
            <w:pPr>
              <w:jc w:val="center"/>
              <w:ind w:right="134"/>
              <w:spacing w:after="0"/>
              <w:rPr>
                <w:sz w:val="20"/>
                <w:szCs w:val="20"/>
                <w:color w:val="auto"/>
              </w:rPr>
            </w:pPr>
            <w:r>
              <w:rPr>
                <w:rFonts w:ascii="Courier New" w:cs="Courier New" w:eastAsia="Courier New" w:hAnsi="Courier New"/>
                <w:sz w:val="17"/>
                <w:szCs w:val="17"/>
                <w:color w:val="auto"/>
              </w:rPr>
              <w:t>Stock</w:t>
            </w:r>
          </w:p>
        </w:tc>
        <w:tc>
          <w:tcPr>
            <w:tcW w:w="9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Ex.</w:t>
            </w:r>
          </w:p>
        </w:tc>
        <w:tc>
          <w:tcPr>
            <w:tcW w:w="1280" w:type="dxa"/>
            <w:vAlign w:val="bottom"/>
          </w:tcPr>
          <w:p>
            <w:pPr>
              <w:ind w:left="420"/>
              <w:spacing w:after="0"/>
              <w:rPr>
                <w:sz w:val="20"/>
                <w:szCs w:val="20"/>
                <w:color w:val="auto"/>
              </w:rPr>
            </w:pPr>
            <w:r>
              <w:rPr>
                <w:rFonts w:ascii="Courier New" w:cs="Courier New" w:eastAsia="Courier New" w:hAnsi="Courier New"/>
                <w:sz w:val="17"/>
                <w:szCs w:val="17"/>
                <w:color w:val="auto"/>
              </w:rPr>
              <w:t>Term</w:t>
            </w:r>
          </w:p>
        </w:tc>
        <w:tc>
          <w:tcPr>
            <w:tcW w:w="1400" w:type="dxa"/>
            <w:vAlign w:val="bottom"/>
          </w:tcPr>
          <w:p>
            <w:pPr>
              <w:jc w:val="center"/>
              <w:ind w:left="174"/>
              <w:spacing w:after="0"/>
              <w:rPr>
                <w:sz w:val="20"/>
                <w:szCs w:val="20"/>
                <w:color w:val="auto"/>
              </w:rPr>
            </w:pPr>
            <w:r>
              <w:rPr>
                <w:rFonts w:ascii="Courier New" w:cs="Courier New" w:eastAsia="Courier New" w:hAnsi="Courier New"/>
                <w:sz w:val="17"/>
                <w:szCs w:val="17"/>
                <w:color w:val="auto"/>
              </w:rPr>
              <w:t>Intrinsic</w:t>
            </w:r>
          </w:p>
        </w:tc>
      </w:tr>
      <w:tr>
        <w:trPr>
          <w:trHeight w:val="198"/>
        </w:trPr>
        <w:tc>
          <w:tcPr>
            <w:tcW w:w="4020" w:type="dxa"/>
            <w:vAlign w:val="bottom"/>
          </w:tcPr>
          <w:p>
            <w:pPr>
              <w:spacing w:after="0"/>
              <w:rPr>
                <w:sz w:val="17"/>
                <w:szCs w:val="17"/>
                <w:color w:val="auto"/>
              </w:rPr>
            </w:pPr>
          </w:p>
        </w:tc>
        <w:tc>
          <w:tcPr>
            <w:tcW w:w="1140" w:type="dxa"/>
            <w:vAlign w:val="bottom"/>
          </w:tcPr>
          <w:p>
            <w:pPr>
              <w:jc w:val="center"/>
              <w:ind w:right="134"/>
              <w:spacing w:after="0"/>
              <w:rPr>
                <w:sz w:val="20"/>
                <w:szCs w:val="20"/>
                <w:color w:val="auto"/>
              </w:rPr>
            </w:pPr>
            <w:r>
              <w:rPr>
                <w:rFonts w:ascii="Courier New" w:cs="Courier New" w:eastAsia="Courier New" w:hAnsi="Courier New"/>
                <w:sz w:val="17"/>
                <w:szCs w:val="17"/>
                <w:color w:val="auto"/>
              </w:rPr>
              <w:t>Options</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Price</w:t>
            </w: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w w:val="97"/>
              </w:rPr>
              <w:t>Years</w:t>
            </w:r>
          </w:p>
        </w:tc>
        <w:tc>
          <w:tcPr>
            <w:tcW w:w="1400" w:type="dxa"/>
            <w:vAlign w:val="bottom"/>
          </w:tcPr>
          <w:p>
            <w:pPr>
              <w:jc w:val="center"/>
              <w:ind w:left="174"/>
              <w:spacing w:after="0"/>
              <w:rPr>
                <w:sz w:val="20"/>
                <w:szCs w:val="20"/>
                <w:color w:val="auto"/>
              </w:rPr>
            </w:pPr>
            <w:r>
              <w:rPr>
                <w:rFonts w:ascii="Courier New" w:cs="Courier New" w:eastAsia="Courier New" w:hAnsi="Courier New"/>
                <w:sz w:val="17"/>
                <w:szCs w:val="17"/>
                <w:color w:val="auto"/>
                <w:w w:val="97"/>
              </w:rPr>
              <w:t>Value</w:t>
            </w:r>
          </w:p>
        </w:tc>
      </w:tr>
      <w:tr>
        <w:trPr>
          <w:trHeight w:val="198"/>
        </w:trPr>
        <w:tc>
          <w:tcPr>
            <w:tcW w:w="4020" w:type="dxa"/>
            <w:vAlign w:val="bottom"/>
          </w:tcPr>
          <w:p>
            <w:pPr>
              <w:spacing w:after="0"/>
              <w:rPr>
                <w:sz w:val="17"/>
                <w:szCs w:val="17"/>
                <w:color w:val="auto"/>
              </w:rPr>
            </w:pPr>
          </w:p>
        </w:tc>
        <w:tc>
          <w:tcPr>
            <w:tcW w:w="1140" w:type="dxa"/>
            <w:vAlign w:val="bottom"/>
          </w:tcPr>
          <w:p>
            <w:pPr>
              <w:jc w:val="center"/>
              <w:ind w:right="13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center"/>
              <w:ind w:left="174"/>
              <w:spacing w:after="0"/>
              <w:rPr>
                <w:sz w:val="20"/>
                <w:szCs w:val="20"/>
                <w:color w:val="auto"/>
              </w:rPr>
            </w:pPr>
            <w:r>
              <w:rPr>
                <w:rFonts w:ascii="Courier New" w:cs="Courier New" w:eastAsia="Courier New" w:hAnsi="Courier New"/>
                <w:sz w:val="17"/>
                <w:szCs w:val="17"/>
                <w:color w:val="auto"/>
              </w:rPr>
              <w:t>-------</w:t>
            </w:r>
          </w:p>
        </w:tc>
      </w:tr>
      <w:tr>
        <w:trPr>
          <w:trHeight w:val="396"/>
        </w:trPr>
        <w:tc>
          <w:tcPr>
            <w:tcW w:w="4020" w:type="dxa"/>
            <w:vAlign w:val="bottom"/>
          </w:tcPr>
          <w:p>
            <w:pPr>
              <w:spacing w:after="0"/>
              <w:rPr>
                <w:sz w:val="20"/>
                <w:szCs w:val="20"/>
                <w:color w:val="auto"/>
              </w:rPr>
            </w:pPr>
            <w:r>
              <w:rPr>
                <w:rFonts w:ascii="Courier New" w:cs="Courier New" w:eastAsia="Courier New" w:hAnsi="Courier New"/>
                <w:sz w:val="17"/>
                <w:szCs w:val="17"/>
                <w:color w:val="auto"/>
              </w:rPr>
              <w:t>Outstanding, December 31, 2005 ........</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4,001</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$ 27.50</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8"/>
        </w:trPr>
        <w:tc>
          <w:tcPr>
            <w:tcW w:w="4020" w:type="dxa"/>
            <w:vAlign w:val="bottom"/>
          </w:tcPr>
          <w:p>
            <w:pPr>
              <w:spacing w:after="0"/>
              <w:rPr>
                <w:sz w:val="20"/>
                <w:szCs w:val="20"/>
                <w:color w:val="auto"/>
              </w:rPr>
            </w:pPr>
            <w:r>
              <w:rPr>
                <w:rFonts w:ascii="Courier New" w:cs="Courier New" w:eastAsia="Courier New" w:hAnsi="Courier New"/>
                <w:sz w:val="17"/>
                <w:szCs w:val="17"/>
                <w:color w:val="auto"/>
              </w:rPr>
              <w:t>Granted ...............................</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60</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35.87</w:t>
            </w: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4020" w:type="dxa"/>
            <w:vAlign w:val="bottom"/>
          </w:tcPr>
          <w:p>
            <w:pPr>
              <w:spacing w:after="0"/>
              <w:rPr>
                <w:sz w:val="20"/>
                <w:szCs w:val="20"/>
                <w:color w:val="auto"/>
              </w:rPr>
            </w:pPr>
            <w:r>
              <w:rPr>
                <w:rFonts w:ascii="Courier New" w:cs="Courier New" w:eastAsia="Courier New" w:hAnsi="Courier New"/>
                <w:sz w:val="17"/>
                <w:szCs w:val="17"/>
                <w:color w:val="auto"/>
              </w:rPr>
              <w:t>Exercised .............................</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350</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39.30</w:t>
            </w: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4020" w:type="dxa"/>
            <w:vAlign w:val="bottom"/>
          </w:tcPr>
          <w:p>
            <w:pPr>
              <w:spacing w:after="0"/>
              <w:rPr>
                <w:sz w:val="20"/>
                <w:szCs w:val="20"/>
                <w:color w:val="auto"/>
              </w:rPr>
            </w:pPr>
            <w:r>
              <w:rPr>
                <w:rFonts w:ascii="Courier New" w:cs="Courier New" w:eastAsia="Courier New" w:hAnsi="Courier New"/>
                <w:sz w:val="17"/>
                <w:szCs w:val="17"/>
                <w:color w:val="auto"/>
              </w:rPr>
              <w:t>Cancelled .............................</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59</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33.45</w:t>
            </w: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402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4020" w:type="dxa"/>
            <w:vAlign w:val="bottom"/>
          </w:tcPr>
          <w:p>
            <w:pPr>
              <w:spacing w:after="0"/>
              <w:rPr>
                <w:sz w:val="20"/>
                <w:szCs w:val="20"/>
                <w:color w:val="auto"/>
              </w:rPr>
            </w:pPr>
            <w:r>
              <w:rPr>
                <w:rFonts w:ascii="Courier New" w:cs="Courier New" w:eastAsia="Courier New" w:hAnsi="Courier New"/>
                <w:sz w:val="17"/>
                <w:szCs w:val="17"/>
                <w:color w:val="auto"/>
              </w:rPr>
              <w:t>Outstanding, June 30, 2006 ...........</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3,652</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$ 28.20</w:t>
            </w:r>
          </w:p>
        </w:tc>
        <w:tc>
          <w:tcPr>
            <w:tcW w:w="1280" w:type="dxa"/>
            <w:vAlign w:val="bottom"/>
          </w:tcPr>
          <w:p>
            <w:pPr>
              <w:ind w:left="420"/>
              <w:spacing w:after="0"/>
              <w:rPr>
                <w:sz w:val="20"/>
                <w:szCs w:val="20"/>
                <w:color w:val="auto"/>
              </w:rPr>
            </w:pPr>
            <w:r>
              <w:rPr>
                <w:rFonts w:ascii="Courier New" w:cs="Courier New" w:eastAsia="Courier New" w:hAnsi="Courier New"/>
                <w:sz w:val="17"/>
                <w:szCs w:val="17"/>
                <w:color w:val="auto"/>
              </w:rPr>
              <w:t>4.5</w:t>
            </w:r>
          </w:p>
        </w:tc>
        <w:tc>
          <w:tcPr>
            <w:tcW w:w="1400" w:type="dxa"/>
            <w:vAlign w:val="bottom"/>
          </w:tcPr>
          <w:p>
            <w:pPr>
              <w:ind w:left="60"/>
              <w:spacing w:after="0"/>
              <w:rPr>
                <w:sz w:val="20"/>
                <w:szCs w:val="20"/>
                <w:color w:val="auto"/>
              </w:rPr>
            </w:pPr>
            <w:r>
              <w:rPr>
                <w:rFonts w:ascii="Courier New" w:cs="Courier New" w:eastAsia="Courier New" w:hAnsi="Courier New"/>
                <w:sz w:val="17"/>
                <w:szCs w:val="17"/>
                <w:color w:val="auto"/>
                <w:w w:val="99"/>
              </w:rPr>
              <w:t>$38.8 million</w:t>
            </w:r>
          </w:p>
        </w:tc>
      </w:tr>
      <w:tr>
        <w:trPr>
          <w:trHeight w:val="198"/>
        </w:trPr>
        <w:tc>
          <w:tcPr>
            <w:tcW w:w="4020" w:type="dxa"/>
            <w:vAlign w:val="bottom"/>
          </w:tcPr>
          <w:p>
            <w:pPr>
              <w:spacing w:after="0"/>
              <w:rPr>
                <w:sz w:val="20"/>
                <w:szCs w:val="20"/>
                <w:color w:val="auto"/>
              </w:rPr>
            </w:pPr>
            <w:r>
              <w:rPr>
                <w:rFonts w:ascii="Courier New" w:cs="Courier New" w:eastAsia="Courier New" w:hAnsi="Courier New"/>
                <w:sz w:val="17"/>
                <w:szCs w:val="17"/>
                <w:color w:val="auto"/>
              </w:rPr>
              <w:t>Options exercisable at June 30, 2006.</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2,039</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$ 24.58</w:t>
            </w:r>
          </w:p>
        </w:tc>
        <w:tc>
          <w:tcPr>
            <w:tcW w:w="1280" w:type="dxa"/>
            <w:vAlign w:val="bottom"/>
          </w:tcPr>
          <w:p>
            <w:pPr>
              <w:ind w:left="420"/>
              <w:spacing w:after="0"/>
              <w:rPr>
                <w:sz w:val="20"/>
                <w:szCs w:val="20"/>
                <w:color w:val="auto"/>
              </w:rPr>
            </w:pPr>
            <w:r>
              <w:rPr>
                <w:rFonts w:ascii="Courier New" w:cs="Courier New" w:eastAsia="Courier New" w:hAnsi="Courier New"/>
                <w:sz w:val="17"/>
                <w:szCs w:val="17"/>
                <w:color w:val="auto"/>
              </w:rPr>
              <w:t>3.5</w:t>
            </w:r>
          </w:p>
        </w:tc>
        <w:tc>
          <w:tcPr>
            <w:tcW w:w="1400" w:type="dxa"/>
            <w:vAlign w:val="bottom"/>
          </w:tcPr>
          <w:p>
            <w:pPr>
              <w:ind w:left="60"/>
              <w:spacing w:after="0"/>
              <w:rPr>
                <w:sz w:val="20"/>
                <w:szCs w:val="20"/>
                <w:color w:val="auto"/>
              </w:rPr>
            </w:pPr>
            <w:r>
              <w:rPr>
                <w:rFonts w:ascii="Courier New" w:cs="Courier New" w:eastAsia="Courier New" w:hAnsi="Courier New"/>
                <w:sz w:val="17"/>
                <w:szCs w:val="17"/>
                <w:color w:val="auto"/>
                <w:w w:val="99"/>
              </w:rPr>
              <w:t>$29.0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-1699260</wp:posOffset>
            </wp:positionV>
            <wp:extent cx="457644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5764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-1573530</wp:posOffset>
            </wp:positionV>
            <wp:extent cx="45764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5764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-1447800</wp:posOffset>
            </wp:positionV>
            <wp:extent cx="54921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4921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-1322070</wp:posOffset>
            </wp:positionV>
            <wp:extent cx="54921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4921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536130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361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542671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4267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39878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98780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37922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7922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37922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7922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37922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7922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37922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7922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37922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7922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55575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5575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55575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557520" cy="8255"/>
                    </a:xfrm>
                    <a:prstGeom prst="rect">
                      <a:avLst/>
                    </a:prstGeom>
                    <a:noFill/>
                  </pic:spPr>
                </pic:pic>
              </a:graphicData>
            </a:graphic>
          </wp:anchor>
        </w:drawing>
      </w:r>
    </w:p>
    <w:p>
      <w:pPr>
        <w:spacing w:after="0" w:line="381" w:lineRule="exact"/>
        <w:rPr>
          <w:sz w:val="20"/>
          <w:szCs w:val="20"/>
          <w:color w:val="auto"/>
        </w:rPr>
      </w:pPr>
    </w:p>
    <w:p>
      <w:pPr>
        <w:ind w:right="2480"/>
        <w:spacing w:after="0" w:line="246" w:lineRule="auto"/>
        <w:rPr>
          <w:sz w:val="20"/>
          <w:szCs w:val="20"/>
          <w:color w:val="auto"/>
        </w:rPr>
      </w:pPr>
      <w:r>
        <w:rPr>
          <w:rFonts w:ascii="Courier New" w:cs="Courier New" w:eastAsia="Courier New" w:hAnsi="Courier New"/>
          <w:sz w:val="17"/>
          <w:szCs w:val="17"/>
          <w:color w:val="auto"/>
          <w:strike w:val="1"/>
        </w:rPr>
        <w:t>The intrinsic value of options exercised during the six-month periods ended June 30, 2006 and 2005 was $6.5 million and $5.8 million, respectively. The weighted-average per share fair value of stock options granted during the six months ended June 30, 2006 and 2005 was $15.27 and $15.07, respectively.</w:t>
      </w:r>
    </w:p>
    <w:p>
      <w:pPr>
        <w:spacing w:after="0" w:line="200" w:lineRule="exact"/>
        <w:rPr>
          <w:sz w:val="20"/>
          <w:szCs w:val="20"/>
          <w:color w:val="auto"/>
        </w:rPr>
      </w:pPr>
    </w:p>
    <w:p>
      <w:pPr>
        <w:ind w:right="2480"/>
        <w:spacing w:after="0" w:line="246" w:lineRule="auto"/>
        <w:rPr>
          <w:sz w:val="20"/>
          <w:szCs w:val="20"/>
          <w:color w:val="auto"/>
        </w:rPr>
      </w:pPr>
      <w:r>
        <w:rPr>
          <w:rFonts w:ascii="Courier New" w:cs="Courier New" w:eastAsia="Courier New" w:hAnsi="Courier New"/>
          <w:sz w:val="17"/>
          <w:szCs w:val="17"/>
          <w:color w:val="auto"/>
          <w:strike w:val="1"/>
        </w:rPr>
        <w:t>As of June 30, 2006, there was approximately $20.6 million of total unrecognized compensation costs related to unvested stock options. These costs are expected to be recognized over a weighted-average period of approximately 2.5 years.</w:t>
      </w:r>
    </w:p>
    <w:p>
      <w:pPr>
        <w:spacing w:after="0" w:line="200" w:lineRule="exact"/>
        <w:rPr>
          <w:sz w:val="20"/>
          <w:szCs w:val="20"/>
          <w:color w:val="auto"/>
        </w:rPr>
      </w:pPr>
    </w:p>
    <w:p>
      <w:pPr>
        <w:ind w:right="2480"/>
        <w:spacing w:after="0" w:line="246" w:lineRule="auto"/>
        <w:rPr>
          <w:sz w:val="20"/>
          <w:szCs w:val="20"/>
          <w:color w:val="auto"/>
        </w:rPr>
      </w:pPr>
      <w:r>
        <w:rPr>
          <w:rFonts w:ascii="Courier New" w:cs="Courier New" w:eastAsia="Courier New" w:hAnsi="Courier New"/>
          <w:sz w:val="17"/>
          <w:szCs w:val="17"/>
          <w:color w:val="auto"/>
          <w:strike w:val="1"/>
        </w:rPr>
        <w:t>The fair value of options granted prior to October 1, 2004 was calculated using the Black-Scholes model, while the fair value of options granted on or after October 1, 2004 was calculated using the binomial distribution model. Expected volatilities are based on historical volatility of the Company's stock price with forward-looking assumptions. The expected life of stock options is estimated based on historical data on exercises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 forfeiture rate when amortizing stock-based compensation expenses. The estimate of the forfeiture rate is based primarily upon historical experience of employee turnover. As individual grant awards become fully vested, stock-based compensation expense is adjusted to recognize actual forfeitures. The Company used the following weighted-average assumptions to calculate the fair value for stock options granted during the following periods: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00" w:type="dxa"/>
            <w:vAlign w:val="bottom"/>
          </w:tcPr>
          <w:p>
            <w:pPr>
              <w:spacing w:after="0"/>
              <w:rPr>
                <w:sz w:val="16"/>
                <w:szCs w:val="16"/>
                <w:color w:val="auto"/>
              </w:rPr>
            </w:pPr>
          </w:p>
        </w:tc>
        <w:tc>
          <w:tcPr>
            <w:tcW w:w="284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Three Months Ended</w:t>
            </w:r>
          </w:p>
        </w:tc>
        <w:tc>
          <w:tcPr>
            <w:tcW w:w="278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5100" w:type="dxa"/>
            <w:vAlign w:val="bottom"/>
          </w:tcPr>
          <w:p>
            <w:pPr>
              <w:spacing w:after="0"/>
              <w:rPr>
                <w:sz w:val="17"/>
                <w:szCs w:val="17"/>
                <w:color w:val="auto"/>
              </w:rPr>
            </w:pP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June 30,</w:t>
            </w: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June 30,</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June 30,</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5100" w:type="dxa"/>
            <w:vAlign w:val="bottom"/>
          </w:tcPr>
          <w:p>
            <w:pPr>
              <w:spacing w:after="0"/>
              <w:rPr>
                <w:sz w:val="17"/>
                <w:szCs w:val="17"/>
                <w:color w:val="auto"/>
              </w:rPr>
            </w:pPr>
          </w:p>
        </w:tc>
        <w:tc>
          <w:tcPr>
            <w:tcW w:w="13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2006</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2005</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2006</w:t>
            </w: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2005</w:t>
            </w:r>
          </w:p>
        </w:tc>
      </w:tr>
      <w:tr>
        <w:trPr>
          <w:trHeight w:val="198"/>
        </w:trPr>
        <w:tc>
          <w:tcPr>
            <w:tcW w:w="5100" w:type="dxa"/>
            <w:vAlign w:val="bottom"/>
          </w:tcPr>
          <w:p>
            <w:pPr>
              <w:spacing w:after="0"/>
              <w:rPr>
                <w:sz w:val="17"/>
                <w:szCs w:val="17"/>
                <w:color w:val="auto"/>
              </w:rPr>
            </w:pP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396"/>
        </w:trPr>
        <w:tc>
          <w:tcPr>
            <w:tcW w:w="5100" w:type="dxa"/>
            <w:vAlign w:val="bottom"/>
          </w:tcPr>
          <w:p>
            <w:pPr>
              <w:spacing w:after="0"/>
              <w:rPr>
                <w:sz w:val="20"/>
                <w:szCs w:val="20"/>
                <w:color w:val="auto"/>
              </w:rPr>
            </w:pPr>
            <w:r>
              <w:rPr>
                <w:rFonts w:ascii="Courier New" w:cs="Courier New" w:eastAsia="Courier New" w:hAnsi="Courier New"/>
                <w:sz w:val="17"/>
                <w:szCs w:val="17"/>
                <w:color w:val="auto"/>
              </w:rPr>
              <w:t>Dividend yield ..................................</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0%</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0%</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198"/>
        </w:trPr>
        <w:tc>
          <w:tcPr>
            <w:tcW w:w="5100" w:type="dxa"/>
            <w:vAlign w:val="bottom"/>
          </w:tcPr>
          <w:p>
            <w:pPr>
              <w:spacing w:after="0"/>
              <w:rPr>
                <w:sz w:val="20"/>
                <w:szCs w:val="20"/>
                <w:color w:val="auto"/>
              </w:rPr>
            </w:pPr>
            <w:r>
              <w:rPr>
                <w:rFonts w:ascii="Courier New" w:cs="Courier New" w:eastAsia="Courier New" w:hAnsi="Courier New"/>
                <w:sz w:val="17"/>
                <w:szCs w:val="17"/>
                <w:color w:val="auto"/>
              </w:rPr>
              <w:t>Expected volatility .............................</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43%</w:t>
            </w:r>
          </w:p>
        </w:tc>
        <w:tc>
          <w:tcPr>
            <w:tcW w:w="15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43%</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43%</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r>
      <w:tr>
        <w:trPr>
          <w:trHeight w:val="198"/>
        </w:trPr>
        <w:tc>
          <w:tcPr>
            <w:tcW w:w="5100" w:type="dxa"/>
            <w:vAlign w:val="bottom"/>
          </w:tcPr>
          <w:p>
            <w:pPr>
              <w:spacing w:after="0"/>
              <w:rPr>
                <w:sz w:val="20"/>
                <w:szCs w:val="20"/>
                <w:color w:val="auto"/>
              </w:rPr>
            </w:pPr>
            <w:r>
              <w:rPr>
                <w:rFonts w:ascii="Courier New" w:cs="Courier New" w:eastAsia="Courier New" w:hAnsi="Courier New"/>
                <w:sz w:val="17"/>
                <w:szCs w:val="17"/>
                <w:color w:val="auto"/>
              </w:rPr>
              <w:t>Risk free interest rate .........................</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4.3%</w:t>
            </w:r>
          </w:p>
        </w:tc>
        <w:tc>
          <w:tcPr>
            <w:tcW w:w="15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4.3%</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4.3%</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8"/>
        </w:trPr>
        <w:tc>
          <w:tcPr>
            <w:tcW w:w="5100" w:type="dxa"/>
            <w:vAlign w:val="bottom"/>
          </w:tcPr>
          <w:p>
            <w:pPr>
              <w:spacing w:after="0"/>
              <w:rPr>
                <w:sz w:val="20"/>
                <w:szCs w:val="20"/>
                <w:color w:val="auto"/>
              </w:rPr>
            </w:pPr>
            <w:r>
              <w:rPr>
                <w:rFonts w:ascii="Courier New" w:cs="Courier New" w:eastAsia="Courier New" w:hAnsi="Courier New"/>
                <w:sz w:val="17"/>
                <w:szCs w:val="17"/>
                <w:color w:val="auto"/>
              </w:rPr>
              <w:t>Expected life of option from grant date .........</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5.4 years</w:t>
            </w:r>
          </w:p>
        </w:tc>
        <w:tc>
          <w:tcPr>
            <w:tcW w:w="15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5.4 years</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5.4 years</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5.4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-1070610</wp:posOffset>
            </wp:positionV>
            <wp:extent cx="64725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725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6799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995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660336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6033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673417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341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392303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9230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6799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995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6799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995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6799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995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6799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99580" cy="8255"/>
                    </a:xfrm>
                    <a:prstGeom prst="rect">
                      <a:avLst/>
                    </a:prstGeom>
                    <a:noFill/>
                  </pic:spPr>
                </pic:pic>
              </a:graphicData>
            </a:graphic>
          </wp:anchor>
        </w:drawing>
      </w:r>
    </w:p>
    <w:p>
      <w:pPr>
        <w:spacing w:after="0" w:line="381" w:lineRule="exact"/>
        <w:rPr>
          <w:sz w:val="20"/>
          <w:szCs w:val="20"/>
          <w:color w:val="auto"/>
        </w:rPr>
      </w:pPr>
    </w:p>
    <w:p>
      <w:pPr>
        <w:ind w:right="2480"/>
        <w:spacing w:after="0" w:line="247" w:lineRule="auto"/>
        <w:rPr>
          <w:sz w:val="20"/>
          <w:szCs w:val="20"/>
          <w:color w:val="auto"/>
        </w:rPr>
      </w:pPr>
      <w:r>
        <w:rPr>
          <w:rFonts w:ascii="Courier New" w:cs="Courier New" w:eastAsia="Courier New" w:hAnsi="Courier New"/>
          <w:sz w:val="17"/>
          <w:szCs w:val="17"/>
          <w:color w:val="auto"/>
          <w:strike w:val="1"/>
        </w:rPr>
        <w:t>The Company received proceeds of $7.1 million and $3.9 million from stock option exercises for the six months ended June 30, 2006 and 2005, respectively.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Awards of Restricted Stock, Performance Stock and Contract Stock</w:t>
      </w:r>
    </w:p>
    <w:p>
      <w:pPr>
        <w:spacing w:after="0" w:line="203" w:lineRule="exact"/>
        <w:rPr>
          <w:sz w:val="20"/>
          <w:szCs w:val="20"/>
          <w:color w:val="auto"/>
        </w:rPr>
      </w:pPr>
    </w:p>
    <w:p>
      <w:pPr>
        <w:ind w:right="2580"/>
        <w:spacing w:after="0" w:line="246" w:lineRule="auto"/>
        <w:rPr>
          <w:sz w:val="20"/>
          <w:szCs w:val="20"/>
          <w:color w:val="auto"/>
        </w:rPr>
      </w:pPr>
      <w:r>
        <w:rPr>
          <w:rFonts w:ascii="Courier New" w:cs="Courier New" w:eastAsia="Courier New" w:hAnsi="Courier New"/>
          <w:sz w:val="17"/>
          <w:szCs w:val="17"/>
          <w:color w:val="auto"/>
          <w:strike w:val="1"/>
        </w:rPr>
        <w:t>The following is a summary of awards of restricted stock, performance stock and contract stock for the six-month period ended June 30, 2006 (shares in thousands):</w:t>
      </w:r>
    </w:p>
    <w:p>
      <w:pPr>
        <w:sectPr>
          <w:pgSz w:w="11900" w:h="16838" w:orient="portrait"/>
          <w:cols w:equalWidth="0" w:num="1">
            <w:col w:w="10720"/>
          </w:cols>
          <w:pgMar w:left="240" w:top="709" w:right="939" w:bottom="0" w:gutter="0" w:footer="0" w:header="0"/>
        </w:sectPr>
      </w:pPr>
    </w:p>
    <w:p>
      <w:pPr>
        <w:spacing w:after="0" w:line="398"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55575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557520" cy="8255"/>
                    </a:xfrm>
                    <a:prstGeom prst="rect">
                      <a:avLst/>
                    </a:prstGeom>
                    <a:noFill/>
                  </pic:spPr>
                </pic:pic>
              </a:graphicData>
            </a:graphic>
          </wp:anchor>
        </w:drawing>
      </w:r>
    </w:p>
    <w:p>
      <w:pPr>
        <w:ind w:left="4640"/>
        <w:spacing w:after="0"/>
        <w:rPr>
          <w:sz w:val="20"/>
          <w:szCs w:val="20"/>
          <w:color w:val="auto"/>
        </w:rPr>
      </w:pPr>
      <w:r>
        <w:rPr>
          <w:rFonts w:ascii="Courier New" w:cs="Courier New" w:eastAsia="Courier New" w:hAnsi="Courier New"/>
          <w:sz w:val="17"/>
          <w:szCs w:val="17"/>
          <w:color w:val="auto"/>
        </w:rPr>
        <w:t>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55575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57520" cy="8255"/>
                    </a:xfrm>
                    <a:prstGeom prst="rect">
                      <a:avLst/>
                    </a:prstGeom>
                    <a:noFill/>
                  </pic:spPr>
                </pic:pic>
              </a:graphicData>
            </a:graphic>
          </wp:anchor>
        </w:drawing>
      </w:r>
    </w:p>
    <w:p>
      <w:pPr>
        <w:ind w:left="38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55575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557520" cy="8255"/>
                    </a:xfrm>
                    <a:prstGeom prst="rect">
                      <a:avLst/>
                    </a:prstGeom>
                    <a:noFill/>
                  </pic:spPr>
                </pic:pic>
              </a:graphicData>
            </a:graphic>
          </wp:anchor>
        </w:drawing>
      </w:r>
    </w:p>
    <w:p>
      <w:pPr>
        <w:ind w:left="4940"/>
        <w:spacing w:after="0"/>
        <w:rPr>
          <w:sz w:val="20"/>
          <w:szCs w:val="20"/>
          <w:color w:val="auto"/>
        </w:rPr>
      </w:pPr>
      <w:r>
        <w:rPr>
          <w:rFonts w:ascii="Courier New" w:cs="Courier New" w:eastAsia="Courier New" w:hAnsi="Courier New"/>
          <w:sz w:val="17"/>
          <w:szCs w:val="17"/>
          <w:color w:val="auto"/>
        </w:rPr>
        <w:t>Wtd. Avg.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542671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26710" cy="8255"/>
                    </a:xfrm>
                    <a:prstGeom prst="rect">
                      <a:avLst/>
                    </a:prstGeom>
                    <a:noFill/>
                  </pic:spPr>
                </pic:pic>
              </a:graphicData>
            </a:graphic>
          </wp:anchor>
        </w:drawing>
      </w:r>
    </w:p>
    <w:p>
      <w:pPr>
        <w:ind w:left="4940"/>
        <w:spacing w:after="0"/>
        <w:rPr>
          <w:sz w:val="20"/>
          <w:szCs w:val="20"/>
          <w:color w:val="auto"/>
        </w:rPr>
      </w:pPr>
      <w:r>
        <w:rPr>
          <w:rFonts w:ascii="Courier New" w:cs="Courier New" w:eastAsia="Courier New" w:hAnsi="Courier New"/>
          <w:sz w:val="17"/>
          <w:szCs w:val="17"/>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54921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492115" cy="8255"/>
                    </a:xfrm>
                    <a:prstGeom prst="rect">
                      <a:avLst/>
                    </a:prstGeom>
                    <a:noFill/>
                  </pic:spPr>
                </pic:pic>
              </a:graphicData>
            </a:graphic>
          </wp:anchor>
        </w:drawing>
      </w:r>
    </w:p>
    <w:p>
      <w:pPr>
        <w:ind w:left="3920"/>
        <w:spacing w:after="0"/>
        <w:tabs>
          <w:tab w:leader="none" w:pos="4920" w:val="left"/>
          <w:tab w:leader="none" w:pos="5440" w:val="left"/>
        </w:tabs>
        <w:rPr>
          <w:sz w:val="20"/>
          <w:szCs w:val="20"/>
          <w:color w:val="auto"/>
        </w:rPr>
      </w:pP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Per</w:t>
        <w:tab/>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54921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492115" cy="8255"/>
                    </a:xfrm>
                    <a:prstGeom prst="rect">
                      <a:avLst/>
                    </a:prstGeom>
                    <a:noFill/>
                  </pic:spPr>
                </pic:pic>
              </a:graphicData>
            </a:graphic>
          </wp:anchor>
        </w:drawing>
      </w:r>
    </w:p>
    <w:p>
      <w:pPr>
        <w:ind w:left="3820"/>
        <w:spacing w:after="0"/>
        <w:tabs>
          <w:tab w:leader="none" w:pos="4820" w:val="left"/>
        </w:tabs>
        <w:rPr>
          <w:sz w:val="20"/>
          <w:szCs w:val="20"/>
          <w:color w:val="auto"/>
        </w:rPr>
      </w:pPr>
      <w:r>
        <w:rPr>
          <w:rFonts w:ascii="Courier New" w:cs="Courier New" w:eastAsia="Courier New" w:hAnsi="Courier New"/>
          <w:sz w:val="17"/>
          <w:szCs w:val="17"/>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55575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575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60960</wp:posOffset>
            </wp:positionV>
            <wp:extent cx="41840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184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Performance Stock and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Contract Stock Awards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Wtd. Avg.</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Fair Value</w:t>
      </w:r>
    </w:p>
    <w:p>
      <w:pPr>
        <w:spacing w:after="0" w:line="5" w:lineRule="exact"/>
        <w:rPr>
          <w:sz w:val="20"/>
          <w:szCs w:val="20"/>
          <w:color w:val="auto"/>
        </w:rPr>
      </w:pPr>
    </w:p>
    <w:p>
      <w:pPr>
        <w:ind w:left="100"/>
        <w:spacing w:after="0"/>
        <w:tabs>
          <w:tab w:leader="none" w:pos="1100" w:val="left"/>
          <w:tab w:leader="none" w:pos="1620" w:val="left"/>
        </w:tabs>
        <w:rPr>
          <w:sz w:val="20"/>
          <w:szCs w:val="20"/>
          <w:color w:val="auto"/>
        </w:rPr>
      </w:pP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Per</w:t>
        <w:tab/>
        <w:t>Share</w:t>
      </w:r>
    </w:p>
    <w:p>
      <w:pPr>
        <w:spacing w:after="0" w:line="5"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w:t>
        <w:tab/>
        <w:t>------------</w:t>
      </w:r>
    </w:p>
    <w:p>
      <w:pPr>
        <w:spacing w:after="0" w:line="200" w:lineRule="exact"/>
        <w:rPr>
          <w:sz w:val="20"/>
          <w:szCs w:val="20"/>
          <w:color w:val="auto"/>
        </w:rPr>
      </w:pPr>
    </w:p>
    <w:p>
      <w:pPr>
        <w:sectPr>
          <w:pgSz w:w="11900" w:h="16838" w:orient="portrait"/>
          <w:cols w:equalWidth="0" w:num="2">
            <w:col w:w="6080" w:space="420"/>
            <w:col w:w="4220"/>
          </w:cols>
          <w:pgMar w:left="240" w:top="709" w:right="939"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Unvested, December 31, 2005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Grants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-64135</wp:posOffset>
            </wp:positionV>
            <wp:extent cx="542671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426710" cy="825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-64135</wp:posOffset>
            </wp:positionV>
            <wp:extent cx="542671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4267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00"/>
        <w:spacing w:after="0"/>
        <w:rPr>
          <w:sz w:val="20"/>
          <w:szCs w:val="20"/>
          <w:color w:val="auto"/>
        </w:rPr>
      </w:pPr>
      <w:r>
        <w:rPr>
          <w:rFonts w:ascii="Courier New" w:cs="Courier New" w:eastAsia="Courier New" w:hAnsi="Courier New"/>
          <w:sz w:val="17"/>
          <w:szCs w:val="17"/>
          <w:color w:val="auto"/>
        </w:rPr>
        <w:t>$ 35.08</w:t>
      </w:r>
    </w:p>
    <w:p>
      <w:pPr>
        <w:spacing w:after="0" w:line="5"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7"/>
          <w:szCs w:val="17"/>
          <w:color w:val="auto"/>
        </w:rPr>
        <w:t>38.52</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216</w:t>
      </w:r>
    </w:p>
    <w:p>
      <w:pPr>
        <w:spacing w:after="0" w:line="20" w:lineRule="exact"/>
        <w:rPr>
          <w:sz w:val="20"/>
          <w:szCs w:val="20"/>
          <w:color w:val="auto"/>
        </w:rPr>
      </w:pPr>
      <w:r>
        <w:rPr>
          <w:sz w:val="20"/>
          <w:szCs w:val="20"/>
          <w:color w:val="auto"/>
        </w:rPr>
        <w:br w:type="column"/>
      </w:r>
    </w:p>
    <w:p>
      <w:pPr>
        <w:jc w:val="right"/>
        <w:ind w:right="21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right="2160"/>
        <w:spacing w:after="0"/>
        <w:rPr>
          <w:sz w:val="20"/>
          <w:szCs w:val="20"/>
          <w:color w:val="auto"/>
        </w:rPr>
      </w:pPr>
      <w:r>
        <w:rPr>
          <w:rFonts w:ascii="Courier New" w:cs="Courier New" w:eastAsia="Courier New" w:hAnsi="Courier New"/>
          <w:sz w:val="17"/>
          <w:szCs w:val="17"/>
          <w:color w:val="auto"/>
        </w:rPr>
        <w:t>$35.40</w:t>
      </w:r>
    </w:p>
    <w:p>
      <w:pPr>
        <w:sectPr>
          <w:pgSz w:w="11900" w:h="16838" w:orient="portrait"/>
          <w:cols w:equalWidth="0" w:num="5">
            <w:col w:w="3720" w:space="500"/>
            <w:col w:w="320" w:space="720"/>
            <w:col w:w="920" w:space="720"/>
            <w:col w:w="320" w:space="720"/>
            <w:col w:w="2780"/>
          </w:cols>
          <w:pgMar w:left="240" w:top="709" w:right="939"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rPr>
              <w:t>Vested .............................</w:t>
            </w: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3760" w:type="dxa"/>
            <w:vAlign w:val="bottom"/>
          </w:tcPr>
          <w:p>
            <w:pPr>
              <w:spacing w:after="0"/>
              <w:rPr>
                <w:sz w:val="20"/>
                <w:szCs w:val="20"/>
                <w:color w:val="auto"/>
              </w:rPr>
            </w:pPr>
            <w:r>
              <w:rPr>
                <w:rFonts w:ascii="Courier New" w:cs="Courier New" w:eastAsia="Courier New" w:hAnsi="Courier New"/>
                <w:sz w:val="17"/>
                <w:szCs w:val="17"/>
                <w:color w:val="auto"/>
              </w:rPr>
              <w:t>Cancellations ......................</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36.86</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376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760" w:type="dxa"/>
            <w:vAlign w:val="bottom"/>
          </w:tcPr>
          <w:p>
            <w:pPr>
              <w:spacing w:after="0"/>
              <w:rPr>
                <w:sz w:val="20"/>
                <w:szCs w:val="20"/>
                <w:color w:val="auto"/>
              </w:rPr>
            </w:pPr>
            <w:r>
              <w:rPr>
                <w:rFonts w:ascii="Courier New" w:cs="Courier New" w:eastAsia="Courier New" w:hAnsi="Courier New"/>
                <w:sz w:val="17"/>
                <w:szCs w:val="17"/>
                <w:color w:val="auto"/>
              </w:rPr>
              <w:t>Unvested, June 30, 2006 ...........</w:t>
            </w: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143</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$ 38.11</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216</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$35.40</w:t>
            </w:r>
          </w:p>
        </w:tc>
      </w:tr>
      <w:tr>
        <w:trPr>
          <w:trHeight w:val="594"/>
        </w:trPr>
        <w:tc>
          <w:tcPr>
            <w:tcW w:w="3760" w:type="dxa"/>
            <w:vAlign w:val="bottom"/>
          </w:tcPr>
          <w:p>
            <w:pPr>
              <w:spacing w:after="0"/>
              <w:rPr>
                <w:sz w:val="24"/>
                <w:szCs w:val="24"/>
                <w:color w:val="auto"/>
              </w:rPr>
            </w:pPr>
          </w:p>
        </w:tc>
        <w:tc>
          <w:tcPr>
            <w:tcW w:w="9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11</w:t>
            </w: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-944880</wp:posOffset>
            </wp:positionV>
            <wp:extent cx="542671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4267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542671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267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55575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575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542671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4267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26809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17" w:name="page18"/>
    <w:bookmarkEnd w:id="17"/>
    <w:p>
      <w:pPr>
        <w:ind w:right="1979"/>
        <w:spacing w:after="0" w:line="246" w:lineRule="auto"/>
        <w:rPr>
          <w:sz w:val="20"/>
          <w:szCs w:val="20"/>
          <w:color w:val="auto"/>
        </w:rPr>
      </w:pPr>
      <w:r>
        <w:rPr>
          <w:rFonts w:ascii="Courier New" w:cs="Courier New" w:eastAsia="Courier New" w:hAnsi="Courier New"/>
          <w:sz w:val="17"/>
          <w:szCs w:val="17"/>
          <w:color w:val="auto"/>
          <w:strike w:val="1"/>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June 30, 2006, there was approximately $11.1 million of total unrecognized compensation costs related to unvested awards. These costs are expected to be recognized over a weighted-average period of approximately 2.9 years. The Company granted 2,496 restricted stock awards with a weighted average fair value of $32.04 during the six months ended June 30, 2005.</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The Company has no formal policy related to the repurchase of shares for the purpose of satisfying stock-based compensation obligations. Independent of these programs, the Company does have a practice of repurchasing shares, from time to time, in the open market.</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The Company also maintains an Employee Stock Purchase Plan (the ESPP), which provides eligible employees of the Company with the opportunity to acquire shares of common stock at periodic intervals by means of accumulated payroll deductions. The ESPP was amended in 2005 to eliminate the look-back option and to reduce the discount available to participants to five percent. Accordingly, the ESPP is a non-compensatory plan under Statement 123(R).</w:t>
      </w:r>
    </w:p>
    <w:p>
      <w:pPr>
        <w:spacing w:after="0" w:line="202" w:lineRule="exact"/>
        <w:rPr>
          <w:sz w:val="20"/>
          <w:szCs w:val="20"/>
          <w:color w:val="auto"/>
        </w:rPr>
      </w:pPr>
    </w:p>
    <w:p>
      <w:pPr>
        <w:ind w:left="420" w:hanging="414"/>
        <w:spacing w:after="0"/>
        <w:tabs>
          <w:tab w:leader="none" w:pos="420" w:val="left"/>
        </w:tabs>
        <w:numPr>
          <w:ilvl w:val="0"/>
          <w:numId w:val="7"/>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RETIREMENT BENEFIT PLANS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The Company maintains defined benefit pension plans that cover employees in its manufacturing plant located in Andover, United Kingdom and its former manufacturing plant in Tuttlingen, Germany. Net periodic benefit costs for the Company's defined benefit pension plans included the following amounts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Courier New" w:cs="Courier New" w:eastAsia="Courier New" w:hAnsi="Courier New"/>
                <w:sz w:val="17"/>
                <w:szCs w:val="17"/>
                <w:color w:val="auto"/>
              </w:rPr>
              <w:t>Three Months Ended</w:t>
            </w:r>
          </w:p>
        </w:tc>
        <w:tc>
          <w:tcPr>
            <w:tcW w:w="140" w:type="dxa"/>
            <w:vAlign w:val="bottom"/>
          </w:tcPr>
          <w:p>
            <w:pPr>
              <w:spacing w:after="0"/>
              <w:rPr>
                <w:sz w:val="16"/>
                <w:szCs w:val="16"/>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3"/>
          </w:tcPr>
          <w:p>
            <w:pPr>
              <w:jc w:val="center"/>
              <w:ind w:right="74"/>
              <w:spacing w:after="0"/>
              <w:rPr>
                <w:sz w:val="20"/>
                <w:szCs w:val="20"/>
                <w:color w:val="auto"/>
              </w:rPr>
            </w:pPr>
            <w:r>
              <w:rPr>
                <w:rFonts w:ascii="Courier New" w:cs="Courier New" w:eastAsia="Courier New" w:hAnsi="Courier New"/>
                <w:sz w:val="17"/>
                <w:szCs w:val="17"/>
                <w:color w:val="auto"/>
              </w:rPr>
              <w:t>June 30</w:t>
            </w:r>
          </w:p>
        </w:tc>
        <w:tc>
          <w:tcPr>
            <w:tcW w:w="140" w:type="dxa"/>
            <w:vAlign w:val="bottom"/>
          </w:tcPr>
          <w:p>
            <w:pPr>
              <w:spacing w:after="0"/>
              <w:rPr>
                <w:sz w:val="17"/>
                <w:szCs w:val="17"/>
                <w:color w:val="auto"/>
              </w:rPr>
            </w:pPr>
          </w:p>
        </w:tc>
        <w:tc>
          <w:tcPr>
            <w:tcW w:w="1860" w:type="dxa"/>
            <w:vAlign w:val="bottom"/>
            <w:gridSpan w:val="2"/>
          </w:tcPr>
          <w:p>
            <w:pPr>
              <w:jc w:val="right"/>
              <w:ind w:right="534"/>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2006</w:t>
            </w:r>
          </w:p>
        </w:tc>
        <w:tc>
          <w:tcPr>
            <w:tcW w:w="20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2005</w:t>
            </w:r>
          </w:p>
        </w:tc>
        <w:tc>
          <w:tcPr>
            <w:tcW w:w="140" w:type="dxa"/>
            <w:vAlign w:val="bottom"/>
          </w:tcPr>
          <w:p>
            <w:pPr>
              <w:spacing w:after="0"/>
              <w:rPr>
                <w:sz w:val="17"/>
                <w:szCs w:val="17"/>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7"/>
                <w:szCs w:val="17"/>
                <w:color w:val="auto"/>
              </w:rPr>
              <w:t>2006</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2005</w:t>
            </w:r>
          </w:p>
        </w:tc>
      </w:tr>
      <w:tr>
        <w:trPr>
          <w:trHeight w:val="198"/>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8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396"/>
        </w:trPr>
        <w:tc>
          <w:tcPr>
            <w:tcW w:w="4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Service cost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58</w:t>
            </w:r>
          </w:p>
        </w:tc>
        <w:tc>
          <w:tcPr>
            <w:tcW w:w="200" w:type="dxa"/>
            <w:vAlign w:val="bottom"/>
          </w:tcPr>
          <w:p>
            <w:pPr>
              <w:jc w:val="center"/>
              <w:ind w:left="14"/>
              <w:spacing w:after="0"/>
              <w:rPr>
                <w:sz w:val="20"/>
                <w:szCs w:val="20"/>
                <w:color w:val="auto"/>
              </w:rPr>
            </w:pPr>
            <w:r>
              <w:rPr>
                <w:rFonts w:ascii="Courier New" w:cs="Courier New" w:eastAsia="Courier New" w:hAnsi="Courier New"/>
                <w:sz w:val="17"/>
                <w:szCs w:val="17"/>
                <w:color w:val="auto"/>
                <w:w w:val="97"/>
              </w:rPr>
              <w:t>$</w:t>
            </w:r>
          </w:p>
        </w:tc>
        <w:tc>
          <w:tcPr>
            <w:tcW w:w="9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63</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104</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  124</w:t>
            </w:r>
          </w:p>
        </w:tc>
      </w:tr>
      <w:tr>
        <w:trPr>
          <w:trHeight w:val="198"/>
        </w:trPr>
        <w:tc>
          <w:tcPr>
            <w:tcW w:w="4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Interest cost .......................</w:t>
            </w:r>
          </w:p>
        </w:tc>
        <w:tc>
          <w:tcPr>
            <w:tcW w:w="20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157</w:t>
            </w:r>
          </w:p>
        </w:tc>
        <w:tc>
          <w:tcPr>
            <w:tcW w:w="200" w:type="dxa"/>
            <w:vAlign w:val="bottom"/>
          </w:tcPr>
          <w:p>
            <w:pPr>
              <w:spacing w:after="0"/>
              <w:rPr>
                <w:sz w:val="17"/>
                <w:szCs w:val="17"/>
                <w:color w:val="auto"/>
              </w:rPr>
            </w:pPr>
          </w:p>
        </w:tc>
        <w:tc>
          <w:tcPr>
            <w:tcW w:w="9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107</w:t>
            </w:r>
          </w:p>
        </w:tc>
        <w:tc>
          <w:tcPr>
            <w:tcW w:w="140" w:type="dxa"/>
            <w:vAlign w:val="bottom"/>
          </w:tcPr>
          <w:p>
            <w:pPr>
              <w:spacing w:after="0"/>
              <w:rPr>
                <w:sz w:val="17"/>
                <w:szCs w:val="17"/>
                <w:color w:val="auto"/>
              </w:rPr>
            </w:pPr>
          </w:p>
        </w:tc>
        <w:tc>
          <w:tcPr>
            <w:tcW w:w="8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282</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210</w:t>
            </w:r>
          </w:p>
        </w:tc>
      </w:tr>
      <w:tr>
        <w:trPr>
          <w:trHeight w:val="198"/>
        </w:trPr>
        <w:tc>
          <w:tcPr>
            <w:tcW w:w="4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Expected return on plan assets ......</w:t>
            </w:r>
          </w:p>
        </w:tc>
        <w:tc>
          <w:tcPr>
            <w:tcW w:w="200" w:type="dxa"/>
            <w:vAlign w:val="bottom"/>
          </w:tcPr>
          <w:p>
            <w:pPr>
              <w:spacing w:after="0"/>
              <w:rPr>
                <w:sz w:val="17"/>
                <w:szCs w:val="17"/>
                <w:color w:val="auto"/>
              </w:rPr>
            </w:pPr>
          </w:p>
        </w:tc>
        <w:tc>
          <w:tcPr>
            <w:tcW w:w="7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(137)</w:t>
            </w:r>
          </w:p>
        </w:tc>
        <w:tc>
          <w:tcPr>
            <w:tcW w:w="20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(89)</w:t>
            </w:r>
          </w:p>
        </w:tc>
        <w:tc>
          <w:tcPr>
            <w:tcW w:w="14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(246)</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(175)</w:t>
            </w:r>
          </w:p>
        </w:tc>
      </w:tr>
      <w:tr>
        <w:trPr>
          <w:trHeight w:val="198"/>
        </w:trPr>
        <w:tc>
          <w:tcPr>
            <w:tcW w:w="4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Recognized net actuarial loss .......</w:t>
            </w:r>
          </w:p>
        </w:tc>
        <w:tc>
          <w:tcPr>
            <w:tcW w:w="20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60</w:t>
            </w:r>
          </w:p>
        </w:tc>
        <w:tc>
          <w:tcPr>
            <w:tcW w:w="200" w:type="dxa"/>
            <w:vAlign w:val="bottom"/>
          </w:tcPr>
          <w:p>
            <w:pPr>
              <w:spacing w:after="0"/>
              <w:rPr>
                <w:sz w:val="17"/>
                <w:szCs w:val="17"/>
                <w:color w:val="auto"/>
              </w:rPr>
            </w:pPr>
          </w:p>
        </w:tc>
        <w:tc>
          <w:tcPr>
            <w:tcW w:w="9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36</w:t>
            </w:r>
          </w:p>
        </w:tc>
        <w:tc>
          <w:tcPr>
            <w:tcW w:w="140" w:type="dxa"/>
            <w:vAlign w:val="bottom"/>
          </w:tcPr>
          <w:p>
            <w:pPr>
              <w:spacing w:after="0"/>
              <w:rPr>
                <w:sz w:val="17"/>
                <w:szCs w:val="17"/>
                <w:color w:val="auto"/>
              </w:rPr>
            </w:pPr>
          </w:p>
        </w:tc>
        <w:tc>
          <w:tcPr>
            <w:tcW w:w="8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108</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71</w:t>
            </w:r>
          </w:p>
        </w:tc>
      </w:tr>
      <w:tr>
        <w:trPr>
          <w:trHeight w:val="198"/>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w:t>
            </w:r>
          </w:p>
        </w:tc>
        <w:tc>
          <w:tcPr>
            <w:tcW w:w="140" w:type="dxa"/>
            <w:vAlign w:val="bottom"/>
          </w:tcPr>
          <w:p>
            <w:pPr>
              <w:spacing w:after="0"/>
              <w:rPr>
                <w:sz w:val="17"/>
                <w:szCs w:val="17"/>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Net periodic benefit cost.........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138</w:t>
            </w:r>
          </w:p>
        </w:tc>
        <w:tc>
          <w:tcPr>
            <w:tcW w:w="200" w:type="dxa"/>
            <w:vAlign w:val="bottom"/>
          </w:tcPr>
          <w:p>
            <w:pPr>
              <w:jc w:val="center"/>
              <w:ind w:left="14"/>
              <w:spacing w:after="0"/>
              <w:rPr>
                <w:sz w:val="20"/>
                <w:szCs w:val="20"/>
                <w:color w:val="auto"/>
              </w:rPr>
            </w:pPr>
            <w:r>
              <w:rPr>
                <w:rFonts w:ascii="Courier New" w:cs="Courier New" w:eastAsia="Courier New" w:hAnsi="Courier New"/>
                <w:sz w:val="17"/>
                <w:szCs w:val="17"/>
                <w:color w:val="auto"/>
                <w:w w:val="97"/>
              </w:rPr>
              <w:t>$</w:t>
            </w:r>
          </w:p>
        </w:tc>
        <w:tc>
          <w:tcPr>
            <w:tcW w:w="9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117</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248</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$ 230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-1322070</wp:posOffset>
            </wp:positionV>
            <wp:extent cx="523049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48380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8380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50342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50996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392239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9223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50342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50342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509968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50342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509968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50342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034280" cy="8255"/>
                    </a:xfrm>
                    <a:prstGeom prst="rect">
                      <a:avLst/>
                    </a:prstGeom>
                    <a:noFill/>
                  </pic:spPr>
                </pic:pic>
              </a:graphicData>
            </a:graphic>
          </wp:anchor>
        </w:drawing>
      </w:r>
    </w:p>
    <w:p>
      <w:pPr>
        <w:spacing w:after="0" w:line="381" w:lineRule="exact"/>
        <w:rPr>
          <w:sz w:val="20"/>
          <w:szCs w:val="20"/>
          <w:color w:val="auto"/>
        </w:rPr>
      </w:pPr>
    </w:p>
    <w:p>
      <w:pPr>
        <w:jc w:val="both"/>
        <w:ind w:right="2179"/>
        <w:spacing w:after="0" w:line="247" w:lineRule="auto"/>
        <w:rPr>
          <w:sz w:val="20"/>
          <w:szCs w:val="20"/>
          <w:color w:val="auto"/>
        </w:rPr>
      </w:pPr>
      <w:r>
        <w:rPr>
          <w:rFonts w:ascii="Courier New" w:cs="Courier New" w:eastAsia="Courier New" w:hAnsi="Courier New"/>
          <w:sz w:val="17"/>
          <w:szCs w:val="17"/>
          <w:color w:val="auto"/>
          <w:strike w:val="1"/>
        </w:rPr>
        <w:t>The Company made $126,000 and $105,000 of contributions to its defined benefit pension plans for the six months ended June 30, 2006 and 2005, respectively.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8. COMPREHENSIVE INCOME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Comprehensive income was as follows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5340" w:type="dxa"/>
            <w:vAlign w:val="bottom"/>
          </w:tcPr>
          <w:p>
            <w:pPr>
              <w:spacing w:after="0"/>
              <w:rPr>
                <w:sz w:val="16"/>
                <w:szCs w:val="16"/>
                <w:color w:val="auto"/>
              </w:rPr>
            </w:pPr>
          </w:p>
        </w:tc>
        <w:tc>
          <w:tcPr>
            <w:tcW w:w="228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Three Months Ended</w:t>
            </w:r>
          </w:p>
        </w:tc>
        <w:tc>
          <w:tcPr>
            <w:tcW w:w="21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5340" w:type="dxa"/>
            <w:vAlign w:val="bottom"/>
          </w:tcPr>
          <w:p>
            <w:pPr>
              <w:spacing w:after="0"/>
              <w:rPr>
                <w:sz w:val="17"/>
                <w:szCs w:val="17"/>
                <w:color w:val="auto"/>
              </w:rPr>
            </w:pPr>
          </w:p>
        </w:tc>
        <w:tc>
          <w:tcPr>
            <w:tcW w:w="2280" w:type="dxa"/>
            <w:vAlign w:val="bottom"/>
            <w:gridSpan w:val="2"/>
          </w:tcPr>
          <w:p>
            <w:pPr>
              <w:jc w:val="right"/>
              <w:ind w:right="754"/>
              <w:spacing w:after="0"/>
              <w:rPr>
                <w:sz w:val="20"/>
                <w:szCs w:val="20"/>
                <w:color w:val="auto"/>
              </w:rPr>
            </w:pPr>
            <w:r>
              <w:rPr>
                <w:rFonts w:ascii="Courier New" w:cs="Courier New" w:eastAsia="Courier New" w:hAnsi="Courier New"/>
                <w:sz w:val="17"/>
                <w:szCs w:val="17"/>
                <w:color w:val="auto"/>
              </w:rPr>
              <w:t>June 30,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June</w:t>
            </w:r>
          </w:p>
        </w:tc>
        <w:tc>
          <w:tcPr>
            <w:tcW w:w="8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30,</w:t>
            </w:r>
          </w:p>
        </w:tc>
      </w:tr>
      <w:tr>
        <w:trPr>
          <w:trHeight w:val="198"/>
        </w:trPr>
        <w:tc>
          <w:tcPr>
            <w:tcW w:w="5340" w:type="dxa"/>
            <w:vAlign w:val="bottom"/>
          </w:tcPr>
          <w:p>
            <w:pPr>
              <w:spacing w:after="0"/>
              <w:rPr>
                <w:sz w:val="17"/>
                <w:szCs w:val="17"/>
                <w:color w:val="auto"/>
              </w:rPr>
            </w:pPr>
          </w:p>
        </w:tc>
        <w:tc>
          <w:tcPr>
            <w:tcW w:w="228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534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2006</w:t>
            </w: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2005</w:t>
            </w:r>
          </w:p>
        </w:tc>
        <w:tc>
          <w:tcPr>
            <w:tcW w:w="1280" w:type="dxa"/>
            <w:vAlign w:val="bottom"/>
          </w:tcPr>
          <w:p>
            <w:pPr>
              <w:ind w:left="400"/>
              <w:spacing w:after="0"/>
              <w:rPr>
                <w:sz w:val="20"/>
                <w:szCs w:val="20"/>
                <w:color w:val="auto"/>
              </w:rPr>
            </w:pPr>
            <w:r>
              <w:rPr>
                <w:rFonts w:ascii="Courier New" w:cs="Courier New" w:eastAsia="Courier New" w:hAnsi="Courier New"/>
                <w:sz w:val="17"/>
                <w:szCs w:val="17"/>
                <w:color w:val="auto"/>
              </w:rPr>
              <w:t>2006</w:t>
            </w:r>
          </w:p>
        </w:tc>
        <w:tc>
          <w:tcPr>
            <w:tcW w:w="8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2005</w:t>
            </w:r>
          </w:p>
        </w:tc>
      </w:tr>
      <w:tr>
        <w:trPr>
          <w:trHeight w:val="198"/>
        </w:trPr>
        <w:tc>
          <w:tcPr>
            <w:tcW w:w="534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340" w:type="dxa"/>
            <w:vAlign w:val="bottom"/>
          </w:tcPr>
          <w:p>
            <w:pPr>
              <w:spacing w:after="0"/>
              <w:rPr>
                <w:sz w:val="20"/>
                <w:szCs w:val="20"/>
                <w:color w:val="auto"/>
              </w:rPr>
            </w:pPr>
            <w:r>
              <w:rPr>
                <w:rFonts w:ascii="Courier New" w:cs="Courier New" w:eastAsia="Courier New" w:hAnsi="Courier New"/>
                <w:sz w:val="17"/>
                <w:szCs w:val="17"/>
                <w:color w:val="auto"/>
              </w:rPr>
              <w:t>Net income ........................................</w:t>
            </w: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$ 7,977</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$ 7,655</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$ 16,682</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$16,098</w:t>
            </w:r>
          </w:p>
        </w:tc>
      </w:tr>
      <w:tr>
        <w:trPr>
          <w:trHeight w:val="198"/>
        </w:trPr>
        <w:tc>
          <w:tcPr>
            <w:tcW w:w="5340" w:type="dxa"/>
            <w:vAlign w:val="bottom"/>
          </w:tcPr>
          <w:p>
            <w:pPr>
              <w:spacing w:after="0"/>
              <w:rPr>
                <w:sz w:val="20"/>
                <w:szCs w:val="20"/>
                <w:color w:val="auto"/>
              </w:rPr>
            </w:pPr>
            <w:r>
              <w:rPr>
                <w:rFonts w:ascii="Courier New" w:cs="Courier New" w:eastAsia="Courier New" w:hAnsi="Courier New"/>
                <w:sz w:val="17"/>
                <w:szCs w:val="17"/>
                <w:color w:val="auto"/>
              </w:rPr>
              <w:t>Foreign currency translation adjustment ...........</w:t>
            </w: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4,265</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(5,490)</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5,902</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(9,746)</w:t>
            </w:r>
          </w:p>
        </w:tc>
      </w:tr>
      <w:tr>
        <w:trPr>
          <w:trHeight w:val="198"/>
        </w:trPr>
        <w:tc>
          <w:tcPr>
            <w:tcW w:w="5340" w:type="dxa"/>
            <w:vAlign w:val="bottom"/>
          </w:tcPr>
          <w:p>
            <w:pPr>
              <w:spacing w:after="0"/>
              <w:rPr>
                <w:sz w:val="20"/>
                <w:szCs w:val="20"/>
                <w:color w:val="auto"/>
              </w:rPr>
            </w:pPr>
            <w:r>
              <w:rPr>
                <w:rFonts w:ascii="Courier New" w:cs="Courier New" w:eastAsia="Courier New" w:hAnsi="Courier New"/>
                <w:sz w:val="17"/>
                <w:szCs w:val="17"/>
                <w:color w:val="auto"/>
              </w:rPr>
              <w:t>Unrealized holding gains (losses) on</w:t>
            </w:r>
          </w:p>
        </w:tc>
        <w:tc>
          <w:tcPr>
            <w:tcW w:w="1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5340" w:type="dxa"/>
            <w:vAlign w:val="bottom"/>
          </w:tcPr>
          <w:p>
            <w:pPr>
              <w:ind w:left="500"/>
              <w:spacing w:after="0"/>
              <w:rPr>
                <w:sz w:val="20"/>
                <w:szCs w:val="20"/>
                <w:color w:val="auto"/>
              </w:rPr>
            </w:pPr>
            <w:r>
              <w:rPr>
                <w:rFonts w:ascii="Courier New" w:cs="Courier New" w:eastAsia="Courier New" w:hAnsi="Courier New"/>
                <w:sz w:val="17"/>
                <w:szCs w:val="17"/>
                <w:color w:val="auto"/>
              </w:rPr>
              <w:t>available-for-sale securities, net of tax ....</w:t>
            </w: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97</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292</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263</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(163)</w:t>
            </w:r>
          </w:p>
        </w:tc>
      </w:tr>
      <w:tr>
        <w:trPr>
          <w:trHeight w:val="198"/>
        </w:trPr>
        <w:tc>
          <w:tcPr>
            <w:tcW w:w="5340" w:type="dxa"/>
            <w:vAlign w:val="bottom"/>
          </w:tcPr>
          <w:p>
            <w:pPr>
              <w:spacing w:after="0"/>
              <w:rPr>
                <w:sz w:val="20"/>
                <w:szCs w:val="20"/>
                <w:color w:val="auto"/>
              </w:rPr>
            </w:pPr>
            <w:r>
              <w:rPr>
                <w:rFonts w:ascii="Courier New" w:cs="Courier New" w:eastAsia="Courier New" w:hAnsi="Courier New"/>
                <w:sz w:val="17"/>
                <w:szCs w:val="17"/>
                <w:color w:val="auto"/>
              </w:rPr>
              <w:t>Reclassification adjustment for losses included</w:t>
            </w:r>
          </w:p>
        </w:tc>
        <w:tc>
          <w:tcPr>
            <w:tcW w:w="1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5340" w:type="dxa"/>
            <w:vAlign w:val="bottom"/>
          </w:tcPr>
          <w:p>
            <w:pPr>
              <w:ind w:left="500"/>
              <w:spacing w:after="0"/>
              <w:rPr>
                <w:sz w:val="20"/>
                <w:szCs w:val="20"/>
                <w:color w:val="auto"/>
              </w:rPr>
            </w:pPr>
            <w:r>
              <w:rPr>
                <w:rFonts w:ascii="Courier New" w:cs="Courier New" w:eastAsia="Courier New" w:hAnsi="Courier New"/>
                <w:sz w:val="17"/>
                <w:szCs w:val="17"/>
                <w:color w:val="auto"/>
              </w:rPr>
              <w:t>in net income, net of tax ....................</w:t>
            </w: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194</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18</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254</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w:t>
            </w:r>
          </w:p>
        </w:tc>
      </w:tr>
      <w:tr>
        <w:trPr>
          <w:trHeight w:val="198"/>
        </w:trPr>
        <w:tc>
          <w:tcPr>
            <w:tcW w:w="534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340" w:type="dxa"/>
            <w:vAlign w:val="bottom"/>
          </w:tcPr>
          <w:p>
            <w:pPr>
              <w:spacing w:after="0"/>
              <w:rPr>
                <w:sz w:val="20"/>
                <w:szCs w:val="20"/>
                <w:color w:val="auto"/>
              </w:rPr>
            </w:pPr>
            <w:r>
              <w:rPr>
                <w:rFonts w:ascii="Courier New" w:cs="Courier New" w:eastAsia="Courier New" w:hAnsi="Courier New"/>
                <w:sz w:val="17"/>
                <w:szCs w:val="17"/>
                <w:color w:val="auto"/>
              </w:rPr>
              <w:t>Comprehensive income ..............................</w:t>
            </w: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$12,533</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$ 2,475</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$ 23,101</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$ 6,207</w:t>
            </w:r>
          </w:p>
        </w:tc>
      </w:tr>
      <w:tr>
        <w:trPr>
          <w:trHeight w:val="198"/>
        </w:trPr>
        <w:tc>
          <w:tcPr>
            <w:tcW w:w="534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594"/>
        </w:trPr>
        <w:tc>
          <w:tcPr>
            <w:tcW w:w="5340" w:type="dxa"/>
            <w:vAlign w:val="bottom"/>
          </w:tcPr>
          <w:p>
            <w:pPr>
              <w:ind w:left="3700"/>
              <w:spacing w:after="0"/>
              <w:rPr>
                <w:sz w:val="20"/>
                <w:szCs w:val="20"/>
                <w:color w:val="auto"/>
              </w:rPr>
            </w:pPr>
            <w:r>
              <w:rPr>
                <w:rFonts w:ascii="Courier New" w:cs="Courier New" w:eastAsia="Courier New" w:hAnsi="Courier New"/>
                <w:sz w:val="17"/>
                <w:szCs w:val="17"/>
                <w:color w:val="auto"/>
              </w:rPr>
              <w:t>12</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-2201545</wp:posOffset>
            </wp:positionV>
            <wp:extent cx="63423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3423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-2075815</wp:posOffset>
            </wp:positionV>
            <wp:extent cx="60807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-1950085</wp:posOffset>
            </wp:positionV>
            <wp:extent cx="627697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-1824990</wp:posOffset>
            </wp:positionV>
            <wp:extent cx="627697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-1699260</wp:posOffset>
            </wp:positionV>
            <wp:extent cx="63423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3423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-1573530</wp:posOffset>
            </wp:positionV>
            <wp:extent cx="509968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-1447800</wp:posOffset>
            </wp:positionV>
            <wp:extent cx="63423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3423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-1322070</wp:posOffset>
            </wp:positionV>
            <wp:extent cx="640778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4077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25495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5495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640778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4077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32689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2689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63423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3423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63423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3423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63423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3423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63423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3423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26809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709" w:right="1440" w:bottom="1440" w:gutter="0" w:footer="0" w:header="0"/>
        </w:sectPr>
      </w:pPr>
    </w:p>
    <w:bookmarkStart w:id="18" w:name="page19"/>
    <w:bookmarkEnd w:id="18"/>
    <w:p>
      <w:pPr>
        <w:ind w:left="420" w:hanging="414"/>
        <w:spacing w:after="0"/>
        <w:tabs>
          <w:tab w:leader="none" w:pos="420" w:val="left"/>
        </w:tabs>
        <w:numPr>
          <w:ilvl w:val="0"/>
          <w:numId w:val="8"/>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NET INCOME PER SHARE</w:t>
      </w:r>
    </w:p>
    <w:p>
      <w:pPr>
        <w:spacing w:after="0" w:line="203"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strike w:val="1"/>
        </w:rPr>
        <w:t>Basic and diluted net income per share was as follows (in thousands, except per share amounts):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3"/>
          </w:tcPr>
          <w:p>
            <w:pPr>
              <w:jc w:val="right"/>
              <w:ind w:right="274"/>
              <w:spacing w:after="0"/>
              <w:rPr>
                <w:sz w:val="20"/>
                <w:szCs w:val="20"/>
                <w:color w:val="auto"/>
              </w:rPr>
            </w:pPr>
            <w:r>
              <w:rPr>
                <w:rFonts w:ascii="Courier New" w:cs="Courier New" w:eastAsia="Courier New" w:hAnsi="Courier New"/>
                <w:sz w:val="17"/>
                <w:szCs w:val="17"/>
                <w:color w:val="auto"/>
              </w:rPr>
              <w:t>Three Months Ended</w:t>
            </w:r>
          </w:p>
        </w:tc>
        <w:tc>
          <w:tcPr>
            <w:tcW w:w="460" w:type="dxa"/>
            <w:vAlign w:val="bottom"/>
          </w:tcPr>
          <w:p>
            <w:pPr>
              <w:spacing w:after="0"/>
              <w:rPr>
                <w:sz w:val="16"/>
                <w:szCs w:val="16"/>
                <w:color w:val="auto"/>
              </w:rPr>
            </w:pPr>
          </w:p>
        </w:tc>
        <w:tc>
          <w:tcPr>
            <w:tcW w:w="1860" w:type="dxa"/>
            <w:vAlign w:val="bottom"/>
            <w:gridSpan w:val="3"/>
          </w:tcPr>
          <w:p>
            <w:pPr>
              <w:jc w:val="right"/>
              <w:ind w:right="34"/>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5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gridSpan w:val="3"/>
          </w:tcPr>
          <w:p>
            <w:pPr>
              <w:jc w:val="right"/>
              <w:ind w:right="794"/>
              <w:spacing w:after="0"/>
              <w:rPr>
                <w:sz w:val="20"/>
                <w:szCs w:val="20"/>
                <w:color w:val="auto"/>
              </w:rPr>
            </w:pPr>
            <w:r>
              <w:rPr>
                <w:rFonts w:ascii="Courier New" w:cs="Courier New" w:eastAsia="Courier New" w:hAnsi="Courier New"/>
                <w:sz w:val="17"/>
                <w:szCs w:val="17"/>
                <w:color w:val="auto"/>
              </w:rPr>
              <w:t>June 30,</w:t>
            </w:r>
          </w:p>
        </w:tc>
        <w:tc>
          <w:tcPr>
            <w:tcW w:w="460" w:type="dxa"/>
            <w:vAlign w:val="bottom"/>
          </w:tcPr>
          <w:p>
            <w:pPr>
              <w:spacing w:after="0"/>
              <w:rPr>
                <w:sz w:val="17"/>
                <w:szCs w:val="17"/>
                <w:color w:val="auto"/>
              </w:rPr>
            </w:pPr>
          </w:p>
        </w:tc>
        <w:tc>
          <w:tcPr>
            <w:tcW w:w="1860" w:type="dxa"/>
            <w:vAlign w:val="bottom"/>
            <w:gridSpan w:val="3"/>
          </w:tcPr>
          <w:p>
            <w:pPr>
              <w:jc w:val="right"/>
              <w:ind w:right="534"/>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530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Courier New" w:cs="Courier New" w:eastAsia="Courier New" w:hAnsi="Courier New"/>
                <w:sz w:val="10"/>
                <w:szCs w:val="10"/>
                <w:color w:val="auto"/>
                <w:w w:val="74"/>
              </w:rPr>
              <w:t>--------------------</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20" w:type="dxa"/>
            <w:vAlign w:val="bottom"/>
            <w:gridSpan w:val="4"/>
          </w:tcPr>
          <w:p>
            <w:pPr>
              <w:ind w:left="26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5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2006</w:t>
            </w:r>
          </w:p>
        </w:tc>
        <w:tc>
          <w:tcPr>
            <w:tcW w:w="14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2005</w:t>
            </w:r>
          </w:p>
        </w:tc>
        <w:tc>
          <w:tcPr>
            <w:tcW w:w="460" w:type="dxa"/>
            <w:vAlign w:val="bottom"/>
          </w:tcPr>
          <w:p>
            <w:pPr>
              <w:spacing w:after="0"/>
              <w:rPr>
                <w:sz w:val="17"/>
                <w:szCs w:val="17"/>
                <w:color w:val="auto"/>
              </w:rPr>
            </w:pPr>
          </w:p>
        </w:tc>
        <w:tc>
          <w:tcPr>
            <w:tcW w:w="7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2006</w:t>
            </w:r>
          </w:p>
        </w:tc>
        <w:tc>
          <w:tcPr>
            <w:tcW w:w="108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2005</w:t>
            </w:r>
          </w:p>
        </w:tc>
      </w:tr>
      <w:tr>
        <w:trPr>
          <w:trHeight w:val="198"/>
        </w:trPr>
        <w:tc>
          <w:tcPr>
            <w:tcW w:w="5300" w:type="dxa"/>
            <w:vAlign w:val="bottom"/>
          </w:tcPr>
          <w:p>
            <w:pPr>
              <w:spacing w:after="0"/>
              <w:rPr>
                <w:sz w:val="17"/>
                <w:szCs w:val="17"/>
                <w:color w:val="auto"/>
              </w:rPr>
            </w:pP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strike w:val="1"/>
              </w:rPr>
              <w:t>Basic net income  per share:</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5300" w:type="dxa"/>
            <w:vAlign w:val="bottom"/>
          </w:tcPr>
          <w:p>
            <w:pPr>
              <w:spacing w:after="0"/>
              <w:rPr>
                <w:sz w:val="20"/>
                <w:szCs w:val="20"/>
                <w:color w:val="auto"/>
              </w:rPr>
            </w:pPr>
            <w:r>
              <w:rPr>
                <w:rFonts w:ascii="Courier New" w:cs="Courier New" w:eastAsia="Courier New" w:hAnsi="Courier New"/>
                <w:sz w:val="17"/>
                <w:szCs w:val="17"/>
                <w:color w:val="auto"/>
                <w:strike w:val="1"/>
              </w:rPr>
              <w:t>- ----------------------------</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5300" w:type="dxa"/>
            <w:vAlign w:val="bottom"/>
          </w:tcPr>
          <w:p>
            <w:pPr>
              <w:spacing w:after="0"/>
              <w:rPr>
                <w:sz w:val="20"/>
                <w:szCs w:val="20"/>
                <w:color w:val="auto"/>
              </w:rPr>
            </w:pPr>
            <w:r>
              <w:rPr>
                <w:rFonts w:ascii="Courier New" w:cs="Courier New" w:eastAsia="Courier New" w:hAnsi="Courier New"/>
                <w:sz w:val="17"/>
                <w:szCs w:val="17"/>
                <w:color w:val="auto"/>
              </w:rPr>
              <w:t>Net income .......................................</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7,977</w:t>
            </w:r>
          </w:p>
        </w:tc>
        <w:tc>
          <w:tcPr>
            <w:tcW w:w="4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7,655</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16,682</w:t>
            </w:r>
          </w:p>
        </w:tc>
        <w:tc>
          <w:tcPr>
            <w:tcW w:w="108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$ 16,098</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Weighted average common shares outstanding .......</w:t>
            </w:r>
          </w:p>
        </w:tc>
        <w:tc>
          <w:tcPr>
            <w:tcW w:w="16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29,592</w:t>
            </w:r>
          </w:p>
        </w:tc>
        <w:tc>
          <w:tcPr>
            <w:tcW w:w="420" w:type="dxa"/>
            <w:vAlign w:val="bottom"/>
          </w:tcPr>
          <w:p>
            <w:pPr>
              <w:spacing w:after="0"/>
              <w:rPr>
                <w:sz w:val="24"/>
                <w:szCs w:val="24"/>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30,401</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29,589</w:t>
            </w:r>
          </w:p>
        </w:tc>
        <w:tc>
          <w:tcPr>
            <w:tcW w:w="36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30,481</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Basic net income per share .......................</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0.27</w:t>
            </w:r>
          </w:p>
        </w:tc>
        <w:tc>
          <w:tcPr>
            <w:tcW w:w="4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0.25</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0.56</w:t>
            </w:r>
          </w:p>
        </w:tc>
        <w:tc>
          <w:tcPr>
            <w:tcW w:w="36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0.53</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strike w:val="1"/>
              </w:rPr>
              <w:t>Diluted net income per share:</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5300" w:type="dxa"/>
            <w:vAlign w:val="bottom"/>
          </w:tcPr>
          <w:p>
            <w:pPr>
              <w:spacing w:after="0"/>
              <w:rPr>
                <w:sz w:val="20"/>
                <w:szCs w:val="20"/>
                <w:color w:val="auto"/>
              </w:rPr>
            </w:pPr>
            <w:r>
              <w:rPr>
                <w:rFonts w:ascii="Courier New" w:cs="Courier New" w:eastAsia="Courier New" w:hAnsi="Courier New"/>
                <w:sz w:val="17"/>
                <w:szCs w:val="17"/>
                <w:color w:val="auto"/>
                <w:strike w:val="1"/>
              </w:rPr>
              <w:t>- -----------------------------</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5300" w:type="dxa"/>
            <w:vAlign w:val="bottom"/>
          </w:tcPr>
          <w:p>
            <w:pPr>
              <w:spacing w:after="0"/>
              <w:rPr>
                <w:sz w:val="20"/>
                <w:szCs w:val="20"/>
                <w:color w:val="auto"/>
              </w:rPr>
            </w:pPr>
            <w:r>
              <w:rPr>
                <w:rFonts w:ascii="Courier New" w:cs="Courier New" w:eastAsia="Courier New" w:hAnsi="Courier New"/>
                <w:sz w:val="17"/>
                <w:szCs w:val="17"/>
                <w:color w:val="auto"/>
              </w:rPr>
              <w:t>Net income .......................................</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7,977</w:t>
            </w:r>
          </w:p>
        </w:tc>
        <w:tc>
          <w:tcPr>
            <w:tcW w:w="4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7,655</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16,682</w:t>
            </w:r>
          </w:p>
        </w:tc>
        <w:tc>
          <w:tcPr>
            <w:tcW w:w="108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$ 16,098</w:t>
            </w:r>
          </w:p>
        </w:tc>
      </w:tr>
      <w:tr>
        <w:trPr>
          <w:trHeight w:val="198"/>
        </w:trPr>
        <w:tc>
          <w:tcPr>
            <w:tcW w:w="5300" w:type="dxa"/>
            <w:vAlign w:val="bottom"/>
          </w:tcPr>
          <w:p>
            <w:pPr>
              <w:spacing w:after="0"/>
              <w:rPr>
                <w:sz w:val="20"/>
                <w:szCs w:val="20"/>
                <w:color w:val="auto"/>
              </w:rPr>
            </w:pPr>
            <w:r>
              <w:rPr>
                <w:rFonts w:ascii="Courier New" w:cs="Courier New" w:eastAsia="Courier New" w:hAnsi="Courier New"/>
                <w:sz w:val="17"/>
                <w:szCs w:val="17"/>
                <w:color w:val="auto"/>
                <w:strike w:val="1"/>
              </w:rPr>
              <w:t>Add back: Interest expense and other</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5300" w:type="dxa"/>
            <w:vAlign w:val="bottom"/>
          </w:tcPr>
          <w:p>
            <w:pPr>
              <w:ind w:left="1040"/>
              <w:spacing w:after="0"/>
              <w:rPr>
                <w:sz w:val="20"/>
                <w:szCs w:val="20"/>
                <w:color w:val="auto"/>
              </w:rPr>
            </w:pPr>
            <w:r>
              <w:rPr>
                <w:rFonts w:ascii="Courier New" w:cs="Courier New" w:eastAsia="Courier New" w:hAnsi="Courier New"/>
                <w:sz w:val="17"/>
                <w:szCs w:val="17"/>
                <w:color w:val="auto"/>
              </w:rPr>
              <w:t>income/(expense) related to convertible</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5300" w:type="dxa"/>
            <w:vAlign w:val="bottom"/>
          </w:tcPr>
          <w:p>
            <w:pPr>
              <w:ind w:left="1040"/>
              <w:spacing w:after="0"/>
              <w:rPr>
                <w:sz w:val="20"/>
                <w:szCs w:val="20"/>
                <w:color w:val="auto"/>
              </w:rPr>
            </w:pPr>
            <w:r>
              <w:rPr>
                <w:rFonts w:ascii="Courier New" w:cs="Courier New" w:eastAsia="Courier New" w:hAnsi="Courier New"/>
                <w:sz w:val="17"/>
                <w:szCs w:val="17"/>
                <w:color w:val="auto"/>
              </w:rPr>
              <w:t>notes payable, net of tax ..............</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684</w:t>
            </w:r>
          </w:p>
        </w:tc>
        <w:tc>
          <w:tcPr>
            <w:tcW w:w="42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488</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1,497</w:t>
            </w:r>
          </w:p>
        </w:tc>
        <w:tc>
          <w:tcPr>
            <w:tcW w:w="360" w:type="dxa"/>
            <w:vAlign w:val="bottom"/>
          </w:tcPr>
          <w:p>
            <w:pPr>
              <w:spacing w:after="0"/>
              <w:rPr>
                <w:sz w:val="17"/>
                <w:szCs w:val="17"/>
                <w:color w:val="auto"/>
              </w:rPr>
            </w:pPr>
          </w:p>
        </w:tc>
        <w:tc>
          <w:tcPr>
            <w:tcW w:w="7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1,032</w:t>
            </w:r>
          </w:p>
        </w:tc>
      </w:tr>
      <w:tr>
        <w:trPr>
          <w:trHeight w:val="198"/>
        </w:trPr>
        <w:tc>
          <w:tcPr>
            <w:tcW w:w="5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14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108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5300" w:type="dxa"/>
            <w:vAlign w:val="bottom"/>
          </w:tcPr>
          <w:p>
            <w:pPr>
              <w:spacing w:after="0"/>
              <w:rPr>
                <w:sz w:val="20"/>
                <w:szCs w:val="20"/>
                <w:color w:val="auto"/>
              </w:rPr>
            </w:pPr>
            <w:r>
              <w:rPr>
                <w:rFonts w:ascii="Courier New" w:cs="Courier New" w:eastAsia="Courier New" w:hAnsi="Courier New"/>
                <w:sz w:val="17"/>
                <w:szCs w:val="17"/>
                <w:color w:val="auto"/>
              </w:rPr>
              <w:t>Net income available to common stock ..............</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8,661</w:t>
            </w:r>
          </w:p>
        </w:tc>
        <w:tc>
          <w:tcPr>
            <w:tcW w:w="4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8,143</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18,179</w:t>
            </w:r>
          </w:p>
        </w:tc>
        <w:tc>
          <w:tcPr>
            <w:tcW w:w="108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$ 17,130</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Weighted average common shares outstanding - Basic</w:t>
            </w:r>
          </w:p>
        </w:tc>
        <w:tc>
          <w:tcPr>
            <w:tcW w:w="16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29,592</w:t>
            </w:r>
          </w:p>
        </w:tc>
        <w:tc>
          <w:tcPr>
            <w:tcW w:w="420" w:type="dxa"/>
            <w:vAlign w:val="bottom"/>
          </w:tcPr>
          <w:p>
            <w:pPr>
              <w:spacing w:after="0"/>
              <w:rPr>
                <w:sz w:val="24"/>
                <w:szCs w:val="24"/>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30,401</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29,589</w:t>
            </w:r>
          </w:p>
        </w:tc>
        <w:tc>
          <w:tcPr>
            <w:tcW w:w="36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30,481</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strike w:val="1"/>
              </w:rPr>
              <w:t>Effect of dilutive securities: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5300" w:type="dxa"/>
            <w:vAlign w:val="bottom"/>
          </w:tcPr>
          <w:p>
            <w:pPr>
              <w:ind w:left="320"/>
              <w:spacing w:after="0"/>
              <w:rPr>
                <w:sz w:val="20"/>
                <w:szCs w:val="20"/>
                <w:color w:val="auto"/>
              </w:rPr>
            </w:pPr>
            <w:r>
              <w:rPr>
                <w:rFonts w:ascii="Courier New" w:cs="Courier New" w:eastAsia="Courier New" w:hAnsi="Courier New"/>
                <w:sz w:val="17"/>
                <w:szCs w:val="17"/>
                <w:color w:val="auto"/>
              </w:rPr>
              <w:t>Stock options and restricted stock ............</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698</w:t>
            </w:r>
          </w:p>
        </w:tc>
        <w:tc>
          <w:tcPr>
            <w:tcW w:w="42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824</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713</w:t>
            </w:r>
          </w:p>
        </w:tc>
        <w:tc>
          <w:tcPr>
            <w:tcW w:w="360" w:type="dxa"/>
            <w:vAlign w:val="bottom"/>
          </w:tcPr>
          <w:p>
            <w:pPr>
              <w:spacing w:after="0"/>
              <w:rPr>
                <w:sz w:val="17"/>
                <w:szCs w:val="17"/>
                <w:color w:val="auto"/>
              </w:rPr>
            </w:pPr>
          </w:p>
        </w:tc>
        <w:tc>
          <w:tcPr>
            <w:tcW w:w="7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946</w:t>
            </w:r>
          </w:p>
        </w:tc>
      </w:tr>
      <w:tr>
        <w:trPr>
          <w:trHeight w:val="198"/>
        </w:trPr>
        <w:tc>
          <w:tcPr>
            <w:tcW w:w="5300" w:type="dxa"/>
            <w:vAlign w:val="bottom"/>
          </w:tcPr>
          <w:p>
            <w:pPr>
              <w:ind w:left="320"/>
              <w:spacing w:after="0"/>
              <w:rPr>
                <w:sz w:val="20"/>
                <w:szCs w:val="20"/>
                <w:color w:val="auto"/>
              </w:rPr>
            </w:pPr>
            <w:r>
              <w:rPr>
                <w:rFonts w:ascii="Courier New" w:cs="Courier New" w:eastAsia="Courier New" w:hAnsi="Courier New"/>
                <w:sz w:val="17"/>
                <w:szCs w:val="17"/>
                <w:color w:val="auto"/>
              </w:rPr>
              <w:t>Shares issuable upon conversion of notes payable</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3,514</w:t>
            </w:r>
          </w:p>
        </w:tc>
        <w:tc>
          <w:tcPr>
            <w:tcW w:w="42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3,514</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3,514</w:t>
            </w:r>
          </w:p>
        </w:tc>
        <w:tc>
          <w:tcPr>
            <w:tcW w:w="360" w:type="dxa"/>
            <w:vAlign w:val="bottom"/>
          </w:tcPr>
          <w:p>
            <w:pPr>
              <w:spacing w:after="0"/>
              <w:rPr>
                <w:sz w:val="17"/>
                <w:szCs w:val="17"/>
                <w:color w:val="auto"/>
              </w:rPr>
            </w:pPr>
          </w:p>
        </w:tc>
        <w:tc>
          <w:tcPr>
            <w:tcW w:w="7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3,514</w:t>
            </w:r>
          </w:p>
        </w:tc>
      </w:tr>
      <w:tr>
        <w:trPr>
          <w:trHeight w:val="198"/>
        </w:trPr>
        <w:tc>
          <w:tcPr>
            <w:tcW w:w="5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14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108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5300" w:type="dxa"/>
            <w:vAlign w:val="bottom"/>
          </w:tcPr>
          <w:p>
            <w:pPr>
              <w:spacing w:after="0"/>
              <w:rPr>
                <w:sz w:val="20"/>
                <w:szCs w:val="20"/>
                <w:color w:val="auto"/>
              </w:rPr>
            </w:pPr>
            <w:r>
              <w:rPr>
                <w:rFonts w:ascii="Courier New" w:cs="Courier New" w:eastAsia="Courier New" w:hAnsi="Courier New"/>
                <w:sz w:val="17"/>
                <w:szCs w:val="17"/>
                <w:color w:val="auto"/>
                <w:strike w:val="1"/>
              </w:rPr>
              <w:t>Weighted average common shares for diluted</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5300" w:type="dxa"/>
            <w:vAlign w:val="bottom"/>
          </w:tcPr>
          <w:p>
            <w:pPr>
              <w:ind w:left="320"/>
              <w:spacing w:after="0"/>
              <w:rPr>
                <w:sz w:val="20"/>
                <w:szCs w:val="20"/>
                <w:color w:val="auto"/>
              </w:rPr>
            </w:pPr>
            <w:r>
              <w:rPr>
                <w:rFonts w:ascii="Courier New" w:cs="Courier New" w:eastAsia="Courier New" w:hAnsi="Courier New"/>
                <w:sz w:val="17"/>
                <w:szCs w:val="17"/>
                <w:color w:val="auto"/>
              </w:rPr>
              <w:t>earnings per share ............................</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33,804</w:t>
            </w:r>
          </w:p>
        </w:tc>
        <w:tc>
          <w:tcPr>
            <w:tcW w:w="42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34,739</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33,816</w:t>
            </w:r>
          </w:p>
        </w:tc>
        <w:tc>
          <w:tcPr>
            <w:tcW w:w="360" w:type="dxa"/>
            <w:vAlign w:val="bottom"/>
          </w:tcPr>
          <w:p>
            <w:pPr>
              <w:spacing w:after="0"/>
              <w:rPr>
                <w:sz w:val="17"/>
                <w:szCs w:val="17"/>
                <w:color w:val="auto"/>
              </w:rPr>
            </w:pPr>
          </w:p>
        </w:tc>
        <w:tc>
          <w:tcPr>
            <w:tcW w:w="7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34,941</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Diluted net income per share .....................</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0.26</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0.23</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0.54</w:t>
            </w:r>
          </w:p>
        </w:tc>
        <w:tc>
          <w:tcPr>
            <w:tcW w:w="360" w:type="dxa"/>
            <w:vAlign w:val="bottom"/>
          </w:tcPr>
          <w:p>
            <w:pPr>
              <w:ind w:left="240"/>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-4087495</wp:posOffset>
            </wp:positionV>
            <wp:extent cx="627697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-3961765</wp:posOffset>
            </wp:positionV>
            <wp:extent cx="594995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499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-3836035</wp:posOffset>
            </wp:positionV>
            <wp:extent cx="63423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3423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-3710305</wp:posOffset>
            </wp:positionV>
            <wp:extent cx="60807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-3584575</wp:posOffset>
            </wp:positionV>
            <wp:extent cx="62115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-3458845</wp:posOffset>
            </wp:positionV>
            <wp:extent cx="496887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-3081655</wp:posOffset>
            </wp:positionV>
            <wp:extent cx="627697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-2830195</wp:posOffset>
            </wp:positionV>
            <wp:extent cx="627697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-2578735</wp:posOffset>
            </wp:positionV>
            <wp:extent cx="627697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-2075815</wp:posOffset>
            </wp:positionV>
            <wp:extent cx="627697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-1824990</wp:posOffset>
            </wp:positionV>
            <wp:extent cx="320357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2035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-1699260</wp:posOffset>
            </wp:positionV>
            <wp:extent cx="627697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-1573530</wp:posOffset>
            </wp:positionV>
            <wp:extent cx="627697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-1447800</wp:posOffset>
            </wp:positionV>
            <wp:extent cx="627697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627697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627697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627697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627697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627697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627697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276975" cy="8255"/>
                    </a:xfrm>
                    <a:prstGeom prst="rect">
                      <a:avLst/>
                    </a:prstGeom>
                    <a:noFill/>
                  </pic:spPr>
                </pic:pic>
              </a:graphicData>
            </a:graphic>
          </wp:anchor>
        </w:drawing>
      </w:r>
    </w:p>
    <w:p>
      <w:pPr>
        <w:spacing w:after="0" w:line="38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Options outstanding at June 30, 2006 and 2005 to acquire approximately 1.8 million shares and 909,000 shares of common stock, respectively, were excluded from the computation of diluted net income per share for the three months ended June 30, 2006 and 2005, respectively, because their effects would be anti-dilutive. Options outstanding at June 30, 2006 and 2005 to acquire approximately 1.9 million shares and 475,000 shares of common stock, respectively, were excluded from the computation of diluted net income per share for the six months ended June 30, 2006 and 2005, respectively, because their effects would be anti-dilutive.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10. SEGMENT AND GEOGRAPHIC INFORMATION</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Integra management reviews financial results and manages the business on an aggregate basis. Therefore, financial results are reported in a single operating segment, the development, manufacture and marketing of medical devices for use in neurosurgery, reconstructive surgery and general surgery.</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 2006, the Company revised the manner in which it presents its revenues. The Company now presents its revenues in two categories: Neurosurgical / Orthopedic Implants and Medical / Surgical Equipment. This change better aligns our product categories by functional product characteristic and intended use. The Company's revenues were as follows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ind w:left="200"/>
              <w:spacing w:after="0"/>
              <w:rPr>
                <w:sz w:val="20"/>
                <w:szCs w:val="20"/>
                <w:color w:val="auto"/>
              </w:rPr>
            </w:pPr>
            <w:r>
              <w:rPr>
                <w:rFonts w:ascii="Courier New" w:cs="Courier New" w:eastAsia="Courier New" w:hAnsi="Courier New"/>
                <w:sz w:val="17"/>
                <w:szCs w:val="17"/>
                <w:color w:val="auto"/>
              </w:rPr>
              <w:t>Three</w:t>
            </w:r>
          </w:p>
        </w:tc>
        <w:tc>
          <w:tcPr>
            <w:tcW w:w="1700" w:type="dxa"/>
            <w:vAlign w:val="bottom"/>
            <w:gridSpan w:val="2"/>
          </w:tcPr>
          <w:p>
            <w:pPr>
              <w:jc w:val="right"/>
              <w:ind w:right="934"/>
              <w:spacing w:after="0"/>
              <w:rPr>
                <w:sz w:val="20"/>
                <w:szCs w:val="20"/>
                <w:color w:val="auto"/>
              </w:rPr>
            </w:pPr>
            <w:r>
              <w:rPr>
                <w:rFonts w:ascii="Courier New" w:cs="Courier New" w:eastAsia="Courier New" w:hAnsi="Courier New"/>
                <w:sz w:val="17"/>
                <w:szCs w:val="17"/>
                <w:color w:val="auto"/>
              </w:rPr>
              <w:t>Months</w:t>
            </w:r>
          </w:p>
        </w:tc>
        <w:tc>
          <w:tcPr>
            <w:tcW w:w="258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Six Months</w:t>
            </w:r>
          </w:p>
        </w:tc>
      </w:tr>
      <w:tr>
        <w:trPr>
          <w:trHeight w:val="198"/>
        </w:trPr>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ind w:left="200"/>
              <w:spacing w:after="0"/>
              <w:rPr>
                <w:sz w:val="20"/>
                <w:szCs w:val="20"/>
                <w:color w:val="auto"/>
              </w:rPr>
            </w:pPr>
            <w:r>
              <w:rPr>
                <w:rFonts w:ascii="Courier New" w:cs="Courier New" w:eastAsia="Courier New" w:hAnsi="Courier New"/>
                <w:sz w:val="17"/>
                <w:szCs w:val="17"/>
                <w:color w:val="auto"/>
              </w:rPr>
              <w:t>Ended</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June</w:t>
            </w:r>
          </w:p>
        </w:tc>
        <w:tc>
          <w:tcPr>
            <w:tcW w:w="118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30,</w:t>
            </w:r>
          </w:p>
        </w:tc>
        <w:tc>
          <w:tcPr>
            <w:tcW w:w="25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Ended June 30,</w:t>
            </w:r>
          </w:p>
        </w:tc>
      </w:tr>
      <w:tr>
        <w:trPr>
          <w:trHeight w:val="198"/>
        </w:trPr>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ind w:left="200"/>
              <w:spacing w:after="0"/>
              <w:rPr>
                <w:sz w:val="20"/>
                <w:szCs w:val="20"/>
                <w:color w:val="auto"/>
              </w:rPr>
            </w:pPr>
            <w:r>
              <w:rPr>
                <w:rFonts w:ascii="Courier New" w:cs="Courier New" w:eastAsia="Courier New" w:hAnsi="Courier New"/>
                <w:sz w:val="17"/>
                <w:szCs w:val="17"/>
                <w:color w:val="auto"/>
              </w:rPr>
              <w:t>2006</w:t>
            </w:r>
          </w:p>
        </w:tc>
        <w:tc>
          <w:tcPr>
            <w:tcW w:w="520" w:type="dxa"/>
            <w:vAlign w:val="bottom"/>
          </w:tcPr>
          <w:p>
            <w:pPr>
              <w:spacing w:after="0"/>
              <w:rPr>
                <w:sz w:val="17"/>
                <w:szCs w:val="17"/>
                <w:color w:val="auto"/>
              </w:rPr>
            </w:pPr>
          </w:p>
        </w:tc>
        <w:tc>
          <w:tcPr>
            <w:tcW w:w="11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2005</w:t>
            </w:r>
          </w:p>
        </w:tc>
        <w:tc>
          <w:tcPr>
            <w:tcW w:w="15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2006</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2005</w:t>
            </w:r>
          </w:p>
        </w:tc>
      </w:tr>
      <w:tr>
        <w:trPr>
          <w:trHeight w:val="198"/>
        </w:trPr>
        <w:tc>
          <w:tcPr>
            <w:tcW w:w="30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000" w:type="dxa"/>
            <w:vAlign w:val="bottom"/>
          </w:tcPr>
          <w:p>
            <w:pPr>
              <w:spacing w:after="0"/>
              <w:rPr>
                <w:sz w:val="20"/>
                <w:szCs w:val="20"/>
                <w:color w:val="auto"/>
              </w:rPr>
            </w:pPr>
            <w:r>
              <w:rPr>
                <w:rFonts w:ascii="Courier New" w:cs="Courier New" w:eastAsia="Courier New" w:hAnsi="Courier New"/>
                <w:sz w:val="17"/>
                <w:szCs w:val="17"/>
                <w:color w:val="auto"/>
                <w:strike w:val="1"/>
              </w:rPr>
              <w:t>Revenue: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3000" w:type="dxa"/>
            <w:vAlign w:val="bottom"/>
          </w:tcPr>
          <w:p>
            <w:pPr>
              <w:ind w:left="100"/>
              <w:spacing w:after="0"/>
              <w:rPr>
                <w:sz w:val="20"/>
                <w:szCs w:val="20"/>
                <w:color w:val="auto"/>
              </w:rPr>
            </w:pPr>
            <w:r>
              <w:rPr>
                <w:rFonts w:ascii="Courier New" w:cs="Courier New" w:eastAsia="Courier New" w:hAnsi="Courier New"/>
                <w:sz w:val="17"/>
                <w:szCs w:val="17"/>
                <w:color w:val="auto"/>
              </w:rPr>
              <w:t>Neuro/Ortho Implants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38,896</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34,319</w:t>
            </w:r>
          </w:p>
        </w:tc>
        <w:tc>
          <w:tcPr>
            <w:tcW w:w="15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$ 75,642</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$ 65,703</w:t>
            </w:r>
          </w:p>
        </w:tc>
      </w:tr>
      <w:tr>
        <w:trPr>
          <w:trHeight w:val="198"/>
        </w:trPr>
        <w:tc>
          <w:tcPr>
            <w:tcW w:w="3000" w:type="dxa"/>
            <w:vAlign w:val="bottom"/>
          </w:tcPr>
          <w:p>
            <w:pPr>
              <w:ind w:left="100"/>
              <w:spacing w:after="0"/>
              <w:rPr>
                <w:sz w:val="20"/>
                <w:szCs w:val="20"/>
                <w:color w:val="auto"/>
              </w:rPr>
            </w:pPr>
            <w:r>
              <w:rPr>
                <w:rFonts w:ascii="Courier New" w:cs="Courier New" w:eastAsia="Courier New" w:hAnsi="Courier New"/>
                <w:sz w:val="17"/>
                <w:szCs w:val="17"/>
                <w:color w:val="auto"/>
              </w:rPr>
              <w:t>MedSurg Equipment .........</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61,225</w:t>
            </w:r>
          </w:p>
        </w:tc>
        <w:tc>
          <w:tcPr>
            <w:tcW w:w="520" w:type="dxa"/>
            <w:vAlign w:val="bottom"/>
          </w:tcPr>
          <w:p>
            <w:pPr>
              <w:spacing w:after="0"/>
              <w:rPr>
                <w:sz w:val="17"/>
                <w:szCs w:val="17"/>
                <w:color w:val="auto"/>
              </w:rPr>
            </w:pPr>
          </w:p>
        </w:tc>
        <w:tc>
          <w:tcPr>
            <w:tcW w:w="118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35,459</w:t>
            </w:r>
          </w:p>
        </w:tc>
        <w:tc>
          <w:tcPr>
            <w:tcW w:w="15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101,614</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69,914</w:t>
            </w:r>
          </w:p>
        </w:tc>
      </w:tr>
      <w:tr>
        <w:trPr>
          <w:trHeight w:val="198"/>
        </w:trPr>
        <w:tc>
          <w:tcPr>
            <w:tcW w:w="30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3000" w:type="dxa"/>
            <w:vAlign w:val="bottom"/>
          </w:tcPr>
          <w:p>
            <w:pPr>
              <w:ind w:left="100"/>
              <w:spacing w:after="0"/>
              <w:rPr>
                <w:sz w:val="20"/>
                <w:szCs w:val="20"/>
                <w:color w:val="auto"/>
              </w:rPr>
            </w:pPr>
            <w:r>
              <w:rPr>
                <w:rFonts w:ascii="Courier New" w:cs="Courier New" w:eastAsia="Courier New" w:hAnsi="Courier New"/>
                <w:sz w:val="17"/>
                <w:szCs w:val="17"/>
                <w:color w:val="auto"/>
              </w:rPr>
              <w:t>Total Revenue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7"/>
              </w:rPr>
              <w:t>100,121</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69,778</w:t>
            </w:r>
          </w:p>
        </w:tc>
        <w:tc>
          <w:tcPr>
            <w:tcW w:w="15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$177,256</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$135,617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-1196340</wp:posOffset>
            </wp:positionV>
            <wp:extent cx="49034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509968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51650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523049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392303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9230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523049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523049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523049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52304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spacing w:after="0" w:line="38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Certain of the Company's products, including the DuraGen(R) and NeuraGen(TM) product families and the INTEGRA(R) Dermal Regeneration Template and wound-dressing products, contain material derived from bovine tissue. Products</w:t>
      </w:r>
    </w:p>
    <w:p>
      <w:pPr>
        <w:sectPr>
          <w:pgSz w:w="11900" w:h="16838" w:orient="portrait"/>
          <w:cols w:equalWidth="0" w:num="1">
            <w:col w:w="10219"/>
          </w:cols>
          <w:pgMar w:left="240" w:top="709" w:right="1440" w:bottom="0" w:gutter="0" w:footer="0" w:header="0"/>
        </w:sectPr>
      </w:pPr>
    </w:p>
    <w:bookmarkStart w:id="19" w:name="page20"/>
    <w:bookmarkEnd w:id="19"/>
    <w:p>
      <w:pPr>
        <w:ind w:right="2179"/>
        <w:spacing w:after="0" w:line="247" w:lineRule="auto"/>
        <w:rPr>
          <w:sz w:val="20"/>
          <w:szCs w:val="20"/>
          <w:color w:val="auto"/>
        </w:rPr>
      </w:pPr>
      <w:r>
        <w:rPr>
          <w:rFonts w:ascii="Courier New" w:cs="Courier New" w:eastAsia="Courier New" w:hAnsi="Courier New"/>
          <w:sz w:val="17"/>
          <w:szCs w:val="17"/>
          <w:color w:val="auto"/>
          <w:strike w:val="1"/>
        </w:rPr>
        <w:t>that contain materials derived from animal sources, including food as well as pharmaceuticals and medical devices, are increasingly subject to scrutiny from</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20" w:name="page21"/>
    <w:bookmarkEnd w:id="20"/>
    <w:p>
      <w:pPr>
        <w:ind w:right="1979"/>
        <w:spacing w:after="0" w:line="246" w:lineRule="auto"/>
        <w:rPr>
          <w:sz w:val="20"/>
          <w:szCs w:val="20"/>
          <w:color w:val="auto"/>
        </w:rPr>
      </w:pPr>
      <w:r>
        <w:rPr>
          <w:rFonts w:ascii="Courier New" w:cs="Courier New" w:eastAsia="Courier New" w:hAnsi="Courier New"/>
          <w:sz w:val="17"/>
          <w:szCs w:val="17"/>
          <w:color w:val="auto"/>
          <w:strike w:val="1"/>
        </w:rPr>
        <w:t>the press and regulatory authorities. These products constituted 25% and 32% of total revenues in each of the three-month periods ended June 30, 2006 and 2005, respectively, and 27% and 31% of total revenues in each of the six-month periods ending June 30, 2006 and 2005, respectively.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Total revenues by major geographic area are summarized below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20" w:type="dxa"/>
            <w:vAlign w:val="bottom"/>
          </w:tcPr>
          <w:p>
            <w:pPr>
              <w:spacing w:after="0"/>
              <w:rPr>
                <w:sz w:val="16"/>
                <w:szCs w:val="16"/>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United</w:t>
            </w:r>
          </w:p>
        </w:tc>
        <w:tc>
          <w:tcPr>
            <w:tcW w:w="1140" w:type="dxa"/>
            <w:vAlign w:val="bottom"/>
          </w:tcPr>
          <w:p>
            <w:pPr>
              <w:spacing w:after="0"/>
              <w:rPr>
                <w:sz w:val="16"/>
                <w:szCs w:val="16"/>
                <w:color w:val="auto"/>
              </w:rPr>
            </w:pP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Asia</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Other</w:t>
            </w:r>
          </w:p>
        </w:tc>
        <w:tc>
          <w:tcPr>
            <w:tcW w:w="1040" w:type="dxa"/>
            <w:vAlign w:val="bottom"/>
          </w:tcPr>
          <w:p>
            <w:pPr>
              <w:spacing w:after="0"/>
              <w:rPr>
                <w:sz w:val="16"/>
                <w:szCs w:val="16"/>
                <w:color w:val="auto"/>
              </w:rPr>
            </w:pPr>
          </w:p>
        </w:tc>
      </w:tr>
      <w:tr>
        <w:trPr>
          <w:trHeight w:val="198"/>
        </w:trPr>
        <w:tc>
          <w:tcPr>
            <w:tcW w:w="4020" w:type="dxa"/>
            <w:vAlign w:val="bottom"/>
          </w:tcPr>
          <w:p>
            <w:pPr>
              <w:spacing w:after="0"/>
              <w:rPr>
                <w:sz w:val="17"/>
                <w:szCs w:val="17"/>
                <w:color w:val="auto"/>
              </w:rPr>
            </w:pPr>
          </w:p>
        </w:tc>
        <w:tc>
          <w:tcPr>
            <w:tcW w:w="9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States</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Europe</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Pacific</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Foreign</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w:t>
            </w:r>
          </w:p>
        </w:tc>
      </w:tr>
      <w:tr>
        <w:trPr>
          <w:trHeight w:val="198"/>
        </w:trPr>
        <w:tc>
          <w:tcPr>
            <w:tcW w:w="49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020" w:type="dxa"/>
            <w:vAlign w:val="bottom"/>
          </w:tcPr>
          <w:p>
            <w:pPr>
              <w:spacing w:after="0"/>
              <w:rPr>
                <w:sz w:val="20"/>
                <w:szCs w:val="20"/>
                <w:color w:val="auto"/>
              </w:rPr>
            </w:pPr>
            <w:r>
              <w:rPr>
                <w:rFonts w:ascii="Courier New" w:cs="Courier New" w:eastAsia="Courier New" w:hAnsi="Courier New"/>
                <w:sz w:val="17"/>
                <w:szCs w:val="17"/>
                <w:color w:val="auto"/>
              </w:rPr>
              <w:t>Three months ended June 30, 2006 .... $</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74,415</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$19,615</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$3,198</w:t>
            </w: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$2,893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$100,121</w:t>
            </w:r>
          </w:p>
        </w:tc>
      </w:tr>
      <w:tr>
        <w:trPr>
          <w:trHeight w:val="198"/>
        </w:trPr>
        <w:tc>
          <w:tcPr>
            <w:tcW w:w="4020" w:type="dxa"/>
            <w:vAlign w:val="bottom"/>
          </w:tcPr>
          <w:p>
            <w:pPr>
              <w:spacing w:after="0"/>
              <w:rPr>
                <w:sz w:val="20"/>
                <w:szCs w:val="20"/>
                <w:color w:val="auto"/>
              </w:rPr>
            </w:pPr>
            <w:r>
              <w:rPr>
                <w:rFonts w:ascii="Courier New" w:cs="Courier New" w:eastAsia="Courier New" w:hAnsi="Courier New"/>
                <w:sz w:val="17"/>
                <w:szCs w:val="17"/>
                <w:color w:val="auto"/>
              </w:rPr>
              <w:t>Three months ended June 30, 2005 ....</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51,752</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12,982</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2,733</w:t>
            </w: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2,311</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69,778</w:t>
            </w:r>
          </w:p>
        </w:tc>
      </w:tr>
      <w:tr>
        <w:trPr>
          <w:trHeight w:val="396"/>
        </w:trPr>
        <w:tc>
          <w:tcPr>
            <w:tcW w:w="4020" w:type="dxa"/>
            <w:vAlign w:val="bottom"/>
          </w:tcPr>
          <w:p>
            <w:pPr>
              <w:spacing w:after="0"/>
              <w:rPr>
                <w:sz w:val="20"/>
                <w:szCs w:val="20"/>
                <w:color w:val="auto"/>
              </w:rPr>
            </w:pPr>
            <w:r>
              <w:rPr>
                <w:rFonts w:ascii="Courier New" w:cs="Courier New" w:eastAsia="Courier New" w:hAnsi="Courier New"/>
                <w:sz w:val="17"/>
                <w:szCs w:val="17"/>
                <w:color w:val="auto"/>
              </w:rPr>
              <w:t>Six months ended June 30, 2006 ...... $</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131,653</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$33,990</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$5,994</w:t>
            </w: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$5,619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$177,256</w:t>
            </w:r>
          </w:p>
        </w:tc>
      </w:tr>
      <w:tr>
        <w:trPr>
          <w:trHeight w:val="198"/>
        </w:trPr>
        <w:tc>
          <w:tcPr>
            <w:tcW w:w="4020" w:type="dxa"/>
            <w:vAlign w:val="bottom"/>
          </w:tcPr>
          <w:p>
            <w:pPr>
              <w:spacing w:after="0"/>
              <w:rPr>
                <w:sz w:val="20"/>
                <w:szCs w:val="20"/>
                <w:color w:val="auto"/>
              </w:rPr>
            </w:pPr>
            <w:r>
              <w:rPr>
                <w:rFonts w:ascii="Courier New" w:cs="Courier New" w:eastAsia="Courier New" w:hAnsi="Courier New"/>
                <w:sz w:val="17"/>
                <w:szCs w:val="17"/>
                <w:color w:val="auto"/>
              </w:rPr>
              <w:t>Six months ended June 30, 2005 ......</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99,119</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25,744</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5,781</w:t>
            </w: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4,973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135,617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-1070610</wp:posOffset>
            </wp:positionV>
            <wp:extent cx="523049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594995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499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60153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153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451104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51104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60153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153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60153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153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60153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153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60153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1535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11. COMMITMENTS AND CONTINGENCIES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As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201"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strike w:val="1"/>
        </w:rPr>
        <w:t>Various lawsuits, claims and proceedings are pending or have been settled by the Company. The most significant of those are described below.</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 July 1996, the Company sued Merck KGaA, a German corporation, seeking damages for patent infringement. The patents in question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The case has been tried, appealed and returned to the trial court. Most recently, in September 2004, the trial court ordered Merck KgaA to pay Integra $6.4 million in damages. Merck KGaA filed a petition for a writ of certiorari with the United States Supreme Court seeking review of the Circuit Court's decision, and the Supreme Court granted the writ in January 2005.</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On June 13, 2005, the Supreme Court vacated the June 2003 judgment of the Circuit Court. The Supreme Court held that the Circuit Court applied an erroneous interpretation of 35 U.S.C. ss.271(e)(1) when it rejected the challenge of Merck KGaA to the jury's finding that Merck KGaA failed to show that its activities were exempt from claims of patent infringement under that statute. On remand, the Circuit Court was to have reviewed the evidence under a reasonableness test that does not provide categorical exclusions of certain types of activities. The hearing before the Circuit Court occurred in June 2006, and a ruling is expected this year. Further enforcement of the trial court's order has been stayed. We have not recorded any gain in connection with this matter, pending final resolution and completion of the appeals process.</w:t>
      </w:r>
    </w:p>
    <w:p>
      <w:pPr>
        <w:spacing w:after="0" w:line="204"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strike w:val="1"/>
        </w:rPr>
        <w:t>In May 2006, Codman &amp; Shurtleff, Inc. ("Codman"), a division of Johnson &amp; Johnson, commenced an action in the United States District Court for the District of New Jersey for declaratory judgment against Integra LifeSciences Corporation with respect to United States Patent No. 5,997,895 (the "'895 Patent") held by Integra. Integra's patent covers dural repair technology related to Integra's Duragen(R) family of duraplasty products.</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The action seeks declaratory relief that Codman's DURAFORM(TM) product does not infringe Integra's patent and that Integra's patent is invalid and unenforceable. Codman does not seek either damages from Integra or injunctive relief to prevent Integra from selling the Duragen(R) Dural Graft Matrix. Integra has filed a counterclaim against Codman, alleging that Codman's DURAFORM(TM) product infringes the '895 Patent, seeking injunctive relief preventing the sale and use of DURAFORM(TM), and seeking damages, including treble damages, for past infringement.</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 addition to these matters, the Company is subject to various claims, lawsuits and proceedings in the ordinary course of its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the Company's</w:t>
      </w:r>
    </w:p>
    <w:p>
      <w:pPr>
        <w:sectPr>
          <w:pgSz w:w="11900" w:h="16838" w:orient="portrait"/>
          <w:cols w:equalWidth="0" w:num="1">
            <w:col w:w="10219"/>
          </w:cols>
          <w:pgMar w:left="240" w:top="511" w:right="1440" w:bottom="0" w:gutter="0" w:footer="0" w:header="0"/>
        </w:sectPr>
      </w:pPr>
    </w:p>
    <w:bookmarkStart w:id="21" w:name="page22"/>
    <w:bookmarkEnd w:id="21"/>
    <w:p>
      <w:pPr>
        <w:ind w:right="2279"/>
        <w:spacing w:after="0" w:line="246" w:lineRule="auto"/>
        <w:rPr>
          <w:sz w:val="20"/>
          <w:szCs w:val="20"/>
          <w:color w:val="auto"/>
        </w:rPr>
      </w:pPr>
      <w:r>
        <w:rPr>
          <w:rFonts w:ascii="Courier New" w:cs="Courier New" w:eastAsia="Courier New" w:hAnsi="Courier New"/>
          <w:sz w:val="17"/>
          <w:szCs w:val="17"/>
          <w:color w:val="auto"/>
          <w:strike w:val="1"/>
        </w:rPr>
        <w:t>financial condition. However, it is possible that the Company's results of operations, financial position and cash flows in a particular period could be materially affected by these contingencies.</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strike w:val="1"/>
        </w:rPr>
        <w:t>12. SUBSEQUENT EVENTS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The Company announced on July 11, 2006 that it is launching a direct sales force in Canada through the acquisition of its longstanding distributor, Canada Microsurgical Ltd. Canada Microsurgical has eight sales representatives covering each province in Canada. The Company paid $5.8 million (6.4 million Canadian dollars) for Canada Microsurgical at closing. In addition, the Company will pay up to an additional 2.1 million Canadian dollars over the next three years, depending on the performance of the business. The determination of the fair value of the assets acquired and liabilities assumed is in progress.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The Company announced on July 17, 2006 that it has commenced an offer to exchange up to $120 million principal amount of new notes with a "net share settlement" mechanism for its currently outstanding 2 1/2% Contingent Convertible Subordinated Notes due 2008. Holders who exchange their existing notes will receive new notes with the net share settlement feature and otherwise substantially similar terms to the existing notes plus an exchange fee of $2.50 per $1,000 principal amount of their existing notes validly tendered and accepted for exchange. The Company expects to pay $300,000 of exchange fees to tendering holders of the existing notes plus estimated expenses, which may be in excess of $225,000, in connection with the offer. In addition, approximately $1.5 million of unamortized debt issuance costs may need to be expensed immediately if the conversion criteria are met as the debt would be considered demand debt. The offer is contingent upon the tender or exchange of 50% of the principal amount of the existing notes and upon the satisfaction of certain otherconditions. The exchange offer will expire on August 14, 2006, unless extendedor earlier terminated by the Company.</w:t>
      </w:r>
    </w:p>
    <w:p>
      <w:pPr>
        <w:spacing w:after="0" w:line="207"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The Company announced that on July 31, 2006 it has acquired the shares of Kinetikos Medical, Inc. ("KMI") for approximately $40 million in cash, subject to certain adjustments, including future payments based on the performance of the KMI business after the acquisition. KMI, based in Carlsbad, California, is a leading developer and manufacturer of innovative orthopedic implants and surgical devices for small bone and joint procedures involving the foot, ankle, hand, wrist and elbow. KMI currently markets products that address both the trauma and reconstructive segments of the extremities market. KMI's reconstructive products are largely focused on treating deformities and arthritis in small joints of the upper and lower extremity, while its trauma products are focused on the treatment of fractures of small bones most commonly found in the extremities. KMI currently sells its products through approximately 45 independent sales agencies in the United States and through 17 independent distributors internationally. The Company plans to expand the sale of KMI products internationally through its well-established Newdeal infrastructure. The determination of the fair value of the assets acquired and liabilities assumed is in progress. The Company expects to record an in-process research and development charge in the range of approximately $4 million to $8 million in the third quarter of 2006 in connection with this acquisition.</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709" w:right="1440" w:bottom="1440" w:gutter="0" w:footer="0" w:header="0"/>
        </w:sectPr>
      </w:pPr>
    </w:p>
    <w:bookmarkStart w:id="23" w:name="page24"/>
    <w:bookmarkEnd w:id="23"/>
    <w:p>
      <w:pPr>
        <w:ind w:right="4339"/>
        <w:spacing w:after="0" w:line="247" w:lineRule="auto"/>
        <w:rPr>
          <w:sz w:val="20"/>
          <w:szCs w:val="20"/>
          <w:color w:val="auto"/>
        </w:rPr>
      </w:pPr>
      <w:r>
        <w:rPr>
          <w:rFonts w:ascii="Courier New" w:cs="Courier New" w:eastAsia="Courier New" w:hAnsi="Courier New"/>
          <w:sz w:val="17"/>
          <w:szCs w:val="17"/>
          <w:color w:val="auto"/>
          <w:strike w:val="1"/>
        </w:rPr>
        <w:t>ITEM 2. MANAGEMENT'S DISCUSSION AND ANALYSIS OF FINANCIAL CONDITION AND RESULTS OF OPERATIONS</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2005 included in our Annual Report on Form 10-K.</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We have made statements in this report which constitute forward-looking statements within the meaning of Section 27A of the Securities Act of 1933 and Section 21E of the Securities Exchange Act of 1934.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2005 and in subsequent Quarterly Reports on Form 10-Q.</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You can identify these forward-looking statements by forward-looking words such as "believe," "may," "could," "will," "estimate," "continue," "anticipate," "intend," "seek," "plan," "expect," "should," "would" and similar expressions in this report.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GENERAL</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peripheral nerve repair, small bone and joint injuries, and the repair and reconstruction of soft tissue.</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Our distribution channels include two direct sales organizations (Integra NeuroSciences and Integra Reconstructive Surgery), two networks of manufacturer's representatives managed by a direct sales organization (JARIT Surgical Instruments and Miltex) and strategic alliances with market leaders such as Johnson &amp; Johnson, Medtronic, Inc., Wyeth and Zimmer Holdings, Inc. We have direct sales forces in the United States, Canada, Germany, the United Kingdom, the Benelux (Belgium, Netherlands, Luxembourg) region and France. Elsewhere throughout the world, our products are distributed through a number of independent distributors. We invest substantial resources and management effort to develop our sales organizations, and we believe that we compete very effectively in this aspect of our business.</w:t>
      </w:r>
    </w:p>
    <w:p>
      <w:pPr>
        <w:spacing w:after="0" w:line="20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For the six months ended June 30, 2006, we revised the manner in which we present our revenues. This change better aligns our product categories by functional product characteristic and intended use. We now present revenues in two categories: Neurosurgical / Orthopedic Implants and Medical / Surgical Equipment. Our Neuro/Ortho Implants product group includes dural grafts that are indicated for the repair of the dura mater, dermal regeneration and engineered wound dressings, implants used in small bone and joint fixation, repair of peripheral nerves, and hydrocephalus management, and implants used in bone regeneration and in guided tissue regeneration in periodontal surgery. Our MedSurg Equipment product group includes ultrasonic surgery systems for tissue ablation, cranial stabilization and brain retraction systems, instrumentation used in general, neurosurgical, spinal and plastic and reconstructive surgery and dental procedures, systems for the measurement of various brain parameters, and devices used to gain access to the cranial cavity and to drain excess cerebrospinal fluid from the ventricles of the brain.</w:t>
      </w:r>
    </w:p>
    <w:p>
      <w:pPr>
        <w:spacing w:after="0" w:line="207"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We manage these product groups and distribution channels on a centralized basis. Accordingly, we report our financial results under a single operating segment - the development, manufacturing and distribution of medical devices.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We manufacture many of our products in various plants located in the United States, Puerto Rico, France, the United Kingdom and Germany. We also manufacture some of our ultrasonic surgical instruments and source most of our hand-held surgical instruments through specialized third-party vendors.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We believe that we have a particular advantage in the development, manufacture and sale of specialty tissue repair products derived from bovine collagen. We develop and manufacture these products primarily in our facilities in Plainsboro, New Jersey and Puerto Rico. Products that contain materials derived from animal sources, including food as well as pharmaceuticals and medical devices, are increasingly subject to scrutiny from the press and regulatory authorities. These products comprised 27% and 31% of total revenues in each of the six-month periods ended June 30, 2006 and 2005, respectively. Accordingly, widespread public controversy concerning collagen products, new regulation, or a ban of the Company's products containing material derived from bovine tissue,</w:t>
      </w:r>
    </w:p>
    <w:p>
      <w:pPr>
        <w:sectPr>
          <w:pgSz w:w="11900" w:h="16838" w:orient="portrait"/>
          <w:cols w:equalWidth="0" w:num="1">
            <w:col w:w="10219"/>
          </w:cols>
          <w:pgMar w:left="240" w:top="709" w:right="1440" w:bottom="0" w:gutter="0" w:footer="0" w:header="0"/>
        </w:sectPr>
      </w:pPr>
    </w:p>
    <w:bookmarkStart w:id="24" w:name="page25"/>
    <w:bookmarkEnd w:id="24"/>
    <w:p>
      <w:pPr>
        <w:ind w:right="2279"/>
        <w:spacing w:after="0" w:line="247" w:lineRule="auto"/>
        <w:rPr>
          <w:sz w:val="20"/>
          <w:szCs w:val="20"/>
          <w:color w:val="auto"/>
        </w:rPr>
      </w:pPr>
      <w:r>
        <w:rPr>
          <w:rFonts w:ascii="Courier New" w:cs="Courier New" w:eastAsia="Courier New" w:hAnsi="Courier New"/>
          <w:sz w:val="17"/>
          <w:szCs w:val="17"/>
          <w:color w:val="auto"/>
          <w:strike w:val="1"/>
        </w:rPr>
        <w:t>could have a material adverse effect on the Company's current business or its ability to expand its business.</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25" w:name="page26"/>
    <w:bookmarkEnd w:id="25"/>
    <w:p>
      <w:pPr>
        <w:ind w:right="1979"/>
        <w:spacing w:after="0" w:line="246" w:lineRule="auto"/>
        <w:rPr>
          <w:sz w:val="20"/>
          <w:szCs w:val="20"/>
          <w:color w:val="auto"/>
        </w:rPr>
      </w:pPr>
      <w:r>
        <w:rPr>
          <w:rFonts w:ascii="Courier New" w:cs="Courier New" w:eastAsia="Courier New" w:hAnsi="Courier New"/>
          <w:sz w:val="17"/>
          <w:szCs w:val="17"/>
          <w:color w:val="auto"/>
          <w:strike w:val="1"/>
        </w:rPr>
        <w:t>Our objective is to continue to build a customer-focused and profitable medical device company by developing or acquiring innovative medical devices and other products to sell through our sales channels. Our strategy therefore entails substantial growth in product revenues through internal means - through launching new and innovative products and selling existing products more intensively - and by acquiring existing businesses or already successful product lines.</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which we aim to increase to more than 65% over a period of several years, operating margins, which we aim to continually expand on as we leverage our existing infrastructure, and earnings per fully diluted share of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ACQUISITIONS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Our strategy for growing our business includes the acquisition of complementary product lines and companies. Our recent acquisitions of businesses, assets and product lines may make our financial results for the six months ended June 30, 2006 not directly comparable to those of the corresponding prior-year period. Since the beginning of 2005, we have acquired the following businesses: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In January 2005, we acquired all of the outstanding capital stock of Newdeal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Technologies SAS ("Newdeal Technologies") for $51.9 million in cash paid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closing, a $0.7 million working capital adjustment paid in January 2006,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$0.8 million of acquisition related expenses. Additionally, we agreed to pay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sellers up to an additional 1.3 million euros if the sellers were to continue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their employment with us through January 3, 2006. This additional payment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accrued to selling, general and administrative expense on a straight-line basis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in 2005 over the one-year employment requirement period and was paid in January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2006.</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Newdeal is a leading developer and marketer of specialty implants and instruments specifically designed for foot and ankle surgery. Newdeal's products include a wide range of products for the forefoot, the mid-foot and the hind foot, including the Bold(R) Screw, Hallu-Fix(R) plate system and the HINTEGRA(R) total ankle prosthesis. Newdeal's target physicians include orthopedic surgeons specializing in injuries of the foot, ankle and extremities, as well as podiatric surgeons.</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On March 3, 2006, Integra acquired certain assets of the Radionics Division of Tyco Healthcare Group, L.P. for approximately $74.5 million in cash paid at closing, subject to certain adjustments, and $2.7 million of acquisition related expenses in a transaction treated as a business combination. Radionics, based in Burlington, Massachusetts, is a leader in the design, manufacture and sale of advanced minimally invasive medical instruments in the fields of neurosurgery and radiation therapy. Radionics' products include the CUSA EXcel(R) ultrasonic surgical aspiration system, the CRW(R) stereotactic system, the XKnife(R) stereotactic radiosurgery system, and the OmniSight(R) EXcel image guided surgery system.</w:t>
      </w:r>
    </w:p>
    <w:p>
      <w:pPr>
        <w:spacing w:after="0" w:line="20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Tyco Healthcare sold Radionics products in over 75 countries, using a network of independent distributors in the United States and both independent distributors and Tyco Healthcare affiliates internationally. We are using distributors in many of the markets in which Tyco Healthcare sold directly to customers. As a result, we expect that revenue and pre-tax income attributable to the acquired product lines will be less than the 2005 levels recognized by Tyco. In addition, because the CUSA Excel ultrasonic aspiration system competes with our existing line of ultrasonic surgery systems, our sales force may, in some situations, sell the CUSA system in lieu of our existing ultrasonic aspirator products. Overall, the acquired business has been growing at rates below our corporate growth rate targets.</w:t>
      </w:r>
    </w:p>
    <w:p>
      <w:pPr>
        <w:spacing w:after="0" w:line="20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On May 12, 2006, we acquired all of the outstanding capital stock of Miltex Holdings, Inc. ("Miltex") for $102.7 million in cash paid at closing, subject to certain adjustments, and $0.2 million of transaction related costs. Miltex, based in York, Pennsylvania, is a leading provider of surgical and dental hand instruments to alternate site facilities, which includes physician and dental offices and ambulatory surgery care sectors. Miltex sells products under the Miltex(R), Meisterhand(R), Vantage(R), Moyco(R), Union Broach(R), and Thompson(R) trade names in over 65 countries, using a network of independent distributors. Miltex operates a manufacturing and distribution facility in York, Pennsylvania and also operates a leased facility in Tuttlingen, Germany, where Miltex's staff coordinates design, production and delivery of instruments.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We announced on July 11, 2006 that we are launching a direct sales force in</w:t>
      </w:r>
    </w:p>
    <w:p>
      <w:pPr>
        <w:sectPr>
          <w:pgSz w:w="11900" w:h="16838" w:orient="portrait"/>
          <w:cols w:equalWidth="0" w:num="1">
            <w:col w:w="10219"/>
          </w:cols>
          <w:pgMar w:left="240" w:top="709" w:right="1440" w:bottom="0" w:gutter="0" w:footer="0" w:header="0"/>
        </w:sectPr>
      </w:pPr>
    </w:p>
    <w:bookmarkStart w:id="26" w:name="page27"/>
    <w:bookmarkEnd w:id="26"/>
    <w:p>
      <w:pPr>
        <w:ind w:right="1979"/>
        <w:spacing w:after="0" w:line="247" w:lineRule="auto"/>
        <w:rPr>
          <w:sz w:val="20"/>
          <w:szCs w:val="20"/>
          <w:color w:val="auto"/>
        </w:rPr>
      </w:pPr>
      <w:r>
        <w:rPr>
          <w:rFonts w:ascii="Courier New" w:cs="Courier New" w:eastAsia="Courier New" w:hAnsi="Courier New"/>
          <w:sz w:val="17"/>
          <w:szCs w:val="17"/>
          <w:color w:val="auto"/>
          <w:strike w:val="1"/>
        </w:rPr>
        <w:t>Canada through the acquisition of our longstanding distributor, Canada Microsurgical Ltd. Canada Microsurgical has eight sales representatives covering</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27" w:name="page28"/>
    <w:bookmarkEnd w:id="27"/>
    <w:p>
      <w:pPr>
        <w:ind w:right="2079"/>
        <w:spacing w:after="0" w:line="246" w:lineRule="auto"/>
        <w:rPr>
          <w:sz w:val="20"/>
          <w:szCs w:val="20"/>
          <w:color w:val="auto"/>
        </w:rPr>
      </w:pPr>
      <w:r>
        <w:rPr>
          <w:rFonts w:ascii="Courier New" w:cs="Courier New" w:eastAsia="Courier New" w:hAnsi="Courier New"/>
          <w:sz w:val="17"/>
          <w:szCs w:val="17"/>
          <w:color w:val="auto"/>
          <w:strike w:val="1"/>
        </w:rPr>
        <w:t>each province in Canada. The Company paid $5.8 million (6.4 million Canadian dollars) for Canada Microsurgical at closing. In addition, the Company will pay up to an additional 2.1 million Canadian dollars over the next three years, depending on the performance of the business.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We announced that on July 31, 2006 we acquired the shares of Kinetikos Medical, Inc. ("KMI") for approximately $40 million in cash, subject to certain adjustments, including future payments based on the performance of the KMI business after the acquisition. KMI, based in Carlsbad, California, is a leading developer and manufacturer of innovative orthopedic implants and surgical devices for small bone and joint procedures involving the foot, ankle, hand, wrist and elbow. KMI currently markets products that address both the trauma and reconstructive segments of the extremities market. KMI's reconstructive products are largely focused on treating deformities and arthritis in small joints of the upper and lower extremity, while its trauma products are focused on the treatment of fractures of small bones most commonly found in the extremities. KMI currently sells its products through approximately 45 independent sales agencies in the United States and through 17 independent distributors internationally. The Company plans to expand the sale of KMI products internationally through its well-established Newdeal infrastructure.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IMPACT OF RESTRUCTURING ACTIVITIES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In June 2005, we announced plans to restructure our European operations. The restructuring plan included closing our Integra ME production facility in Tuttlingen, Germany and reducing various positions in our production facility located in Biot, France, both of which were substantially completed in December 2005. We transitioned the manufacturing operations of Integra ME to our production facility in Andover, UK. We also eliminated some duplicative sales and marketing positions, primarily in Europe. The Company terminated 68 individuals under the European restructuring plan.</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In 2005, we also completed the transfer of the Spinal Specialties assembly operations from our San Antonio, Texas plant to our San Diego, California plant and we continue to transfer certain assembly, processing and packaging operations to our San Diego and Puerto Rico facilities. During the six months ended June 30, 2006, the Company terminated four employees in connection with the transfer of certain manufacturing packaging operations from its plant in Plainsboro, New Jersey to its plant in Anasco, Puerto Rico. The Company may terminate approximately ten additional employees over the next nine to twelve months in connection with this transfer; however no final decision has been made.</w:t>
      </w:r>
    </w:p>
    <w:p>
      <w:pPr>
        <w:spacing w:after="0" w:line="204"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In connection with these restructuring activities, we recorded employee termination costs of $127,000 and $251,000, respectively, during the three and six months ended June 30, 2006.</w:t>
      </w:r>
    </w:p>
    <w:p>
      <w:pPr>
        <w:spacing w:after="0" w:line="200"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While we expect to achieve a positive impact from the restructuring and integration activities, such results remain uncertain. We have reinvested most of the savings from these restructuring and integration activities into further expanding our European sales, marketing and distribution organization, and integrating the Radionics business into our existing sales and distribution network.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RESULTS OF OPERATIONS</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Net income for the three months ended June 30, 2006 was $8.0 million, or $0.26 per diluted share, as compared to net income of $7.7 million, or $0.23 per diluted share, for the three months ended June 30, 2005.</w:t>
      </w:r>
    </w:p>
    <w:p>
      <w:pPr>
        <w:spacing w:after="0" w:line="200" w:lineRule="exact"/>
        <w:rPr>
          <w:sz w:val="20"/>
          <w:szCs w:val="20"/>
          <w:color w:val="auto"/>
        </w:rPr>
      </w:pPr>
    </w:p>
    <w:p>
      <w:pPr>
        <w:jc w:val="both"/>
        <w:ind w:right="2279"/>
        <w:spacing w:after="0" w:line="246" w:lineRule="auto"/>
        <w:rPr>
          <w:sz w:val="20"/>
          <w:szCs w:val="20"/>
          <w:color w:val="auto"/>
        </w:rPr>
      </w:pPr>
      <w:r>
        <w:rPr>
          <w:rFonts w:ascii="Courier New" w:cs="Courier New" w:eastAsia="Courier New" w:hAnsi="Courier New"/>
          <w:sz w:val="17"/>
          <w:szCs w:val="17"/>
          <w:color w:val="auto"/>
          <w:strike w:val="1"/>
        </w:rPr>
        <w:t>Net income for the six months ended June 30, 2006 was $16.7 million, or $0.54 per diluted share, as compared to a net income of $16.1 million, or $0.49 per diluted share, for the three months ended June 30, 2005.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These amounts include the following charges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226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Three Months Ended</w:t>
            </w:r>
          </w:p>
        </w:tc>
        <w:tc>
          <w:tcPr>
            <w:tcW w:w="2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5260" w:type="dxa"/>
            <w:vAlign w:val="bottom"/>
          </w:tcPr>
          <w:p>
            <w:pPr>
              <w:spacing w:after="0"/>
              <w:rPr>
                <w:sz w:val="17"/>
                <w:szCs w:val="17"/>
                <w:color w:val="auto"/>
              </w:rPr>
            </w:pPr>
          </w:p>
        </w:tc>
        <w:tc>
          <w:tcPr>
            <w:tcW w:w="2260" w:type="dxa"/>
            <w:vAlign w:val="bottom"/>
            <w:gridSpan w:val="2"/>
          </w:tcPr>
          <w:p>
            <w:pPr>
              <w:jc w:val="right"/>
              <w:ind w:right="734"/>
              <w:spacing w:after="0"/>
              <w:rPr>
                <w:sz w:val="20"/>
                <w:szCs w:val="20"/>
                <w:color w:val="auto"/>
              </w:rPr>
            </w:pPr>
            <w:r>
              <w:rPr>
                <w:rFonts w:ascii="Courier New" w:cs="Courier New" w:eastAsia="Courier New" w:hAnsi="Courier New"/>
                <w:sz w:val="17"/>
                <w:szCs w:val="17"/>
                <w:color w:val="auto"/>
              </w:rPr>
              <w:t>June 30,</w:t>
            </w:r>
          </w:p>
        </w:tc>
        <w:tc>
          <w:tcPr>
            <w:tcW w:w="216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5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2006</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2005</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2006</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2005</w:t>
            </w:r>
          </w:p>
        </w:tc>
      </w:tr>
      <w:tr>
        <w:trPr>
          <w:trHeight w:val="198"/>
        </w:trPr>
        <w:tc>
          <w:tcPr>
            <w:tcW w:w="5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Employee termination and related costs ...........</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  208</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$2,074</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  421</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$2,074</w:t>
            </w:r>
          </w:p>
        </w:tc>
      </w:tr>
      <w:tr>
        <w:trPr>
          <w:trHeight w:val="198"/>
        </w:trPr>
        <w:tc>
          <w:tcPr>
            <w:tcW w:w="5260" w:type="dxa"/>
            <w:vAlign w:val="bottom"/>
          </w:tcPr>
          <w:p>
            <w:pPr>
              <w:spacing w:after="0"/>
              <w:rPr>
                <w:sz w:val="20"/>
                <w:szCs w:val="20"/>
                <w:color w:val="auto"/>
              </w:rPr>
            </w:pPr>
            <w:r>
              <w:rPr>
                <w:rFonts w:ascii="Courier New" w:cs="Courier New" w:eastAsia="Courier New" w:hAnsi="Courier New"/>
                <w:sz w:val="17"/>
                <w:szCs w:val="17"/>
                <w:color w:val="auto"/>
                <w:strike w:val="1"/>
              </w:rPr>
              <w:t>Inventory fair market value purchase accounting</w:t>
            </w: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adjustments ..................................</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2,149</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197</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2,613</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466</w:t>
            </w:r>
          </w:p>
        </w:tc>
      </w:tr>
      <w:tr>
        <w:trPr>
          <w:trHeight w:val="198"/>
        </w:trPr>
        <w:tc>
          <w:tcPr>
            <w:tcW w:w="5260" w:type="dxa"/>
            <w:vAlign w:val="bottom"/>
          </w:tcPr>
          <w:p>
            <w:pPr>
              <w:spacing w:after="0"/>
              <w:rPr>
                <w:sz w:val="20"/>
                <w:szCs w:val="20"/>
                <w:color w:val="auto"/>
              </w:rPr>
            </w:pPr>
            <w:r>
              <w:rPr>
                <w:rFonts w:ascii="Courier New" w:cs="Courier New" w:eastAsia="Courier New" w:hAnsi="Courier New"/>
                <w:sz w:val="17"/>
                <w:szCs w:val="17"/>
                <w:color w:val="auto"/>
                <w:strike w:val="1"/>
              </w:rPr>
              <w:t>Facility consolidation, acquisition integration,</w:t>
            </w: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manufacturing transfer, enterprise business</w:t>
            </w: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system integration, and related costs ........</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199</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783</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717</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1,300</w:t>
            </w:r>
          </w:p>
        </w:tc>
      </w:tr>
      <w:tr>
        <w:trPr>
          <w:trHeight w:val="198"/>
        </w:trPr>
        <w:tc>
          <w:tcPr>
            <w:tcW w:w="5260" w:type="dxa"/>
            <w:vAlign w:val="bottom"/>
          </w:tcPr>
          <w:p>
            <w:pPr>
              <w:spacing w:after="0"/>
              <w:rPr>
                <w:sz w:val="20"/>
                <w:szCs w:val="20"/>
                <w:color w:val="auto"/>
              </w:rPr>
            </w:pPr>
            <w:r>
              <w:rPr>
                <w:rFonts w:ascii="Courier New" w:cs="Courier New" w:eastAsia="Courier New" w:hAnsi="Courier New"/>
                <w:sz w:val="17"/>
                <w:szCs w:val="17"/>
                <w:color w:val="auto"/>
                <w:strike w:val="1"/>
              </w:rPr>
              <w:t>Impairment of inventory and fixed assets related</w:t>
            </w: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to discontinued development project...........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1,578</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1,578</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-1573530</wp:posOffset>
            </wp:positionV>
            <wp:extent cx="62115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-1447800</wp:posOffset>
            </wp:positionV>
            <wp:extent cx="588454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8845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-1322070</wp:posOffset>
            </wp:positionV>
            <wp:extent cx="621157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62115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50342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62115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62115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31381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1381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62115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62115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211570" cy="8255"/>
                    </a:xfrm>
                    <a:prstGeom prst="rect">
                      <a:avLst/>
                    </a:prstGeom>
                    <a:noFill/>
                  </pic:spPr>
                </pic:pic>
              </a:graphicData>
            </a:graphic>
          </wp:anchor>
        </w:drawing>
      </w:r>
    </w:p>
    <w:p>
      <w:pPr>
        <w:sectPr>
          <w:pgSz w:w="11900" w:h="16838" w:orient="portrait"/>
          <w:cols w:equalWidth="0" w:num="1">
            <w:col w:w="10219"/>
          </w:cols>
          <w:pgMar w:left="240" w:top="709" w:right="1440"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3"/>
        </w:trPr>
        <w:tc>
          <w:tcPr>
            <w:tcW w:w="3920" w:type="dxa"/>
            <w:vAlign w:val="bottom"/>
          </w:tcPr>
          <w:p>
            <w:pPr>
              <w:spacing w:after="0"/>
              <w:rPr>
                <w:sz w:val="20"/>
                <w:szCs w:val="20"/>
                <w:color w:val="auto"/>
              </w:rPr>
            </w:pPr>
            <w:r>
              <w:rPr>
                <w:rFonts w:ascii="Courier New" w:cs="Courier New" w:eastAsia="Courier New" w:hAnsi="Courier New"/>
                <w:sz w:val="17"/>
                <w:szCs w:val="17"/>
                <w:color w:val="auto"/>
              </w:rPr>
              <w:t>Net share settlement transaction costs</w:t>
            </w:r>
          </w:p>
        </w:tc>
        <w:tc>
          <w:tcPr>
            <w:tcW w:w="2360" w:type="dxa"/>
            <w:vAlign w:val="bottom"/>
          </w:tcPr>
          <w:p>
            <w:pPr>
              <w:jc w:val="right"/>
              <w:ind w:right="229"/>
              <w:spacing w:after="0"/>
              <w:rPr>
                <w:sz w:val="20"/>
                <w:szCs w:val="20"/>
                <w:color w:val="auto"/>
              </w:rPr>
            </w:pPr>
            <w:r>
              <w:rPr>
                <w:rFonts w:ascii="Courier New" w:cs="Courier New" w:eastAsia="Courier New" w:hAnsi="Courier New"/>
                <w:sz w:val="17"/>
                <w:szCs w:val="17"/>
                <w:color w:val="auto"/>
                <w:w w:val="97"/>
              </w:rPr>
              <w:t>............87</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87</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3920" w:type="dxa"/>
            <w:vAlign w:val="bottom"/>
          </w:tcPr>
          <w:p>
            <w:pPr>
              <w:spacing w:after="0"/>
              <w:rPr>
                <w:sz w:val="17"/>
                <w:szCs w:val="17"/>
                <w:color w:val="auto"/>
              </w:rPr>
            </w:pPr>
          </w:p>
        </w:tc>
        <w:tc>
          <w:tcPr>
            <w:tcW w:w="2360" w:type="dxa"/>
            <w:vAlign w:val="bottom"/>
          </w:tcPr>
          <w:p>
            <w:pPr>
              <w:jc w:val="right"/>
              <w:ind w:right="229"/>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3920" w:type="dxa"/>
            <w:vAlign w:val="bottom"/>
          </w:tcPr>
          <w:p>
            <w:pPr>
              <w:ind w:left="320"/>
              <w:spacing w:after="0"/>
              <w:rPr>
                <w:sz w:val="20"/>
                <w:szCs w:val="20"/>
                <w:color w:val="auto"/>
              </w:rPr>
            </w:pPr>
            <w:r>
              <w:rPr>
                <w:rFonts w:ascii="Courier New" w:cs="Courier New" w:eastAsia="Courier New" w:hAnsi="Courier New"/>
                <w:sz w:val="17"/>
                <w:szCs w:val="17"/>
                <w:color w:val="auto"/>
              </w:rPr>
              <w:t>Total</w:t>
            </w:r>
          </w:p>
        </w:tc>
        <w:tc>
          <w:tcPr>
            <w:tcW w:w="2360" w:type="dxa"/>
            <w:vAlign w:val="bottom"/>
          </w:tcPr>
          <w:p>
            <w:pPr>
              <w:jc w:val="right"/>
              <w:ind w:right="229"/>
              <w:spacing w:after="0"/>
              <w:rPr>
                <w:sz w:val="20"/>
                <w:szCs w:val="20"/>
                <w:color w:val="auto"/>
              </w:rPr>
            </w:pPr>
            <w:r>
              <w:rPr>
                <w:rFonts w:ascii="Courier New" w:cs="Courier New" w:eastAsia="Courier New" w:hAnsi="Courier New"/>
                <w:sz w:val="17"/>
                <w:szCs w:val="17"/>
                <w:color w:val="auto"/>
              </w:rPr>
              <w:t>$4,221</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$3,054</w:t>
            </w:r>
          </w:p>
        </w:tc>
        <w:tc>
          <w:tcPr>
            <w:tcW w:w="1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$5,416</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$3,840</w:t>
            </w:r>
          </w:p>
        </w:tc>
      </w:tr>
      <w:tr>
        <w:trPr>
          <w:trHeight w:val="594"/>
        </w:trPr>
        <w:tc>
          <w:tcPr>
            <w:tcW w:w="3920" w:type="dxa"/>
            <w:vAlign w:val="bottom"/>
          </w:tcPr>
          <w:p>
            <w:pPr>
              <w:spacing w:after="0"/>
              <w:rPr>
                <w:sz w:val="24"/>
                <w:szCs w:val="24"/>
                <w:color w:val="auto"/>
              </w:rPr>
            </w:pPr>
          </w:p>
        </w:tc>
        <w:tc>
          <w:tcPr>
            <w:tcW w:w="2360" w:type="dxa"/>
            <w:vAlign w:val="bottom"/>
          </w:tcPr>
          <w:p>
            <w:pPr>
              <w:jc w:val="right"/>
              <w:ind w:right="2089"/>
              <w:spacing w:after="0"/>
              <w:rPr>
                <w:sz w:val="20"/>
                <w:szCs w:val="20"/>
                <w:color w:val="auto"/>
              </w:rPr>
            </w:pPr>
            <w:r>
              <w:rPr>
                <w:rFonts w:ascii="Courier New" w:cs="Courier New" w:eastAsia="Courier New" w:hAnsi="Courier New"/>
                <w:sz w:val="17"/>
                <w:szCs w:val="17"/>
                <w:color w:val="auto"/>
                <w:w w:val="87"/>
              </w:rPr>
              <w:t>18</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-693420</wp:posOffset>
            </wp:positionV>
            <wp:extent cx="62115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-567690</wp:posOffset>
            </wp:positionV>
            <wp:extent cx="62115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-441960</wp:posOffset>
            </wp:positionV>
            <wp:extent cx="62115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-64770</wp:posOffset>
            </wp:positionV>
            <wp:extent cx="26809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119"/>
          </w:cols>
          <w:pgMar w:left="340" w:top="142" w:right="1440" w:bottom="1440" w:gutter="0" w:footer="0" w:header="0"/>
        </w:sectPr>
      </w:pPr>
    </w:p>
    <w:bookmarkStart w:id="29" w:name="page30"/>
    <w:bookmarkEnd w:id="29"/>
    <w:p>
      <w:pPr>
        <w:ind w:right="2279"/>
        <w:spacing w:after="0" w:line="246" w:lineRule="auto"/>
        <w:rPr>
          <w:sz w:val="20"/>
          <w:szCs w:val="20"/>
          <w:color w:val="auto"/>
        </w:rPr>
      </w:pPr>
      <w:r>
        <w:rPr>
          <w:rFonts w:ascii="Courier New" w:cs="Courier New" w:eastAsia="Courier New" w:hAnsi="Courier New"/>
          <w:sz w:val="17"/>
          <w:szCs w:val="17"/>
          <w:color w:val="auto"/>
          <w:strike w:val="1"/>
        </w:rPr>
        <w:t>Of these amounts, $3.6 million and $ 466,000 were charged to cost of product revenues in the six-month periods ended June 30, 2006 and 2005, respectively, and $1.6 million was charged to research and development in the three and six months ended June 30, 2006. The remaining amounts were primarily charged to selling, general and administrative expenses.</w:t>
      </w: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We believe that, given our ongoing, active strategy of seeking new acquisitions and integrating recent acquisitions, our current focus on rationalizing our existing manufacturing and distribution infrastructure, our recent review of various product lines in relation to our current business strategy, and a renewed focus on enterprise business systems integrations, charges similar to those discussed above could recur with similar materiality in the future. We believe that the delineation of these costs provides useful information to measure the comparative performance of our business operations.</w:t>
      </w:r>
    </w:p>
    <w:p>
      <w:pPr>
        <w:spacing w:after="0" w:line="203"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 xml:space="preserve">We estimate that the costs of completing these ongoing and other restructuring </w:t>
      </w:r>
      <w:r>
        <w:rPr>
          <w:rFonts w:ascii="Courier New" w:cs="Courier New" w:eastAsia="Courier New" w:hAnsi="Courier New"/>
          <w:sz w:val="17"/>
          <w:szCs w:val="17"/>
          <w:color w:val="auto"/>
          <w:strike w:val="1"/>
        </w:rPr>
        <w:t>activities, including the integration of recently acquired businesses and additional systems integrations, along with additional fair market value purchase accounting inventory costs, will be approximately $11.4 million in the aggregate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-568960</wp:posOffset>
            </wp:positionV>
            <wp:extent cx="51650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65090" cy="8255"/>
                    </a:xfrm>
                    <a:prstGeom prst="rect">
                      <a:avLst/>
                    </a:prstGeom>
                    <a:noFill/>
                  </pic:spPr>
                </pic:pic>
              </a:graphicData>
            </a:graphic>
          </wp:anchor>
        </w:drawing>
      </w:r>
    </w:p>
    <w:p>
      <w:pPr>
        <w:spacing w:after="0" w:line="18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strike w:val="1"/>
        </w:rPr>
        <w:t>Net income for the three and six months ended June 30, 2006 also includes approximately $4.4 million and $2.3 million, respectively, net of tax, of stock-based compensation expense recorded in connection with the adoption of Statement of Financial Accounting Standards No 123(R) "Shared Based Payment".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Revenues and Gross Margin on Product Revenues</w:t>
      </w:r>
    </w:p>
    <w:p>
      <w:pPr>
        <w:spacing w:after="0" w:line="203" w:lineRule="exact"/>
        <w:rPr>
          <w:sz w:val="20"/>
          <w:szCs w:val="20"/>
          <w:color w:val="auto"/>
        </w:rPr>
      </w:pPr>
    </w:p>
    <w:p>
      <w:pPr>
        <w:ind w:right="3119"/>
        <w:spacing w:after="0" w:line="247" w:lineRule="auto"/>
        <w:rPr>
          <w:sz w:val="20"/>
          <w:szCs w:val="20"/>
          <w:color w:val="auto"/>
        </w:rPr>
      </w:pPr>
      <w:r>
        <w:rPr>
          <w:rFonts w:ascii="Courier New" w:cs="Courier New" w:eastAsia="Courier New" w:hAnsi="Courier New"/>
          <w:sz w:val="17"/>
          <w:szCs w:val="17"/>
          <w:color w:val="auto"/>
          <w:strike w:val="1"/>
        </w:rPr>
        <w:t>Our revenues and gross margin on product revenues were as follows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214"/>
              <w:spacing w:after="0"/>
              <w:rPr>
                <w:sz w:val="20"/>
                <w:szCs w:val="20"/>
                <w:color w:val="auto"/>
              </w:rPr>
            </w:pPr>
            <w:r>
              <w:rPr>
                <w:rFonts w:ascii="Courier New" w:cs="Courier New" w:eastAsia="Courier New" w:hAnsi="Courier New"/>
                <w:sz w:val="17"/>
                <w:szCs w:val="17"/>
                <w:color w:val="auto"/>
              </w:rPr>
              <w:t>Three Months Ended</w:t>
            </w:r>
          </w:p>
        </w:tc>
        <w:tc>
          <w:tcPr>
            <w:tcW w:w="42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3"/>
          </w:tcPr>
          <w:p>
            <w:pPr>
              <w:jc w:val="right"/>
              <w:ind w:right="834"/>
              <w:spacing w:after="0"/>
              <w:rPr>
                <w:sz w:val="20"/>
                <w:szCs w:val="20"/>
                <w:color w:val="auto"/>
              </w:rPr>
            </w:pPr>
            <w:r>
              <w:rPr>
                <w:rFonts w:ascii="Courier New" w:cs="Courier New" w:eastAsia="Courier New" w:hAnsi="Courier New"/>
                <w:sz w:val="17"/>
                <w:szCs w:val="17"/>
                <w:color w:val="auto"/>
              </w:rPr>
              <w:t>June 30,</w:t>
            </w:r>
          </w:p>
        </w:tc>
        <w:tc>
          <w:tcPr>
            <w:tcW w:w="420" w:type="dxa"/>
            <w:vAlign w:val="bottom"/>
          </w:tcPr>
          <w:p>
            <w:pPr>
              <w:spacing w:after="0"/>
              <w:rPr>
                <w:sz w:val="17"/>
                <w:szCs w:val="17"/>
                <w:color w:val="auto"/>
              </w:rPr>
            </w:pPr>
          </w:p>
        </w:tc>
        <w:tc>
          <w:tcPr>
            <w:tcW w:w="1740" w:type="dxa"/>
            <w:vAlign w:val="bottom"/>
            <w:gridSpan w:val="3"/>
          </w:tcPr>
          <w:p>
            <w:pPr>
              <w:jc w:val="right"/>
              <w:ind w:right="534"/>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2006</w:t>
            </w:r>
          </w:p>
        </w:tc>
        <w:tc>
          <w:tcPr>
            <w:tcW w:w="20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2005</w:t>
            </w:r>
          </w:p>
        </w:tc>
        <w:tc>
          <w:tcPr>
            <w:tcW w:w="420" w:type="dxa"/>
            <w:vAlign w:val="bottom"/>
          </w:tcPr>
          <w:p>
            <w:pPr>
              <w:spacing w:after="0"/>
              <w:rPr>
                <w:sz w:val="17"/>
                <w:szCs w:val="17"/>
                <w:color w:val="auto"/>
              </w:rPr>
            </w:pPr>
          </w:p>
        </w:tc>
        <w:tc>
          <w:tcPr>
            <w:tcW w:w="7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2006</w:t>
            </w:r>
          </w:p>
        </w:tc>
        <w:tc>
          <w:tcPr>
            <w:tcW w:w="16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2005</w:t>
            </w:r>
          </w:p>
        </w:tc>
      </w:tr>
      <w:tr>
        <w:trPr>
          <w:trHeight w:val="198"/>
        </w:trPr>
        <w:tc>
          <w:tcPr>
            <w:tcW w:w="5160" w:type="dxa"/>
            <w:vAlign w:val="bottom"/>
          </w:tcPr>
          <w:p>
            <w:pPr>
              <w:spacing w:after="0"/>
              <w:rPr>
                <w:sz w:val="17"/>
                <w:szCs w:val="17"/>
                <w:color w:val="auto"/>
              </w:rPr>
            </w:pP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5160" w:type="dxa"/>
            <w:vAlign w:val="bottom"/>
          </w:tcPr>
          <w:p>
            <w:pPr>
              <w:spacing w:after="0"/>
              <w:rPr>
                <w:sz w:val="20"/>
                <w:szCs w:val="20"/>
                <w:color w:val="auto"/>
              </w:rPr>
            </w:pPr>
            <w:r>
              <w:rPr>
                <w:rFonts w:ascii="Courier New" w:cs="Courier New" w:eastAsia="Courier New" w:hAnsi="Courier New"/>
                <w:sz w:val="17"/>
                <w:szCs w:val="17"/>
                <w:color w:val="auto"/>
              </w:rPr>
              <w:t>Neuro/Ortho Implants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38,896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34,319</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75,642</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65,703</w:t>
            </w:r>
          </w:p>
        </w:tc>
      </w:tr>
      <w:tr>
        <w:trPr>
          <w:trHeight w:val="198"/>
        </w:trPr>
        <w:tc>
          <w:tcPr>
            <w:tcW w:w="5160" w:type="dxa"/>
            <w:vAlign w:val="bottom"/>
          </w:tcPr>
          <w:p>
            <w:pPr>
              <w:spacing w:after="0"/>
              <w:rPr>
                <w:sz w:val="20"/>
                <w:szCs w:val="20"/>
                <w:color w:val="auto"/>
              </w:rPr>
            </w:pPr>
            <w:r>
              <w:rPr>
                <w:rFonts w:ascii="Courier New" w:cs="Courier New" w:eastAsia="Courier New" w:hAnsi="Courier New"/>
                <w:sz w:val="17"/>
                <w:szCs w:val="17"/>
                <w:color w:val="auto"/>
              </w:rPr>
              <w:t>MedSurg Equipment ...............................</w:t>
            </w:r>
          </w:p>
        </w:tc>
        <w:tc>
          <w:tcPr>
            <w:tcW w:w="20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61,225</w:t>
            </w:r>
          </w:p>
        </w:tc>
        <w:tc>
          <w:tcPr>
            <w:tcW w:w="2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35,459</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7"/>
              </w:rPr>
              <w:t>101,614</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69,914</w:t>
            </w:r>
          </w:p>
        </w:tc>
      </w:tr>
      <w:tr>
        <w:trPr>
          <w:trHeight w:val="198"/>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5160" w:type="dxa"/>
            <w:vAlign w:val="bottom"/>
          </w:tcPr>
          <w:p>
            <w:pPr>
              <w:spacing w:after="0"/>
              <w:rPr>
                <w:sz w:val="20"/>
                <w:szCs w:val="20"/>
                <w:color w:val="auto"/>
              </w:rPr>
            </w:pPr>
            <w:r>
              <w:rPr>
                <w:rFonts w:ascii="Courier New" w:cs="Courier New" w:eastAsia="Courier New" w:hAnsi="Courier New"/>
                <w:sz w:val="17"/>
                <w:szCs w:val="17"/>
                <w:color w:val="auto"/>
              </w:rPr>
              <w:t>Total revenue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100,121</w:t>
            </w:r>
          </w:p>
        </w:tc>
        <w:tc>
          <w:tcPr>
            <w:tcW w:w="2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69,778</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7"/>
              </w:rPr>
              <w:t>177,256</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135,617</w:t>
            </w:r>
          </w:p>
        </w:tc>
      </w:tr>
      <w:tr>
        <w:trPr>
          <w:trHeight w:val="396"/>
        </w:trPr>
        <w:tc>
          <w:tcPr>
            <w:tcW w:w="5160" w:type="dxa"/>
            <w:vAlign w:val="bottom"/>
          </w:tcPr>
          <w:p>
            <w:pPr>
              <w:spacing w:after="0"/>
              <w:rPr>
                <w:sz w:val="20"/>
                <w:szCs w:val="20"/>
                <w:color w:val="auto"/>
              </w:rPr>
            </w:pPr>
            <w:r>
              <w:rPr>
                <w:rFonts w:ascii="Courier New" w:cs="Courier New" w:eastAsia="Courier New" w:hAnsi="Courier New"/>
                <w:sz w:val="17"/>
                <w:szCs w:val="17"/>
                <w:color w:val="auto"/>
              </w:rPr>
              <w:t>Cost of product revenues ........................</w:t>
            </w:r>
          </w:p>
        </w:tc>
        <w:tc>
          <w:tcPr>
            <w:tcW w:w="20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41,373</w:t>
            </w:r>
          </w:p>
        </w:tc>
        <w:tc>
          <w:tcPr>
            <w:tcW w:w="200" w:type="dxa"/>
            <w:vAlign w:val="bottom"/>
          </w:tcPr>
          <w:p>
            <w:pPr>
              <w:spacing w:after="0"/>
              <w:rPr>
                <w:sz w:val="24"/>
                <w:szCs w:val="24"/>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27,518</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69,310</w:t>
            </w:r>
          </w:p>
        </w:tc>
        <w:tc>
          <w:tcPr>
            <w:tcW w:w="16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52,029</w:t>
            </w:r>
          </w:p>
        </w:tc>
      </w:tr>
      <w:tr>
        <w:trPr>
          <w:trHeight w:val="396"/>
        </w:trPr>
        <w:tc>
          <w:tcPr>
            <w:tcW w:w="5160" w:type="dxa"/>
            <w:vAlign w:val="bottom"/>
          </w:tcPr>
          <w:p>
            <w:pPr>
              <w:spacing w:after="0"/>
              <w:rPr>
                <w:sz w:val="20"/>
                <w:szCs w:val="20"/>
                <w:color w:val="auto"/>
              </w:rPr>
            </w:pPr>
            <w:r>
              <w:rPr>
                <w:rFonts w:ascii="Courier New" w:cs="Courier New" w:eastAsia="Courier New" w:hAnsi="Courier New"/>
                <w:sz w:val="17"/>
                <w:szCs w:val="17"/>
                <w:color w:val="auto"/>
              </w:rPr>
              <w:t>Gross margin on total revenues ..................</w:t>
            </w:r>
          </w:p>
        </w:tc>
        <w:tc>
          <w:tcPr>
            <w:tcW w:w="20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58,748</w:t>
            </w:r>
          </w:p>
        </w:tc>
        <w:tc>
          <w:tcPr>
            <w:tcW w:w="200" w:type="dxa"/>
            <w:vAlign w:val="bottom"/>
          </w:tcPr>
          <w:p>
            <w:pPr>
              <w:spacing w:after="0"/>
              <w:rPr>
                <w:sz w:val="24"/>
                <w:szCs w:val="24"/>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42,260</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7"/>
              </w:rPr>
              <w:t>107,946</w:t>
            </w:r>
          </w:p>
        </w:tc>
        <w:tc>
          <w:tcPr>
            <w:tcW w:w="16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83,588</w:t>
            </w:r>
          </w:p>
        </w:tc>
      </w:tr>
      <w:tr>
        <w:trPr>
          <w:trHeight w:val="198"/>
        </w:trPr>
        <w:tc>
          <w:tcPr>
            <w:tcW w:w="5160" w:type="dxa"/>
            <w:vAlign w:val="bottom"/>
          </w:tcPr>
          <w:p>
            <w:pPr>
              <w:spacing w:after="0"/>
              <w:rPr>
                <w:sz w:val="20"/>
                <w:szCs w:val="20"/>
                <w:color w:val="auto"/>
              </w:rPr>
            </w:pPr>
            <w:r>
              <w:rPr>
                <w:rFonts w:ascii="Courier New" w:cs="Courier New" w:eastAsia="Courier New" w:hAnsi="Courier New"/>
                <w:sz w:val="17"/>
                <w:szCs w:val="17"/>
                <w:color w:val="auto"/>
              </w:rPr>
              <w:t>Gross margin as a percentage of total revenues...</w:t>
            </w:r>
          </w:p>
        </w:tc>
        <w:tc>
          <w:tcPr>
            <w:tcW w:w="20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59%</w:t>
            </w:r>
          </w:p>
        </w:tc>
        <w:tc>
          <w:tcPr>
            <w:tcW w:w="2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61%</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61%</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-1699260</wp:posOffset>
            </wp:positionV>
            <wp:extent cx="61461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-1573530</wp:posOffset>
            </wp:positionV>
            <wp:extent cx="57537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7537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-1447800</wp:posOffset>
            </wp:positionV>
            <wp:extent cx="60153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0153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-1322070</wp:posOffset>
            </wp:positionV>
            <wp:extent cx="60807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483806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8380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60807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60807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60807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60807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60807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60807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60807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080760" cy="8255"/>
                    </a:xfrm>
                    <a:prstGeom prst="rect">
                      <a:avLst/>
                    </a:prstGeom>
                    <a:noFill/>
                  </pic:spPr>
                </pic:pic>
              </a:graphicData>
            </a:graphic>
          </wp:anchor>
        </w:drawing>
      </w:r>
    </w:p>
    <w:p>
      <w:pPr>
        <w:spacing w:after="0" w:line="381"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strike w:val="1"/>
        </w:rPr>
        <w:t>THREE MONTHS ENDED JUNE 30, 2006 AS COMPARED TO THE THREE MONTHS ENDED JUNE 30, 2005</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Revenues and Gross Margin</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For the quarter ended June 30, 2006, total revenues increased 43% over the prior-year period to $100.1 million. Domestic revenues increased $22.6 million to $74.4 million, or 74% of total revenues, as compared to 74% of revenues in the three months ended June 30, 2005.</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 the Neuro/Ortho Implants category, sales of our Reconstructive Surgery implant products grew particularly well. Strong growth in the NeuraGen(TM) Nerve Guide, the INTEGRA(TM) dermal repair products and sales of Newdeal products for the foot and ankle accounted for much of the increase in implant product revenues. INTEGRA(TM) dermal repair product revenues increased approximately 30% over the second quarter of 2005, nerve repair product revenues increased by 34%, and our Newdeal foot and ankle products increased approximately 35%.</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Sales of Reconstructive Surgery products continued their fast growth, while our DuraGen(R) family of duraplasty products continued to grow modestly. Increased revenues of the Absorbable Collagen Sponge that we supply for use in Medtronic's INFUSE(TM) bone graft product and of the dental products we supply to Zimmer also contributed to the growth in implant revenues.</w:t>
      </w:r>
    </w:p>
    <w:p>
      <w:pPr>
        <w:spacing w:after="0" w:line="20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strike w:val="1"/>
        </w:rPr>
        <w:t>In the MedSurg Equipment category, increased sales of our JARIT(R) surgical instrument lines and sales of the recently acquired Radionics and Miltex products provided the year-over-year growth in equipment product revenues for the second quarter. Sales of Radionics and Miltex products contributed $23.6 million in the quarter.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709" w:right="1440" w:bottom="0" w:gutter="0" w:footer="0" w:header="0"/>
        </w:sectPr>
      </w:pPr>
    </w:p>
    <w:bookmarkStart w:id="30" w:name="page31"/>
    <w:bookmarkEnd w:id="30"/>
    <w:p>
      <w:pPr>
        <w:ind w:right="1979"/>
        <w:spacing w:after="0" w:line="246" w:lineRule="auto"/>
        <w:rPr>
          <w:sz w:val="20"/>
          <w:szCs w:val="20"/>
          <w:color w:val="auto"/>
        </w:rPr>
      </w:pPr>
      <w:r>
        <w:rPr>
          <w:rFonts w:ascii="Courier New" w:cs="Courier New" w:eastAsia="Courier New" w:hAnsi="Courier New"/>
          <w:sz w:val="17"/>
          <w:szCs w:val="17"/>
          <w:color w:val="auto"/>
          <w:strike w:val="1"/>
        </w:rPr>
        <w:t>We have generated our product revenue growth through acquisitions, new product launches and increased direct sales and marketing efforts both domestically and in Europe. We expect that our expanded domestic sales force, the recent conversion of JARIT domestic sales from a distributor billing model to a direct billing model, the continued implementation of our direct sales strategy in Europe and sales of internally developed and acquired products will drive our future revenue growth. We also intend to continue to acquire businesses that complement our existing businesses and products. Many of our recent acquisitions involve businesses or product lines that overlap in some way with our existing products. Our sales and marketing departments are integrating these acquisitions, and there has been, and we expect there will continue to be, some cannibalization of sales of our existing products that will affect our internal growth. Overall, we target our revenues to continue to grow internally and through acquisitions in the range of 20% to 30% per year.</w:t>
      </w:r>
    </w:p>
    <w:p>
      <w:pPr>
        <w:spacing w:after="0" w:line="206"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strike w:val="1"/>
        </w:rPr>
        <w:t>In 2006, we revised our presentation of cost of product revenues to include amortization of product technology-based intangible assets. Previously, this amortization was included in intangible asset amortization in the condensed consolidated statement of operations. We have revised prior period amounts to conform to the current year's presentation. This revision increased cost of product revenues by $379,000 for the three-month period ended June 30, 2005.</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Gross margin on total revenues in the second quarter of 2006 was 58.7%. Although we had strong sales growth in many higher gross margin products, we recognized $2.1 million in inventory fair value purchase accounting adjustments from the Radionics and Miltex acquisitions as the products were sold and $346,000 in restructuring and manufacturing transfer and systems integration costs. These charges reduced our gross margin by approximately 2%. We recognized the impact of $196,000 of inventory fair value purchase accounting adjustments in the second quarter of 2005.</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Sales of the relatively lower-margin Radionics and Miltex products reduced our gross margin in the second quarter of 2006. Additionally, we recorded a $1.2 million impairment charge to cost of product revenues against a range of electrosurgical generators and accessories sold exclusively in Europe following a review of on-hand inventory quantities of those products in relation to expected demand for that product line.</w:t>
      </w:r>
    </w:p>
    <w:p>
      <w:pPr>
        <w:spacing w:after="0" w:line="202"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strike w:val="1"/>
        </w:rPr>
        <w:t>We expect that sales of our higher gross margin products will continue to increase as a proportion of total product revenues. Also, we now invoice hospital customers directly for sales of JARIT instruments rather than distributors. This has resulted in increased product revenues as a result of higher selling prices, a higher gross margin, and also increased selling expenses from commissions paid to distributors. We anticipate that the relatively lower gross margin generated from sales of Radionics and Miltex products will offset some of these benefits.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Other Operating Expenses</w:t>
      </w:r>
    </w:p>
    <w:p>
      <w:pPr>
        <w:spacing w:after="0" w:line="203"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strike w:val="1"/>
        </w:rPr>
        <w:t>The following is a summary of other operating expenses as a percent of total revenues (in thousands):</w:t>
      </w:r>
    </w:p>
    <w:p>
      <w:pPr>
        <w:spacing w:after="0" w:line="39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7"/>
          <w:szCs w:val="17"/>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52959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2959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6240" w:type="dxa"/>
            <w:vAlign w:val="bottom"/>
          </w:tcPr>
          <w:p>
            <w:pPr>
              <w:spacing w:after="0"/>
              <w:rPr>
                <w:sz w:val="16"/>
                <w:szCs w:val="16"/>
                <w:color w:val="auto"/>
              </w:rPr>
            </w:pPr>
          </w:p>
        </w:tc>
        <w:tc>
          <w:tcPr>
            <w:tcW w:w="21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6240" w:type="dxa"/>
            <w:vAlign w:val="bottom"/>
          </w:tcPr>
          <w:p>
            <w:pPr>
              <w:spacing w:after="0"/>
              <w:rPr>
                <w:sz w:val="17"/>
                <w:szCs w:val="17"/>
                <w:color w:val="auto"/>
              </w:rPr>
            </w:pPr>
          </w:p>
        </w:tc>
        <w:tc>
          <w:tcPr>
            <w:tcW w:w="1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2006</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2005</w:t>
            </w:r>
          </w:p>
        </w:tc>
      </w:tr>
      <w:tr>
        <w:trPr>
          <w:trHeight w:val="198"/>
        </w:trPr>
        <w:tc>
          <w:tcPr>
            <w:tcW w:w="6240" w:type="dxa"/>
            <w:vAlign w:val="bottom"/>
          </w:tcPr>
          <w:p>
            <w:pPr>
              <w:spacing w:after="0"/>
              <w:rPr>
                <w:sz w:val="17"/>
                <w:szCs w:val="17"/>
                <w:color w:val="auto"/>
              </w:rPr>
            </w:pPr>
          </w:p>
        </w:tc>
        <w:tc>
          <w:tcPr>
            <w:tcW w:w="12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240" w:type="dxa"/>
            <w:vAlign w:val="bottom"/>
          </w:tcPr>
          <w:p>
            <w:pPr>
              <w:spacing w:after="0"/>
              <w:rPr>
                <w:sz w:val="20"/>
                <w:szCs w:val="20"/>
                <w:color w:val="auto"/>
              </w:rPr>
            </w:pPr>
            <w:r>
              <w:rPr>
                <w:rFonts w:ascii="Courier New" w:cs="Courier New" w:eastAsia="Courier New" w:hAnsi="Courier New"/>
                <w:sz w:val="17"/>
                <w:szCs w:val="17"/>
                <w:color w:val="auto"/>
              </w:rPr>
              <w:t>Research and development ...............................</w:t>
            </w:r>
          </w:p>
        </w:tc>
        <w:tc>
          <w:tcPr>
            <w:tcW w:w="1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6%</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w:t>
            </w:r>
          </w:p>
        </w:tc>
      </w:tr>
      <w:tr>
        <w:trPr>
          <w:trHeight w:val="198"/>
        </w:trPr>
        <w:tc>
          <w:tcPr>
            <w:tcW w:w="624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w:t>
            </w:r>
          </w:p>
        </w:tc>
        <w:tc>
          <w:tcPr>
            <w:tcW w:w="1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38%</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w:t>
            </w:r>
          </w:p>
        </w:tc>
      </w:tr>
      <w:tr>
        <w:trPr>
          <w:trHeight w:val="198"/>
        </w:trPr>
        <w:tc>
          <w:tcPr>
            <w:tcW w:w="6240" w:type="dxa"/>
            <w:vAlign w:val="bottom"/>
          </w:tcPr>
          <w:p>
            <w:pPr>
              <w:spacing w:after="0"/>
              <w:rPr>
                <w:sz w:val="20"/>
                <w:szCs w:val="20"/>
                <w:color w:val="auto"/>
              </w:rPr>
            </w:pPr>
            <w:r>
              <w:rPr>
                <w:rFonts w:ascii="Courier New" w:cs="Courier New" w:eastAsia="Courier New" w:hAnsi="Courier New"/>
                <w:sz w:val="17"/>
                <w:szCs w:val="17"/>
                <w:color w:val="auto"/>
              </w:rPr>
              <w:t>Intangible asset amortization ..........................</w:t>
            </w:r>
          </w:p>
        </w:tc>
        <w:tc>
          <w:tcPr>
            <w:tcW w:w="1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w:t>
            </w:r>
          </w:p>
        </w:tc>
      </w:tr>
      <w:tr>
        <w:trPr>
          <w:trHeight w:val="198"/>
        </w:trPr>
        <w:tc>
          <w:tcPr>
            <w:tcW w:w="6240" w:type="dxa"/>
            <w:vAlign w:val="bottom"/>
          </w:tcPr>
          <w:p>
            <w:pPr>
              <w:spacing w:after="0"/>
              <w:rPr>
                <w:sz w:val="20"/>
                <w:szCs w:val="20"/>
                <w:color w:val="auto"/>
              </w:rPr>
            </w:pPr>
            <w:r>
              <w:rPr>
                <w:rFonts w:ascii="Courier New" w:cs="Courier New" w:eastAsia="Courier New" w:hAnsi="Courier New"/>
                <w:sz w:val="17"/>
                <w:szCs w:val="17"/>
                <w:color w:val="auto"/>
              </w:rPr>
              <w:t>Total other operating expenses .........................</w:t>
            </w:r>
          </w:p>
        </w:tc>
        <w:tc>
          <w:tcPr>
            <w:tcW w:w="1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46%</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-944880</wp:posOffset>
            </wp:positionV>
            <wp:extent cx="50342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523049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52959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29590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457644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5764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523049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523049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52304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523049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spacing w:after="0" w:line="38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Total other operating expenses, which consist of research and development expense, selling, general and administrative expense and amortization expense, increased $15.5 million, or 51%, to $45.6 million in the second quarter of 2006, compared to $30.1 million in the second quarter of 2005. The increase is partially related to a $3.3 million stock-based compensation expense associated with the adoption of Statement 123(R) (the majority of which is included in selling, general and administrative expense) and higher commission expenses associated with the JARIT direct bill initiative. Expenses also increased due to the continued expansion of our direct sales and marketing organizations around our direct selling platforms and increased corporate staff to support the recent growth in our business and integrate acquired businesses. The recently acquired Radionics and Miltex businesses contributed approximately $5 million in other operating expenses in the second quarter 2006.</w:t>
      </w:r>
    </w:p>
    <w:p>
      <w:pPr>
        <w:spacing w:after="0" w:line="206"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strike w:val="1"/>
        </w:rPr>
        <w:t>Research and development expenses in the second quarter of 2006 increased by $3.6 million compared to the prior-year period. Included in research and</w:t>
      </w:r>
    </w:p>
    <w:p>
      <w:pPr>
        <w:sectPr>
          <w:pgSz w:w="11900" w:h="16838" w:orient="portrait"/>
          <w:cols w:equalWidth="0" w:num="1">
            <w:col w:w="10219"/>
          </w:cols>
          <w:pgMar w:left="240" w:top="709" w:right="1440" w:bottom="0" w:gutter="0" w:footer="0" w:header="0"/>
        </w:sectPr>
      </w:pPr>
    </w:p>
    <w:bookmarkStart w:id="31" w:name="page32"/>
    <w:bookmarkEnd w:id="31"/>
    <w:p>
      <w:pPr>
        <w:ind w:right="2179"/>
        <w:spacing w:after="0" w:line="246" w:lineRule="auto"/>
        <w:rPr>
          <w:sz w:val="20"/>
          <w:szCs w:val="20"/>
          <w:color w:val="auto"/>
        </w:rPr>
      </w:pPr>
      <w:r>
        <w:rPr>
          <w:rFonts w:ascii="Courier New" w:cs="Courier New" w:eastAsia="Courier New" w:hAnsi="Courier New"/>
          <w:sz w:val="17"/>
          <w:szCs w:val="17"/>
          <w:color w:val="auto"/>
          <w:strike w:val="1"/>
        </w:rPr>
        <w:t>development costs was $140,000 of stock-based compensation expenses associated with the adoption of Statement 123(R). In connection with our acquisition of Radionics, research and development expenses increased by $1.0 million in the second quarter June 30, 2006. We recognized a $1.6 million impairment of inventory and fixed assets associated with a discontinued project for the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32" w:name="page33"/>
    <w:bookmarkEnd w:id="32"/>
    <w:p>
      <w:pPr>
        <w:ind w:right="1979"/>
        <w:spacing w:after="0" w:line="246" w:lineRule="auto"/>
        <w:rPr>
          <w:sz w:val="20"/>
          <w:szCs w:val="20"/>
          <w:color w:val="auto"/>
        </w:rPr>
      </w:pPr>
      <w:r>
        <w:rPr>
          <w:rFonts w:ascii="Courier New" w:cs="Courier New" w:eastAsia="Courier New" w:hAnsi="Courier New"/>
          <w:sz w:val="17"/>
          <w:szCs w:val="17"/>
          <w:color w:val="auto"/>
          <w:strike w:val="1"/>
        </w:rPr>
        <w:t>development of an ultrasonic aspirator system. This project was discontinued in June 2006 following our review of our existing technology and the ultrasonic aspirator technology acquired in the Radionics acquisition. We determined there was no future, alternative use for the inventory or fixed assets in any other development project. There was also an overall increase of $1.0 million associated with product development initiatives compared to the prior-year period. Our research and development efforts in 2006 are expected to be focused on clinical activities directed towards expanding the indications for use of our absorbable implant technology products, including a multi-center clinical trial suitable to support an application to the FDA for approval of the DuraGen Plus(TM) Adhesion Barrier Matrix product, and development of a next-generation ultrasonic aspirator system.</w:t>
      </w:r>
    </w:p>
    <w:p>
      <w:pPr>
        <w:spacing w:after="0" w:line="20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Selling, general and administrative expenses increased $ 11.2 million, or 43%, as compared to the prior-year period to $37.2 million. The increase in selling, general and administrative expenses includes $3.2 million of stock-based compensation expense associated with the adoption of Statement 123(R) and higher commission expenses associated with the JARIT direct bill initiative. Selling, general and administrative costs also increased in the second quarter of 2006 in connection with the recently acquired Radionics and Miltex businesses. We also continued to expand our direct sales and marketing organizations around our direct selling platforms and increased corporate staff to support the recent growth in our business and integrate acquired businesses. Additionally, we have incurred higher operating costs in connection with our recent investments in our infrastructure, including the continued implementation of an enterprise business system and the relocation and expansion of our domestic and international distribution capabilities through third-party service providers. We expect that we will continue to incur costs related to these activities during the remainder of 2006 and 2007 as we complete these ongoing activities.</w:t>
      </w:r>
    </w:p>
    <w:p>
      <w:pPr>
        <w:spacing w:after="0" w:line="207"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strike w:val="1"/>
        </w:rPr>
        <w:t>Amortization expense increased in the second quarter of 2006 as a result of amortization of intangible assets from the Radionics and Miltex acquisitions.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Non-Operating Income and Expenses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Interest expense primarily relates to the $120 million of 2 1/2% contingent convertible subordinated notes that we have outstanding and a related interest rate swap agreement and interest on the used and unused portion of the $200 million senior secured credit facility that we established in December 2005. The increase in interest expense in the second quarter of 2006 is primarily related to the interest associated with the credit facility that was established in December 2005. In the second quarter of 2006, we made net additional borrowings of $48 million under our credit facility.</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We will pay additional interest on our convertible notes under certain conditions. The fair value of this contingent interest obligation is marked to its fair value at each balance sheet date, with changes in the fair value recorded to interest expense. In the second quarter of 2006, the change in the estimated fair value of the contingent interest obligation decreased interest expense by $66,000. In the second quarter of 2005, the fair value decreased by $180,000.</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We have an interest rate swap agreement with a $50 million notional amount to hedge the risk of changes in fair value attributable to interest rate risk with respect to a portion of our fixed rate convertible notes. The interest rate swap agreement qualifies as a fair value hedge under SFAS No. 133, as amended "Accounting for Derivative Instruments and Hedging Activities". The net amount to be paid or received under the interest rate swap agreement is recorded as a component of interest expense. Interest expense associated with the interest rate swap for the three months ended June 30, 2006 was $273,000. Interest expense for the three months ended June 30, 2005 included an insignificant amount associated with the interest rate swap.</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For the three-month period ended June 30, 2006, the net fair value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interest rate swap increased $61,000 to $2.2 million, and the fair value 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is included in other liabilities. In connection with this fair value hedge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transaction, during the second quarter of 2006 we recorded a $82,000 decrease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the carrying value of our convertible notes. During the three months ended June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30, 2005, the net fair value of the interest rate swap decreased $619,000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$1.5 million, and the carrying value of our convertible notes increased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$584,000. The net difference between changes in the fair value of the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rate swap and the contingent convertible notes represents the ineffective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portion of the hedging relationship, and this amount is recorded in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income/(expense), net.</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Our reported interest expense for the three-month periods ended June 30, 2006 and 2005 includes $273,000 and $204,000, respectively, of non-cash amortization of debt issuance costs. Debt issuance costs totaled $5.2 million and are being amortized using the straight-line method over the five-year term of the notes and credit facility.</w:t>
      </w:r>
    </w:p>
    <w:p>
      <w:pPr>
        <w:sectPr>
          <w:pgSz w:w="11900" w:h="16838" w:orient="portrait"/>
          <w:cols w:equalWidth="0" w:num="1">
            <w:col w:w="10219"/>
          </w:cols>
          <w:pgMar w:left="240" w:top="709" w:right="1440" w:bottom="0" w:gutter="0" w:footer="0" w:header="0"/>
        </w:sectPr>
      </w:pPr>
    </w:p>
    <w:bookmarkStart w:id="33" w:name="page34"/>
    <w:bookmarkEnd w:id="33"/>
    <w:p>
      <w:pPr>
        <w:ind w:left="282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-57150</wp:posOffset>
            </wp:positionV>
            <wp:extent cx="26809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9019"/>
          </w:cols>
          <w:pgMar w:left="1440" w:top="340" w:right="1440" w:bottom="1440" w:gutter="0" w:footer="0" w:header="0"/>
        </w:sectPr>
      </w:pPr>
    </w:p>
    <w:bookmarkStart w:id="34" w:name="page35"/>
    <w:bookmarkEnd w:id="34"/>
    <w:p>
      <w:pPr>
        <w:ind w:right="2179"/>
        <w:spacing w:after="0" w:line="246" w:lineRule="auto"/>
        <w:rPr>
          <w:sz w:val="20"/>
          <w:szCs w:val="20"/>
          <w:color w:val="auto"/>
        </w:rPr>
      </w:pPr>
      <w:r>
        <w:rPr>
          <w:rFonts w:ascii="Courier New" w:cs="Courier New" w:eastAsia="Courier New" w:hAnsi="Courier New"/>
          <w:sz w:val="17"/>
          <w:szCs w:val="17"/>
          <w:color w:val="auto"/>
          <w:strike w:val="1"/>
        </w:rPr>
        <w:t>Our income tax expense was $3.6 million and $4.0 million for the three-month periods ended June 30, 2006 and 2005, respectively. The overall effective tax rate for the three months ended June 30, 2006 and 2005 was 31.1% and 34.5 %, respectively. The decrease in the effective income tax rate in 2006 was primarily due to a continued favorable impact of various planning and reorganization initiatives, a change in the geographic mix of earnings and losses and our realization of additional deductions related to qualified production activities income provided for under the American Jobs Creation Act of 2004.</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In 2006, we have used substantially all of our remaining unrestricted and current year allowable acquired net operating loss carryforwards to offset 2006 taxable income. At June 30, 2006, several of our subsidiaries had unused net operating loss carryforwards arising from periods prior to our ownership which expire through 2010. The Internal Revenue Code limits the timing and manner in which we may use any acquired net operating losses.</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realized deferred tax assets.</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SIX MONTHS ENDED JUNE 30, 2006 AS COMPARED TO THE SIX MONTHS ENDED JUNE 30, 2005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Revenues and Gross Margin</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For the six months ended June 30, 2006, total revenues increased 31% over the prior-year period to $177.3 million. Domestic revenues increased $32.5 million to $131.7 million, or 74% of total revenues, as compared to 73% of revenues in the six months ended June 30, 2005.</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 the Neuro/Ortho Implants category, sales of our Reconstructive Surgery implant products grew particularly well. Strong growth in the NeuraGen(TM) Nerve Guide, the INTEGRA(TM) dermal repair products and sales of Newdeal products for the foot and ankle accounted for much of the increase in implant product revenues. INTEGRA(TM) dermal repair product revenues increased approximately 34% over the six months of 2005, nerve repair product revenues increased by 38%, and our Newdeal foot and ankle products increased approximately 29%.</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Sales of Reconstructive Surgery products continued their fast growth, while our DuraGen(R) family of duraplasty products continued to grow modestly. Increased revenues of the Absorbable Collagen Sponge that we supply for use in Medtronic's INFUSE(TM) bone graft product and of the dental products we supply to Zimmer, also contributed to the growth in implant revenues.</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 the MedSurg Equipment category, increased sales of our JARIT(R) surgical instrument lines and sales of the recently acquired Radionics and Miltex products provided the year-over-year growth in equipment product revenues for the six months. Sales of Radionics and Miltex products contributed $27.0 million in the six months ended June 2006.</w:t>
      </w:r>
    </w:p>
    <w:p>
      <w:pPr>
        <w:spacing w:after="0" w:line="20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strike w:val="1"/>
        </w:rPr>
        <w:t>In 2006, we revised our presentation of cost of product revenues to include amortization of product technology-based intangible assets. Previously, this amortization was included in intangible asset amortization in the condensed consolidated statement of operations. We have revised prior period amounts to conform to the current year's presentation. This revision increased cost of product revenues by $758,000 for the six-month period ended June 30, 2005.</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Gross margin on total revenues in the six months of 2006 was 61%. Although we had strong sales growth in many higher gross margin products, we recognized $2.6 million in inventory fair value purchase accounting adjustments from the Radionics and Miltex acquisitions as the products were sold and $936,000 in restructuring and manufacturing transfer and systems integration costs. These charges reduced our gross margin by approximately 2%. We recognized the impact of $465,000 of inventory fair value purchase accounting adjustments in the six months of 2005. Additionally, we recorded a $1.2 million impairment charge to cost of product revenues against a range of electrosurgical generators and accessories sold exclusively in Europe following a review of on-hand inventory quantities of those products in relation to expected demand for that product line.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Other Operating Expenses</w:t>
      </w:r>
    </w:p>
    <w:p>
      <w:pPr>
        <w:spacing w:after="0" w:line="203"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strike w:val="1"/>
        </w:rPr>
        <w:t>The following is a summary of other operating expenses as a percent of total revenues (in thousands):</w:t>
      </w:r>
    </w:p>
    <w:p>
      <w:pPr>
        <w:spacing w:after="0" w:line="39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7"/>
          <w:szCs w:val="17"/>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52959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295900" cy="8255"/>
                    </a:xfrm>
                    <a:prstGeom prst="rect">
                      <a:avLst/>
                    </a:prstGeom>
                    <a:noFill/>
                  </pic:spPr>
                </pic:pic>
              </a:graphicData>
            </a:graphic>
          </wp:anchor>
        </w:drawing>
      </w:r>
    </w:p>
    <w:p>
      <w:pPr>
        <w:ind w:left="7220"/>
        <w:spacing w:after="0"/>
        <w:rPr>
          <w:sz w:val="20"/>
          <w:szCs w:val="20"/>
          <w:color w:val="auto"/>
        </w:rPr>
      </w:pPr>
      <w:r>
        <w:rPr>
          <w:rFonts w:ascii="Courier New" w:cs="Courier New" w:eastAsia="Courier New" w:hAnsi="Courier New"/>
          <w:sz w:val="17"/>
          <w:szCs w:val="17"/>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509968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099685" cy="8255"/>
                    </a:xfrm>
                    <a:prstGeom prst="rect">
                      <a:avLst/>
                    </a:prstGeom>
                    <a:noFill/>
                  </pic:spPr>
                </pic:pic>
              </a:graphicData>
            </a:graphic>
          </wp:anchor>
        </w:drawing>
      </w:r>
    </w:p>
    <w:p>
      <w:pPr>
        <w:sectPr>
          <w:pgSz w:w="11900" w:h="16838" w:orient="portrait"/>
          <w:cols w:equalWidth="0" w:num="1">
            <w:col w:w="10219"/>
          </w:cols>
          <w:pgMar w:left="240" w:top="709" w:right="1440"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3"/>
        </w:trPr>
        <w:tc>
          <w:tcPr>
            <w:tcW w:w="4020" w:type="dxa"/>
            <w:vAlign w:val="bottom"/>
          </w:tcPr>
          <w:p>
            <w:pPr>
              <w:spacing w:after="0"/>
              <w:rPr>
                <w:sz w:val="16"/>
                <w:szCs w:val="16"/>
                <w:color w:val="auto"/>
              </w:rPr>
            </w:pPr>
          </w:p>
        </w:tc>
        <w:tc>
          <w:tcPr>
            <w:tcW w:w="3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2006</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2005</w:t>
            </w:r>
          </w:p>
        </w:tc>
      </w:tr>
      <w:tr>
        <w:trPr>
          <w:trHeight w:val="198"/>
        </w:trPr>
        <w:tc>
          <w:tcPr>
            <w:tcW w:w="4020" w:type="dxa"/>
            <w:vAlign w:val="bottom"/>
          </w:tcPr>
          <w:p>
            <w:pPr>
              <w:spacing w:after="0"/>
              <w:rPr>
                <w:sz w:val="17"/>
                <w:szCs w:val="17"/>
                <w:color w:val="auto"/>
              </w:rPr>
            </w:pPr>
          </w:p>
        </w:tc>
        <w:tc>
          <w:tcPr>
            <w:tcW w:w="3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020" w:type="dxa"/>
            <w:vAlign w:val="bottom"/>
          </w:tcPr>
          <w:p>
            <w:pPr>
              <w:spacing w:after="0"/>
              <w:rPr>
                <w:sz w:val="20"/>
                <w:szCs w:val="20"/>
                <w:color w:val="auto"/>
              </w:rPr>
            </w:pPr>
            <w:r>
              <w:rPr>
                <w:rFonts w:ascii="Courier New" w:cs="Courier New" w:eastAsia="Courier New" w:hAnsi="Courier New"/>
                <w:sz w:val="17"/>
                <w:szCs w:val="17"/>
                <w:color w:val="auto"/>
                <w:w w:val="70"/>
              </w:rPr>
              <w:t>Research and development ...............................</w:t>
            </w:r>
          </w:p>
        </w:tc>
        <w:tc>
          <w:tcPr>
            <w:tcW w:w="3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8"/>
        </w:trPr>
        <w:tc>
          <w:tcPr>
            <w:tcW w:w="4020" w:type="dxa"/>
            <w:vAlign w:val="bottom"/>
          </w:tcPr>
          <w:p>
            <w:pPr>
              <w:spacing w:after="0"/>
              <w:rPr>
                <w:sz w:val="20"/>
                <w:szCs w:val="20"/>
                <w:color w:val="auto"/>
              </w:rPr>
            </w:pPr>
            <w:r>
              <w:rPr>
                <w:rFonts w:ascii="Courier New" w:cs="Courier New" w:eastAsia="Courier New" w:hAnsi="Courier New"/>
                <w:sz w:val="17"/>
                <w:szCs w:val="17"/>
                <w:color w:val="auto"/>
                <w:w w:val="70"/>
              </w:rPr>
              <w:t>Selling, general and administrative ....................</w:t>
            </w:r>
          </w:p>
        </w:tc>
        <w:tc>
          <w:tcPr>
            <w:tcW w:w="3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39%</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198"/>
        </w:trPr>
        <w:tc>
          <w:tcPr>
            <w:tcW w:w="4020" w:type="dxa"/>
            <w:vAlign w:val="bottom"/>
          </w:tcPr>
          <w:p>
            <w:pPr>
              <w:spacing w:after="0"/>
              <w:rPr>
                <w:sz w:val="20"/>
                <w:szCs w:val="20"/>
                <w:color w:val="auto"/>
              </w:rPr>
            </w:pPr>
            <w:r>
              <w:rPr>
                <w:rFonts w:ascii="Courier New" w:cs="Courier New" w:eastAsia="Courier New" w:hAnsi="Courier New"/>
                <w:sz w:val="17"/>
                <w:szCs w:val="17"/>
                <w:color w:val="auto"/>
                <w:w w:val="70"/>
              </w:rPr>
              <w:t>Intangible asset amortization ..........................</w:t>
            </w:r>
          </w:p>
        </w:tc>
        <w:tc>
          <w:tcPr>
            <w:tcW w:w="3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8"/>
        </w:trPr>
        <w:tc>
          <w:tcPr>
            <w:tcW w:w="4020" w:type="dxa"/>
            <w:vAlign w:val="bottom"/>
          </w:tcPr>
          <w:p>
            <w:pPr>
              <w:spacing w:after="0"/>
              <w:rPr>
                <w:sz w:val="20"/>
                <w:szCs w:val="20"/>
                <w:color w:val="auto"/>
              </w:rPr>
            </w:pPr>
            <w:r>
              <w:rPr>
                <w:rFonts w:ascii="Courier New" w:cs="Courier New" w:eastAsia="Courier New" w:hAnsi="Courier New"/>
                <w:sz w:val="17"/>
                <w:szCs w:val="17"/>
                <w:color w:val="auto"/>
                <w:w w:val="70"/>
              </w:rPr>
              <w:t>Total other operating expenses .........................</w:t>
            </w:r>
          </w:p>
        </w:tc>
        <w:tc>
          <w:tcPr>
            <w:tcW w:w="3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46%</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r>
      <w:tr>
        <w:trPr>
          <w:trHeight w:val="594"/>
        </w:trPr>
        <w:tc>
          <w:tcPr>
            <w:tcW w:w="4020" w:type="dxa"/>
            <w:vAlign w:val="bottom"/>
          </w:tcPr>
          <w:p>
            <w:pPr>
              <w:spacing w:after="0"/>
              <w:rPr>
                <w:sz w:val="24"/>
                <w:szCs w:val="24"/>
                <w:color w:val="auto"/>
              </w:rPr>
            </w:pPr>
          </w:p>
        </w:tc>
        <w:tc>
          <w:tcPr>
            <w:tcW w:w="3500" w:type="dxa"/>
            <w:vAlign w:val="bottom"/>
          </w:tcPr>
          <w:p>
            <w:pPr>
              <w:jc w:val="right"/>
              <w:ind w:right="3214"/>
              <w:spacing w:after="0"/>
              <w:rPr>
                <w:sz w:val="20"/>
                <w:szCs w:val="20"/>
                <w:color w:val="auto"/>
              </w:rPr>
            </w:pPr>
            <w:r>
              <w:rPr>
                <w:rFonts w:ascii="Courier New" w:cs="Courier New" w:eastAsia="Courier New" w:hAnsi="Courier New"/>
                <w:sz w:val="17"/>
                <w:szCs w:val="17"/>
                <w:color w:val="auto"/>
                <w:w w:val="87"/>
              </w:rPr>
              <w:t>22</w:t>
            </w: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-1196340</wp:posOffset>
            </wp:positionV>
            <wp:extent cx="536130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361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536130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361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464185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6418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536130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361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536130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361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536130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361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536130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361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26809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36" w:name="page37"/>
    <w:bookmarkEnd w:id="36"/>
    <w:p>
      <w:pPr>
        <w:ind w:right="1979"/>
        <w:spacing w:after="0" w:line="246" w:lineRule="auto"/>
        <w:rPr>
          <w:sz w:val="20"/>
          <w:szCs w:val="20"/>
          <w:color w:val="auto"/>
        </w:rPr>
      </w:pPr>
      <w:r>
        <w:rPr>
          <w:rFonts w:ascii="Courier New" w:cs="Courier New" w:eastAsia="Courier New" w:hAnsi="Courier New"/>
          <w:sz w:val="17"/>
          <w:szCs w:val="17"/>
          <w:color w:val="auto"/>
          <w:strike w:val="1"/>
        </w:rPr>
        <w:t>Total other operating expenses, which consists of research and development expense, selling, general and administrative expense and amortization expense, increased $22.6 million, or 39%, to $81.1 million in the six months of 2006, compared to $58.5 million in the six months of 2005. The increase includes $6.4 million of stock-based compensation expense associated with the adoption of Statement 123(R) (the majority of which is included in selling, general and administrative expense). Our recently acquired Radionics and Miltex businesses contributed approximately $5.5 million of other operating expenses for the six-month period ended June 30, 2006. Higher commission expenses associated with the JARIT distributor network, the continued expansion of our direct sales and marketing organizations around our direct selling platforms and increased corporate staff to support the recent growth in our business and integrate acquired businesses also contributed to the increase.</w:t>
      </w:r>
    </w:p>
    <w:p>
      <w:pPr>
        <w:spacing w:after="0" w:line="206"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Research and development expenses increased $3.4 million in the six months of 2006 and included $284,000 of stock-based compensation expenses associated with the adoption of Statement 123(R), $1.2 million of research and development activities from the recently acquired Radionics business and the $1.6 million charge related to the discontinued ultrasonic aspirator development project.</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Selling, general and administrative expenses increased $18.4 million, or 37%, as compared to the prior-year period to $68.3 million. This increase is primarily related to a $6.1 million stock-based compensation expense associated with the adoption of Statement 123(R) and operating costs associated with the recently acquired Radionics and Miltex businesses. Additionally, we have incurred higher operating costs in connection with our recent investments in our infrastructure, including the continued implementation of an enterprise business system and the relocation and expansion of our domestic and international distribution capabilities through third-party service providers. We expect that we will continue to incur costs related to these activities during the remainder of 2006 and 2007 as we complete these ongoing activities.</w:t>
      </w:r>
    </w:p>
    <w:p>
      <w:pPr>
        <w:spacing w:after="0" w:line="204"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Amortization expense increased by approximately $0.9 million in the six months of 2006 as a result of amortization of intangible assets from the Radionics and Miltex acquisitions.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Non-Operating Income and Expenses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The increase in interest expense in the six months of 2006 is primarily related to an increase in the variable rate that we pay on our $50 million interest rate swap, an increase in the valuation of the contingent interest obligation associated with our contingent convertible notes, and interest associated with the credit facility that was established in December 2005. In the six months ended June 30, 2006, we made net borrowings of $64 million under our credit facility.</w:t>
      </w:r>
    </w:p>
    <w:p>
      <w:pPr>
        <w:spacing w:after="0" w:line="202"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strike w:val="1"/>
        </w:rPr>
        <w:t>In the six months of 2006, the changes in the estimated fair value of the contingent interest obligation increased interest expense by $167,000. In the six months of 2005, the valuation decreased by $202,000.</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Interest expense associated with the interest rate swap for the six months ended June 30, 2006 was $483,000. Interest expense for the six months ended June 30, 2005 included an insignificant benefit associated with the interest rate swap.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For the six-month period ended June 30, 2006, the net fair value of the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rate swap increased $215,000 to $2.2 million, and the fair value amount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included in other liabilities. In connection with this fair value hedge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transaction, during the six months of 2006 we recorded a $277,000 decrease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the carrying value of our convertible notes. During the six months ended June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30, 2005, the net fair value of the interest rate swap increased $136,000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$1.5 million, and the carrying value of our convertible notes decreased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$203,000. The net difference between changes in the fair value of the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rate swap and the contingent convertible notes represents the ineffective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portion of the hedging relationship, and this amount is recorded in other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(expense), net.</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Our reported interest expense for the six-month periods ended June 30, 2006 and 2005 includes $545,000 and $406,000, respectively, of non-cash amortization of debt issuance costs. Debt issuance costs totaled $5.2 million and are being amortized using the straight-line method over the five-year term of the notes and credit facility.</w:t>
      </w:r>
    </w:p>
    <w:p>
      <w:pPr>
        <w:spacing w:after="0" w:line="20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Our income tax expense was $7.9 million and $8.5 million for the six-month periods ended June 30, 2006 and 2005, respectively. The overall effective tax rate for the six months ended June 30, 2006 and 2005 was 32.1% and 34.5%, respectively. The decrease in the effective income tax rate in 2006 was primarily due to a continued favorable impact of various planning and reorganization initiatives, a change in the geographic mix of earnings and losses and our realization of additional deductions related to qualified production activities income provided for under the American Jobs Creation Act</w:t>
      </w:r>
    </w:p>
    <w:p>
      <w:pPr>
        <w:sectPr>
          <w:pgSz w:w="11900" w:h="16838" w:orient="portrait"/>
          <w:cols w:equalWidth="0" w:num="1">
            <w:col w:w="10219"/>
          </w:cols>
          <w:pgMar w:left="240" w:top="709"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7"/>
          <w:szCs w:val="17"/>
          <w:color w:val="auto"/>
          <w:strike w:val="1"/>
        </w:rPr>
        <w:t>of 2004.</w:t>
      </w:r>
    </w:p>
    <w:p>
      <w:pPr>
        <w:spacing w:after="0" w:line="203"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7"/>
          <w:szCs w:val="17"/>
          <w:color w:val="auto"/>
          <w:strike w:val="1"/>
        </w:rPr>
        <w:t>INTERNATIONAL PRODUCT REVENUES AND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Product revenues by major geographic area are summarized below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60" w:type="dxa"/>
            <w:vAlign w:val="bottom"/>
          </w:tcPr>
          <w:p>
            <w:pPr>
              <w:spacing w:after="0"/>
              <w:rPr>
                <w:sz w:val="16"/>
                <w:szCs w:val="16"/>
                <w:color w:val="auto"/>
              </w:rPr>
            </w:pPr>
          </w:p>
        </w:tc>
        <w:tc>
          <w:tcPr>
            <w:tcW w:w="10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United</w:t>
            </w:r>
          </w:p>
        </w:tc>
        <w:tc>
          <w:tcPr>
            <w:tcW w:w="1240" w:type="dxa"/>
            <w:vAlign w:val="bottom"/>
          </w:tcPr>
          <w:p>
            <w:pPr>
              <w:spacing w:after="0"/>
              <w:rPr>
                <w:sz w:val="16"/>
                <w:szCs w:val="16"/>
                <w:color w:val="auto"/>
              </w:rPr>
            </w:pP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Asia</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Other</w:t>
            </w:r>
          </w:p>
        </w:tc>
        <w:tc>
          <w:tcPr>
            <w:tcW w:w="1020" w:type="dxa"/>
            <w:vAlign w:val="bottom"/>
          </w:tcPr>
          <w:p>
            <w:pPr>
              <w:spacing w:after="0"/>
              <w:rPr>
                <w:sz w:val="16"/>
                <w:szCs w:val="16"/>
                <w:color w:val="auto"/>
              </w:rPr>
            </w:pPr>
          </w:p>
        </w:tc>
      </w:tr>
      <w:tr>
        <w:trPr>
          <w:trHeight w:val="198"/>
        </w:trPr>
        <w:tc>
          <w:tcPr>
            <w:tcW w:w="3860" w:type="dxa"/>
            <w:vAlign w:val="bottom"/>
          </w:tcPr>
          <w:p>
            <w:pPr>
              <w:spacing w:after="0"/>
              <w:rPr>
                <w:sz w:val="17"/>
                <w:szCs w:val="17"/>
                <w:color w:val="auto"/>
              </w:rPr>
            </w:pPr>
          </w:p>
        </w:tc>
        <w:tc>
          <w:tcPr>
            <w:tcW w:w="10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States</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Europe</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Pacific</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Foreign</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Total</w:t>
            </w:r>
          </w:p>
        </w:tc>
      </w:tr>
      <w:tr>
        <w:trPr>
          <w:trHeight w:val="198"/>
        </w:trPr>
        <w:tc>
          <w:tcPr>
            <w:tcW w:w="3860" w:type="dxa"/>
            <w:vAlign w:val="bottom"/>
          </w:tcPr>
          <w:p>
            <w:pPr>
              <w:spacing w:after="0"/>
              <w:rPr>
                <w:sz w:val="17"/>
                <w:szCs w:val="17"/>
                <w:color w:val="auto"/>
              </w:rPr>
            </w:pP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940" w:type="dxa"/>
            <w:vAlign w:val="bottom"/>
            <w:gridSpan w:val="2"/>
          </w:tcPr>
          <w:p>
            <w:pPr>
              <w:spacing w:after="0"/>
              <w:rPr>
                <w:sz w:val="20"/>
                <w:szCs w:val="20"/>
                <w:color w:val="auto"/>
              </w:rPr>
            </w:pPr>
            <w:r>
              <w:rPr>
                <w:rFonts w:ascii="Courier New" w:cs="Courier New" w:eastAsia="Courier New" w:hAnsi="Courier New"/>
                <w:sz w:val="17"/>
                <w:szCs w:val="17"/>
                <w:color w:val="auto"/>
              </w:rPr>
              <w:t>Three months ended June 30, 2006 .... $ 74,415</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$ 19,615</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3,198</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2,893</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$100,121</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Three months ended June 30, 2005 ....</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51,752</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12,982</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2,733</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2,311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69,778</w:t>
            </w:r>
          </w:p>
        </w:tc>
      </w:tr>
      <w:tr>
        <w:trPr>
          <w:trHeight w:val="396"/>
        </w:trPr>
        <w:tc>
          <w:tcPr>
            <w:tcW w:w="3860" w:type="dxa"/>
            <w:vAlign w:val="bottom"/>
          </w:tcPr>
          <w:p>
            <w:pPr>
              <w:spacing w:after="0"/>
              <w:rPr>
                <w:sz w:val="20"/>
                <w:szCs w:val="20"/>
                <w:color w:val="auto"/>
              </w:rPr>
            </w:pPr>
            <w:r>
              <w:rPr>
                <w:rFonts w:ascii="Courier New" w:cs="Courier New" w:eastAsia="Courier New" w:hAnsi="Courier New"/>
                <w:sz w:val="17"/>
                <w:szCs w:val="17"/>
                <w:color w:val="auto"/>
              </w:rPr>
              <w:t>Six months ended June 30, 2006 ......</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131,653</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33,990</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5,994</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5,619</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177,256</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Six months ended June 30, 2005 ......</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99,119</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25,744</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5,781</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4,973</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135,617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-1070610</wp:posOffset>
            </wp:positionV>
            <wp:extent cx="523049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60153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0153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614616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464185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6418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614616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614616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614616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61461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line="38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strike w:val="1"/>
        </w:rPr>
        <w:t>For the three months ended June 30, 2006, revenues from customers outside the United States totaled $25.7 million, or 26% of total revenues, of which approximately 76% were to European customers. Revenues from customers outside the United States included $15.9 million of revenues generated in foreign currencies.</w:t>
      </w: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In the three months ending June 30, 2005, revenues from customers outside the United States totaled $18.0 million, or 26% of total revenues, of which approximately 72% were from European customers. Revenues from customers outside the United States included $14.6 million of revenues generated in foreign currencies.</w:t>
      </w:r>
    </w:p>
    <w:p>
      <w:pPr>
        <w:spacing w:after="0" w:line="20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strike w:val="1"/>
        </w:rPr>
        <w:t>For the six months ended June 30, 2006, revenues from customers outside the United States totaled $45.7 million, or 26% of total revenues, of which approximately 74% were to European customers. Revenues from customers outside the United States included $30.6 million of revenues generated in foreign currencies.</w:t>
      </w: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In the six months ending June 30, 2005, revenues from customers outside the United States totaled $36.5 million, or 27% of total revenues, of which approximately 71% were from European customers. Revenues from customers outside the United States included $29.0 million of revenues generated in foreign currencies.</w:t>
      </w:r>
    </w:p>
    <w:p>
      <w:pPr>
        <w:spacing w:after="0" w:line="20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strike w:val="1"/>
        </w:rPr>
        <w:t>Because we have operations based in Europe and we generate revenues and incur operating expenses in euros and British pounds, we experience currency exchange risk with respect to those foreign currency denominated revenues or expenses.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 the six months of 2006, the cost of products we manufactured in our European facilities or purchased in foreign currencies exceeded our foreign currency-denominated revenues. We expect this imbalance to continue. We currently do not hedge our exposure to foreign currency risk. Accordingly, a weakening of the dollar against the euro and British pound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200" w:lineRule="exact"/>
        <w:rPr>
          <w:sz w:val="20"/>
          <w:szCs w:val="20"/>
          <w:color w:val="auto"/>
        </w:rPr>
      </w:pPr>
    </w:p>
    <w:p>
      <w:pPr>
        <w:spacing w:after="0" w:line="20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strike w:val="1"/>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200"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strike w:val="1"/>
        </w:rPr>
        <w:t>Relationships with customers and effective terms of sale frequently vary by country, often with longer-term receivables than are typical in the United States.</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LIQUIDITY AND CAPITAL RESOURCES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Cash and Marketable Securities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At June 30, 2006, we had cash, cash equivalents and current and non-current investments totaling approximately $43.6 million. Our investments consist almost entirely of highly liquid, interest bearing-debt securities.</w:t>
      </w:r>
    </w:p>
    <w:p>
      <w:pPr>
        <w:sectPr>
          <w:pgSz w:w="11900" w:h="16838" w:orient="portrait"/>
          <w:cols w:equalWidth="0" w:num="1">
            <w:col w:w="10219"/>
          </w:cols>
          <w:pgMar w:left="240" w:top="709" w:right="1440" w:bottom="0" w:gutter="0" w:footer="0" w:header="0"/>
        </w:sectPr>
      </w:pPr>
    </w:p>
    <w:bookmarkStart w:id="39" w:name="page40"/>
    <w:bookmarkEnd w:id="39"/>
    <w:p>
      <w:pPr>
        <w:ind w:right="2999"/>
        <w:spacing w:after="0" w:line="247" w:lineRule="auto"/>
        <w:rPr>
          <w:sz w:val="20"/>
          <w:szCs w:val="20"/>
          <w:color w:val="auto"/>
        </w:rPr>
      </w:pPr>
      <w:r>
        <w:rPr>
          <w:rFonts w:ascii="Courier New" w:cs="Courier New" w:eastAsia="Courier New" w:hAnsi="Courier New"/>
          <w:sz w:val="17"/>
          <w:szCs w:val="17"/>
          <w:color w:val="auto"/>
          <w:strike w:val="1"/>
        </w:rPr>
        <w:t>At June 30, 2006, we had $3.5 million of cash pledged as collateral in connection with our interest rate swap agreement.</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340" w:right="1440" w:bottom="1440" w:gutter="0" w:footer="0" w:header="0"/>
        </w:sectPr>
      </w:pPr>
    </w:p>
    <w:bookmarkStart w:id="40" w:name="page41"/>
    <w:bookmarkEnd w:id="40"/>
    <w:p>
      <w:pPr>
        <w:ind w:right="1979"/>
        <w:spacing w:after="0" w:line="246" w:lineRule="auto"/>
        <w:rPr>
          <w:sz w:val="20"/>
          <w:szCs w:val="20"/>
          <w:color w:val="auto"/>
        </w:rPr>
      </w:pPr>
      <w:r>
        <w:rPr>
          <w:rFonts w:ascii="Courier New" w:cs="Courier New" w:eastAsia="Courier New" w:hAnsi="Courier New"/>
          <w:sz w:val="17"/>
          <w:szCs w:val="17"/>
          <w:color w:val="auto"/>
          <w:strike w:val="1"/>
        </w:rPr>
        <w:t>In July 2006, we used $5.5 million of cash on hand and we borrowed an additional $40 million under our credit facility to finance the acquisitions of Canada Microsurgical Ltd. and Kinetikos Medical,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Cash Flows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Cash provided by operations has recently been and is expected to continue to be our primary means of funding existing operations and capital expenditures. We have generated positive operating cash flows on an annual basis, including $56.8 million for the year ended December 31, 2005 and $26.3 million for the six months ended June 30, 2006. Operating cash flows for the six months ended June 30, 2005 were $29.5 million. Overall, operating cash flows in the six months ended of 2006 were negatively affected by subsequent investments in working capital made in connection with the Radionics acquisition.</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Our principal uses of funds during the six-month period ended June 30, 2006 were $179.6 million for acquisition consideration, $15.2 million paid for the purchase of 401,000 shares of our common stock and $3.6 million in capital expenditures. We received $80.4 million in cash from sales and maturities of available for sale securities, net of purchases. In addition to the $26.3 million in operating cash flows for the six months ended June 30, 2006, we received $7.1 million from the issuance of common stock through the exercise of stock options during the period and $64.0 million from borrowings under our credit facility.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Working Capital</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At June 30, 2006 and December 31, 2005, working capital was $112.8 million and $234.7 million, respectively. The decrease in working capital is primarily related to the use of $179.6 million for acquisition consideration in the first six months of 2006. Working capital does not include the $9.7 million and $16.2 million of marketable securities classified as non-current at June 30, 2006 and December 31, 2005, respectively.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Convertible Debt and Related Hedging Activities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We pay interest on our contingent convertible subordinated notes at an annual rate of 2 1/2% each September 15 and March 15. We will also pay contingent interest on the notes if, at thirty days prior to maturity, our common stock price is greater than $37.56. The contingent interest will be payable at maturity for each of the last three years the notes remain outstanding in an amount equal to the greater of (1) 0.50% of the face amount of the notes and (2) the amount of regular cash dividends paid during each such year on the number of shares of common stock into which each note is convertible. Holders of the notes may convert the notes into shares of our common stock under certain circumstances, including when the market price of our common stock on the previous trading day is more than $37.56 per share, based on an initial conversion price of $34.15 per share. As of June 30, 2006, our stock price exceeded $37.56 and no convertible notes have been converted to common stock..</w:t>
      </w:r>
    </w:p>
    <w:p>
      <w:pPr>
        <w:spacing w:after="0" w:line="206"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The notes are general, unsecured obligations of Integra and are subordinate to any senior indebtedness. We cannot redeem the notes prior to their maturity, and the notes' holders may compel us to repurchase the notes upon a change of control. There are no financial covenants associated with the convertible notes.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On July 17, 2006, we commenced an offer to exchange up to $120 million principal amount of new notes with a "net share settlement" mechanism for our currently outstanding contingent convertible subordinated notes. Holders who exchange their existing notes will receive new notes with the net share settlement feature and otherwise substantially similar terms to the existing notes plus an exchange fee of $2.50 per $1,000 principal amount of their existing notes validly tendered and accepted for exchange. The Company expects to pay $300,000 of exchange fees to tendering holders of the existing notes plus estimated expenses, which may be in excess of $225,000, in connection with the offer. In addition, approximately $1.5 million of unamortized debt issuance costs may need to be expensed immediately if the conversion criteria are met as the debt would be considered demand debt. The offer is contingent upon the tender or exchange of 50% of the principal amount of the existing notes and upon satisfaction of certain conditions. The exchange offer will expire on August 14, 2006, unless extended or earlier terminated by us.</w:t>
      </w:r>
    </w:p>
    <w:p>
      <w:pPr>
        <w:spacing w:after="0" w:line="207"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We entered into an interest rate swap agreement with a $50 million notional amount to hedge the risk of changes in fair value attributable to interest rate risk with respect to a portion of the notes. See "- Results of Operations - Non-Operating Income and Expenses." We receive a 2 1/2% fixed rate from the counterparty and pay to the counterparty a floating rate based on 3-month LIBOR minus 35 basis points. Our effective interest rate on the hedged portion of the notes was 4.6% as of June 30, 2006.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Share Repurchase Plan</w:t>
      </w:r>
    </w:p>
    <w:p>
      <w:pPr>
        <w:sectPr>
          <w:pgSz w:w="11900" w:h="16838" w:orient="portrait"/>
          <w:cols w:equalWidth="0" w:num="1">
            <w:col w:w="10219"/>
          </w:cols>
          <w:pgMar w:left="240" w:top="709" w:right="1440" w:bottom="0" w:gutter="0" w:footer="0" w:header="0"/>
        </w:sectPr>
      </w:pPr>
    </w:p>
    <w:bookmarkStart w:id="41" w:name="page42"/>
    <w:bookmarkEnd w:id="41"/>
    <w:p>
      <w:pPr>
        <w:ind w:right="2179"/>
        <w:spacing w:after="0" w:line="246" w:lineRule="auto"/>
        <w:rPr>
          <w:sz w:val="20"/>
          <w:szCs w:val="20"/>
          <w:color w:val="auto"/>
        </w:rPr>
      </w:pPr>
      <w:r>
        <w:rPr>
          <w:rFonts w:ascii="Courier New" w:cs="Courier New" w:eastAsia="Courier New" w:hAnsi="Courier New"/>
          <w:sz w:val="17"/>
          <w:szCs w:val="17"/>
          <w:color w:val="auto"/>
          <w:strike w:val="1"/>
        </w:rPr>
        <w:t>In February 2006, our Board of Directors authorized us to repurchase shares of our common stock for an aggregate purchase price not to exceed $50 million through December 31, 2006 and terminated our prior repurchase program. Shares may be purchased either in the open market or in privately negotiated transactions.</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340" w:right="1440" w:bottom="1440" w:gutter="0" w:footer="0" w:header="0"/>
        </w:sectPr>
      </w:pPr>
    </w:p>
    <w:bookmarkStart w:id="42" w:name="page43"/>
    <w:bookmarkEnd w:id="42"/>
    <w:p>
      <w:pPr>
        <w:ind w:right="1979"/>
        <w:spacing w:after="0" w:line="246" w:lineRule="auto"/>
        <w:rPr>
          <w:sz w:val="20"/>
          <w:szCs w:val="20"/>
          <w:color w:val="auto"/>
        </w:rPr>
      </w:pPr>
      <w:r>
        <w:rPr>
          <w:rFonts w:ascii="Courier New" w:cs="Courier New" w:eastAsia="Courier New" w:hAnsi="Courier New"/>
          <w:sz w:val="17"/>
          <w:szCs w:val="17"/>
          <w:color w:val="auto"/>
          <w:strike w:val="1"/>
        </w:rPr>
        <w:t>The Company purchased 400,900 shares of our common stock for a total purchase price of approximately $15.2 million during the three months ended June 30, 2006 under this repurchase program. No purchases were made under this program during the first quarter of 2006.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Dividend Policy</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Requirements and Capital Resources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 December 2005, we established a $200 million, five-year, senior secured revolving credit facility. The credit facility currently allows for revolving credit borrowings in a principal amount of up to $200 million, which can be increased to $250 million should additional financing be required in the future. We plan to utilize the credit facility for working capital, capital expenditures, share repurchases, acquisitions and other general corporate purposes. We have borrowed against this credit facility in 2006 for acquisition related purposes. As of June 30, 2006, we had $64 million of outstanding borrowings under our credit facility, and the weighted average interest rate per annum for this borrowing was 6.30% per annum.</w:t>
      </w:r>
    </w:p>
    <w:p>
      <w:pPr>
        <w:spacing w:after="0" w:line="204"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The indebtedness under the credit facility is guaranteed by all but one of our domestic subsidiaries. The Company's obligations under the credit facility and the guarantees of the guarantors are secured by a first-priority security interest in all present and future capital stock of (or other ownership or profit interest in) each guarantor and substantially all of the Company's and the guarantors' other assets, other than real estate, intellectual property and capital stock of foreign subsidiaries.</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Borrowings under the credit facility bear interest, at our option, at a rate equal to (i) the Eurodollar Rate in effect from time to time plus an applicable rate (ranging from 0.75% to 1.5%) or (ii) the higher of (x) the weighted average overnight Federal funds rate, as published by the Federal Reserve Bank of New York, plus 0.5%, and (y) the prime commercial lending rate of Bank of America, N.A. plus an applicable rate (ranging from 0% to 0.5%). The applicable rates are based on a financial ratio at the time of the applicable borrowing.</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We will also pay an annual commitment fee (ranging from 0.15% to 0.25%) on the daily amount by which the commitments under the credit facility exceed the outstanding loans and letters of credit under the credit facility.</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The credit facility requires us to maintain various financial covenants, including leverage ratios, a minimum fixed charge coverage ratio and a minimum liquidity ratio. The credit facility also contains customary affirmative and negative covenants, including those that limit the Company's and its subsidiaries' ability to incur additional debt, incur liens, make investments, enter into mergers and acquisitions, liquidate or dissolve, sell or dispose of assets, repurchase stock and pay dividends, engage in transactions with affiliates, engage in certain lines of business and enter into sale and leaseback transactions. As of June 30, 2006, we were in compliance with all of our debt covenants.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Contractual Obligations and Commitments</w:t>
      </w:r>
    </w:p>
    <w:p>
      <w:pPr>
        <w:spacing w:after="0" w:line="203"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strike w:val="1"/>
        </w:rPr>
        <w:t>Under certain agreements, we are required to make payments based on sales levels of certain products or if specific development milestones are achieved.</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OTHER MATTERS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Critical Accounting Estimates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The critical accounting estimates included in our Annual Report on Form 10-K for the fiscal year ended December 31, 2005 have not materially changed other than as set forth below.</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Accounting for Stock-Based Compensation Arrangements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We adopted Statement of Financial Accounting Standards No. 123(R) "Share-Based Payment" on January 1, 2006 using the modified prospective method which requires companies (1) to record the unvested portion of previously issued awards that remain outstanding at the initial date of adoption and (2) to record compensation expense for any awards issued, modified or settled after the</w:t>
      </w:r>
    </w:p>
    <w:p>
      <w:pPr>
        <w:sectPr>
          <w:pgSz w:w="11900" w:h="16838" w:orient="portrait"/>
          <w:cols w:equalWidth="0" w:num="1">
            <w:col w:w="10219"/>
          </w:cols>
          <w:pgMar w:left="240" w:top="709" w:right="1440" w:bottom="0" w:gutter="0" w:footer="0" w:header="0"/>
        </w:sectPr>
      </w:pPr>
    </w:p>
    <w:bookmarkStart w:id="43" w:name="page44"/>
    <w:bookmarkEnd w:id="43"/>
    <w:p>
      <w:pPr>
        <w:ind w:left="2820"/>
        <w:spacing w:after="0"/>
        <w:rPr>
          <w:sz w:val="20"/>
          <w:szCs w:val="20"/>
          <w:color w:val="auto"/>
        </w:rPr>
      </w:pPr>
      <w:r>
        <w:rPr>
          <w:rFonts w:ascii="Courier New" w:cs="Courier New" w:eastAsia="Courier New" w:hAnsi="Courier New"/>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-57150</wp:posOffset>
            </wp:positionV>
            <wp:extent cx="26809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9019"/>
          </w:cols>
          <w:pgMar w:left="1440" w:top="340" w:right="1440" w:bottom="1440" w:gutter="0" w:footer="0" w:header="0"/>
        </w:sectPr>
      </w:pPr>
    </w:p>
    <w:bookmarkStart w:id="44" w:name="page45"/>
    <w:bookmarkEnd w:id="44"/>
    <w:p>
      <w:pPr>
        <w:ind w:right="1979"/>
        <w:spacing w:after="0" w:line="246" w:lineRule="auto"/>
        <w:rPr>
          <w:sz w:val="20"/>
          <w:szCs w:val="20"/>
          <w:color w:val="auto"/>
        </w:rPr>
      </w:pPr>
      <w:r>
        <w:rPr>
          <w:rFonts w:ascii="Courier New" w:cs="Courier New" w:eastAsia="Courier New" w:hAnsi="Courier New"/>
          <w:sz w:val="17"/>
          <w:szCs w:val="17"/>
          <w:color w:val="auto"/>
          <w:strike w:val="1"/>
        </w:rPr>
        <w:t>effective date of the statement. As a result of the adoption of Statement 123(R), we began expensing stock options in the first quarter of 2006 using the fair value method prescribed by Statement 123(R). Stock-based compensation cost is measured at the grant date based on the fair value of an award and is recognized on a straight-line basis as an expense over the requisite service period, which is the vesting period. Certain of these costs are capitalized into inventory and will be recognized as an expense when the related inventory is sold. Our income before income taxes and net income for the six months ended June 30, 2006 were $6.5 million and $4.4 million lower, respectively, than if we had continued to account for share-based compensation under APB No. 25.</w:t>
      </w:r>
    </w:p>
    <w:p>
      <w:pPr>
        <w:spacing w:after="0" w:line="204" w:lineRule="exact"/>
        <w:rPr>
          <w:sz w:val="20"/>
          <w:szCs w:val="20"/>
          <w:color w:val="auto"/>
        </w:rPr>
      </w:pPr>
    </w:p>
    <w:p>
      <w:pPr>
        <w:jc w:val="both"/>
        <w:ind w:right="2179"/>
        <w:spacing w:after="0" w:line="246" w:lineRule="auto"/>
        <w:rPr>
          <w:sz w:val="20"/>
          <w:szCs w:val="20"/>
          <w:color w:val="auto"/>
        </w:rPr>
      </w:pPr>
      <w:r>
        <w:rPr>
          <w:rFonts w:ascii="Courier New" w:cs="Courier New" w:eastAsia="Courier New" w:hAnsi="Courier New"/>
          <w:sz w:val="17"/>
          <w:szCs w:val="17"/>
          <w:color w:val="auto"/>
          <w:strike w:val="1"/>
        </w:rPr>
        <w:t>We recognize stock-based compensation expense in the consolidated statement of operations based on the awards that are expected to vest. Accordingly, we have adjusted stock-based compensation expense to reflect estimated forfeitures.</w:t>
      </w:r>
    </w:p>
    <w:p>
      <w:pPr>
        <w:spacing w:after="0" w:line="2" w:lineRule="exact"/>
        <w:rPr>
          <w:sz w:val="20"/>
          <w:szCs w:val="20"/>
          <w:color w:val="auto"/>
        </w:rPr>
      </w:pPr>
    </w:p>
    <w:p>
      <w:pPr>
        <w:jc w:val="both"/>
        <w:ind w:right="2179"/>
        <w:spacing w:after="0" w:line="246" w:lineRule="auto"/>
        <w:rPr>
          <w:sz w:val="20"/>
          <w:szCs w:val="20"/>
          <w:color w:val="auto"/>
        </w:rPr>
      </w:pPr>
      <w:r>
        <w:rPr>
          <w:rFonts w:ascii="Courier New" w:cs="Courier New" w:eastAsia="Courier New" w:hAnsi="Courier New"/>
          <w:sz w:val="17"/>
          <w:szCs w:val="17"/>
          <w:color w:val="auto"/>
          <w:strike w:val="1"/>
        </w:rPr>
        <w:t>Statement 123(R) requires forfeitures to be estimated at the time of grant and revised, if necessary, in subsequent periods if actual forfeitures differ from those estimates. We estimate forfeitures based on historical experience.</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Statement 123(R) supercedes our previous accounting under Accounting Principals Boards Opinion No. 25 "Accounting for Stock Issued to Employees" for periods subsequent to December 31, 2005. In March 2005, the Securities and Exchange Commission issued Staff Accounting Bulletin No. 107, which provides interpretive guidance in applying the provisions of Statement 123(R). We have applied the provisions of SAB 107 in our adoption of Statement 123(R).</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Our condensed consolidated statement of operations for the six months ended June 30, 2006, includes compensation expense related to (i) stock-based awards granted prior to, but not fully vested as of, January 1, 2006, based on grant date fair values estimated in accordance with the pro forma provisions of Statement of Financial Accounting Standards Statement No 123 "Accounting for Stock-Based Compensation", and (ii) stock-based awards granted in 2006, based on grant-date fair values estimated in accordance with Statement 123(R).</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We calculate the fair value of our restricted stock awards and restricted stock unit awards based on the closing market price of our common stock on the date of the grant. We calculated the fair value of options granted prior to October 1, 2004 using the Black-Scholes model, while we calculate the fair value of options granted on or after October 1, 2004 using the binomial distribution model. These models include assumptions regarding the expected term of our option awards, expected future volatility in the market price of our common stock, future risk-free interest rates, and future dividends, if any, on our common stock. We believe that the binomial distribution model is better than the Black-Scholes model because the binomial distribution model is a more flexible model that considers the impact of non-transferability, vesting and forfeiture provisions in the valuation of employee stock options.</w:t>
      </w:r>
    </w:p>
    <w:p>
      <w:pPr>
        <w:spacing w:after="0" w:line="20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The assumptions used in calculating the fair value of stock-based compensation awards involve inherent uncertainties and the application of management judgment. If factors were to change, and we used different assumptions, depending on the level of our future stock-based awards, our stock-based compensation expense in the future could be materially different from that reported for the six months ended June 30, 2006 or pro forma amounts reported for periods prior to January 1, 2006. In addition, if our actual forfeiture rate varies significantly from our current estimate, the amount of stock-based compensation expense recognized in future periods will be affected.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709"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7"/>
          <w:szCs w:val="17"/>
          <w:color w:val="auto"/>
          <w:strike w:val="1"/>
        </w:rPr>
        <w:t>ITEM 3. QUANTITATIVE AND QUALITATIVE DISCLOSURES ABOUT MARKET RISK</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We are exposed to various market risks, including changes in foreign currency exchange rates and interest rates that could adversely impact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Foreign Currency Exchange Rate Risk</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A discussion of foreign currency exchange risks is provided under the caption "International Product Revenues and Operations" under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Interest Rate Risk - Marketable Securities</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We are exposed to the risk of interest rate fluctuations on the fair value and interest income earned on our cash and cash equivalents and investments in available-for-sale marketable debt securities. A hypothetical 100 basis point movement in interest rates applicable to our cash and cash equivalents and investments in marketable debt securities outstanding at June 30, 2006 would increase or decrease interest income by approximately $436,000 on an annual basis. We are not subject to material foreign currency exchange risk with respect to these investments.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Interest Rate Risk - Long Term Debt and Related Hedging Instruments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We are exposed to the risk of interest rate fluctuations on the net interest received or paid under the terms of an interest rate swap. At June 30, 2006, we had outstanding a $50 million notional amount interest rate swap used to hedge the risk of changes in fair value attributable to interest rate risk with respect to a portion of our $120.0 million principal amount fixed rate 2 1/2% contingent convertible subordinated notes due March 2008.</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Our interest rate swap agreement qualifies as a fair value hedge under SFAS No. 133, as amended, "Accounting for Derivative Instruments and Hedging Activities." At June 30, 2006, the net fair value of the interest rate swap approximated $2.3 million and is included in other liabilities. The net fair value of the interest rate swap represents the estimated receipts or payments that would be made to terminate the agreement. A hypothetical 100 basis point movement in interest rates applicable to the interest rate swap would increase or decrease interest expense by approximately $500,000 on an annual basis.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Interest Rate Risk - Senior Secured Credit Facility</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We are exposed to the risk of interest rate fluctuations on the interest paid under the terms of our senior secured credit facility. A hypothetical 100 basis point movement in interest rates applicable to this credit facility would increase or decrease interest expense by approximately $640,000 on an annual basis.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709"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7"/>
          <w:szCs w:val="17"/>
          <w:color w:val="auto"/>
          <w:strike w:val="1"/>
        </w:rPr>
        <w:t>ITEM 4. CONTROLS AND PROCEDURES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Evaluation of Disclosure Controls and Procedures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206"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As required by Rule 13a-15(b) under the Exchange Act, we have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Changes in Internal Control Over Financial Reporting</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No changes in our internal control over financial reporting (as defined in Rules 13a-15(f) and 15d-15(f) under the Exchange Act) occurred during the quarter ended June 30, 2006, that have materially affected, or are reasonably likely to materially affect, our internal control over financial reporting.</w:t>
      </w:r>
    </w:p>
    <w:p>
      <w:pPr>
        <w:spacing w:after="0" w:line="200"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On March 3, 2006 and May 12, 2006 the Company completed the purchases of Radionics and Miltex, respectively, and is in the process of integrating the operations and related controls of both businesses within the Company. See Note 2, "Business Acquisitions", to the unaudited interim condensed consolidated financial statements included in this Quarterly Report on Form 10-Q for a discussion of the acquisitions and related financial data.</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00" w:lineRule="exact"/>
        <w:rPr>
          <w:sz w:val="20"/>
          <w:szCs w:val="20"/>
          <w:color w:val="auto"/>
        </w:r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709"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7"/>
          <w:szCs w:val="17"/>
          <w:color w:val="auto"/>
          <w:strike w:val="1"/>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ITEM 1. LEGAL PROCEDINGS</w:t>
      </w:r>
    </w:p>
    <w:p>
      <w:pPr>
        <w:spacing w:after="0" w:line="203"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strike w:val="1"/>
        </w:rPr>
        <w:t>Various lawsuits, claims and proceedings are pending or have been settled by the Company. The most significant of those are described below.</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 July 1996, the Company sued Merck KGaA, a German corporation, seeking damages for patent infringement. The patents in question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The case has been tried, appealed and returned to the trial court. Most recently, in September 2004, the trial court ordered Merck KgaA to pay Integra $6.4 million in damages. Merck KGaA filed a petition for a writ of certiorari with the United States Supreme Court seeking review of the Circuit Court's decision, and the Supreme Court granted the writ in January 2005.</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On June 13, 2005, the Supreme Court vacated the June 2003 judgment of the Circuit Court. The Supreme Court held that the Circuit Court applied an erroneous interpretation of 35 U.S.C. ss.271(e)(1) when it rejected the challenge of Merck KGaA to the jury's finding that Merck KGaA failed to show that its activities were exempt from claims of patent infringement under that statute. On remand, the Circuit Court was to have reviewed the evidence under a reasonableness test that does not provide categorical exclusions of certain types of activities. The hearing before the Circuit Court occurred in June 2006, and a ruling is expected this year. Further enforcement of the trial court's order has been stayed. We have not recorded any gain in connection with this matter, pending final resolution and completion of the appeals process.</w:t>
      </w:r>
    </w:p>
    <w:p>
      <w:pPr>
        <w:spacing w:after="0" w:line="204"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In May 2006, Codman &amp; Shurtleff, Inc., a division of Johnson &amp; Johnson, commenced an action in the United States District Court for the District of New Jersey for declaratory judgment against Integra LifeSciences Corporation with respect to United States Patent No. 5,997,895 (the "'895 Patent") held by Integra. Integra's patent covers dural repair technology related to Integra's Duragen(R) family of duraplasty products.</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The action seeks declaratory relief that Codman's DURAFORM(TM) product does not infringe Integra's patent and that Integra's patent is invalid and unenforceable. Codman does not seek either damages from Integra or injunctive relief to prevent Integra from selling the Duragen(R) Dural Graft Matrix. Integra has filed a counterclaim against Codman, alleging that Codman's DURAFORM(TM) product infringes the '895 Patent, seeking injunctive relief preventing the sale and use of DURAFORM(TM), and seeking damages, including treble damages, for past infringement.</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In addition to these matters, we are subject to various claims, lawsuits and proceedings in the ordinary course of its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907" w:right="1440" w:bottom="1440" w:gutter="0" w:footer="0" w:header="0"/>
        </w:sectPr>
      </w:pPr>
    </w:p>
    <w:bookmarkStart w:id="48" w:name="page49"/>
    <w:bookmarkEnd w:id="48"/>
    <w:p>
      <w:pPr>
        <w:spacing w:after="0"/>
        <w:tabs>
          <w:tab w:leader="none" w:pos="1020" w:val="left"/>
        </w:tabs>
        <w:rPr>
          <w:sz w:val="20"/>
          <w:szCs w:val="20"/>
          <w:color w:val="auto"/>
        </w:rPr>
      </w:pPr>
      <w:r>
        <w:rPr>
          <w:rFonts w:ascii="Courier New" w:cs="Courier New" w:eastAsia="Courier New" w:hAnsi="Courier New"/>
          <w:sz w:val="17"/>
          <w:szCs w:val="17"/>
          <w:color w:val="auto"/>
          <w:strike w:val="1"/>
        </w:rPr>
        <w:t>ITEM 1A.</w:t>
        <w:tab/>
        <w:t>RISK FACTORS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The Risk Factors included in the Company's Annual Report on Form 10-K for the fiscal year ended December 31, 2005 (as modified by the subsequent Quarterly Report on Form 10-Q) have not materially changed other than the modifications to the risks factors as set forth below.</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Our Current Strategy Involves Growth Through Acquisitions, Which Requires Us To Incur Substantial Costs And Potential Liabilities For Which We May Never Realize The Anticipated Benefits.</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In addition to internal growth, our current strategy involves growth through acquisitions. Since 1999, we have acquired 25 businesses or product lines at a total cost of approximately $438 million.</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A significant portion of our growth in revenues has resulted from, and is expected to continue to result from, the acquisition of businesses complementary to our own. We evaluate potential acquisitions and are in various stages of discussion regarding possible acquisitions, certain of which, if consummated, could be significant to us. Any potential acquisitions may result in material transaction expenses, increased interest and amortization expense, increased depreciation expense and increased operating expense, any of which could have a material adverse effect on our operating results. As we grow by acquisitions, we must integrate and manage the new businesses to realize economies of scale and control costs. In addition, acquisitions involve other risks, including diversion of management resources otherwise available for ongoing development of our business and risks associated with entering new markets with which our marketing department and sales force has limited experience or where experienced distribution alliances are not available. Our future profitability will depend in part upon our ability to develop further our resources to adapt to these new products or business areas and to identify and enter into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matters or legal liabilities relating to those acquired businesses for which the sellers of the acquired businesses may not indemnify us.</w:t>
      </w:r>
    </w:p>
    <w:p>
      <w:pPr>
        <w:spacing w:after="0" w:line="21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Our research and development activities and the manufacturing, labeling, distribution and marketing of our existing and future products are subject to regulation by numerous governmental agencies in the United States and in other countries. The United States Food and Drug Administration (FDA) and comparable agencies in other countries impose mandatory procedures and standards for the conduct of clinical trials and the production and marketing of products for diagnostic and human therapeutic use.</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Our products under development are subject to FDA approval or clearance prior to marketing for commercial use. The process of obtaining necessary FDA approvals or clearances can take years and is expensive and full of uncertainties. Our inability to obtain required regulatory approval on a timely or acceptable basis could harm our business. Further, approval or clearance may place substantial restrictions on the indications for which the product may be marketed or to whom it may be marketed, the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In addition, for products with an approved Pre-Marketing Approval (PMA), the FDA requires annual reports and may require post-approval surveillance programs to monitor the products' safety and effectiveness. Results of post-approval programs may limit or expand the further marketing of the product.</w:t>
      </w:r>
    </w:p>
    <w:p>
      <w:pPr>
        <w:spacing w:after="0" w:line="207"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w:t>
      </w:r>
    </w:p>
    <w:p>
      <w:pPr>
        <w:sectPr>
          <w:pgSz w:w="11900" w:h="16838" w:orient="portrait"/>
          <w:cols w:equalWidth="0" w:num="1">
            <w:col w:w="10219"/>
          </w:cols>
          <w:pgMar w:left="240" w:top="1105" w:right="1440" w:bottom="0" w:gutter="0" w:footer="0" w:header="0"/>
        </w:sectPr>
      </w:pPr>
    </w:p>
    <w:bookmarkStart w:id="49" w:name="page50"/>
    <w:bookmarkEnd w:id="49"/>
    <w:p>
      <w:pPr>
        <w:ind w:right="2499"/>
        <w:spacing w:after="0" w:line="247" w:lineRule="auto"/>
        <w:rPr>
          <w:sz w:val="20"/>
          <w:szCs w:val="20"/>
          <w:color w:val="auto"/>
        </w:rPr>
      </w:pPr>
      <w:r>
        <w:rPr>
          <w:rFonts w:ascii="Courier New" w:cs="Courier New" w:eastAsia="Courier New" w:hAnsi="Courier New"/>
          <w:sz w:val="17"/>
          <w:szCs w:val="17"/>
          <w:color w:val="auto"/>
          <w:strike w:val="1"/>
        </w:rPr>
        <w:t>required approval might be significantly increased or approval might not be granted.</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Approved products are subject to continuing FDA requirements relating to quality control and quality assurance, maintenance of records, reporting of adverse events and product recalls, documentation, and labeling and promotion of medical devices.</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50" w:name="page51"/>
    <w:bookmarkEnd w:id="50"/>
    <w:p>
      <w:pPr>
        <w:ind w:right="1979"/>
        <w:spacing w:after="0" w:line="246" w:lineRule="auto"/>
        <w:rPr>
          <w:sz w:val="20"/>
          <w:szCs w:val="20"/>
          <w:color w:val="auto"/>
        </w:rPr>
      </w:pPr>
      <w:r>
        <w:rPr>
          <w:rFonts w:ascii="Courier New" w:cs="Courier New" w:eastAsia="Courier New" w:hAnsi="Courier New"/>
          <w:sz w:val="17"/>
          <w:szCs w:val="17"/>
          <w:color w:val="auto"/>
          <w:strike w:val="1"/>
        </w:rPr>
        <w:t>The FDA and foreign regulatory authorities require that our products be manufactured according to rigorous standards. These regulatory requirements may significantly increase our production or purchasing costs and may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may mean that even if we develop promising new products, we may not be able to produce them profitably, as a result of delays and additional capital investment costs. Manufacturing facilities, both international and domestic, are also subject to inspections by or under the authority of the FDA. In addition, failure to comply with applicable regulatory requirements could subject us to enforcement action, including product seizures, recalls, withdrawal of clearances or approvals, restrictions on or injunctions against marketing our product or products based on our technology, cessation of operations and civil and criminal penalties.</w:t>
      </w:r>
    </w:p>
    <w:p>
      <w:pPr>
        <w:spacing w:after="0" w:line="207"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We are also subject to the regulatory requirements of countries outside of the United States where we do business. For example, Japan has issued an amendment to its Pharmaceutical Affairs Law which went into effect on April 1, 2005. New regulations and requirements exist for obtaining approval of medical devices, including new requirements governing the conduct of clinical trials, the manufacturing of products and the distribution of products in Japan. Significant resources may be needed to comply with the extensive auditing of and requests for documentation relating to all manufacturing facilities of our company and our vendors by the Pharmaceutical Medical Device Agency (PMDA) and the Ministry of Health, Labor and Welfare (MHLW) in Japan to comply with the amendment to the Pharmaceutical Affairs Law. These new regulations may affect our ability to obtain approvals of new products for sale in Japan.</w:t>
      </w:r>
    </w:p>
    <w:p>
      <w:pPr>
        <w:spacing w:after="0" w:line="205"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strike w:val="1"/>
        </w:rPr>
        <w:t>We May Be Involved In Lawsuits Relating To Our Intellectual Property Rights And Promotional Practices, Which May Be Expensive.</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To protect or enforce our intellectual property rights, we may have to initiate or defend legal proceedings, such as infringement suits or interference proceedings, against or by third parties. For example, Codman &amp; Shurtleff, Inc., a division of Johnson &amp; Johnson, commenced an action in May 2006 seeking declaratory relief that its DURAFORM(TM) product does not infringe our patent covering our duraplasty products and that our patent is invalid and unenforceable. In addition, we may have to institute proceedings regarding our competitors' promotional practices or defend proceedings regarding our promotional practices. Litigation is costly, and, even if we prevail, the cost of that litigation could affect our profitability. In addition, litigation is time consuming and could divert management attention and resources away from our business. We may also provoke these third parties to assert claims against us.</w:t>
      </w:r>
    </w:p>
    <w:p>
      <w:pPr>
        <w:spacing w:after="0" w:line="205"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If Any Of Our Manufacturing Facilities Were Damaged And/Or Our Manufacturing Or Business Processes Interrupted, We Could Experience Lost Revenues And Our Business Could Be Seriously Harmed.</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We manufacture our products in a limited number of facilities. Damage to our manufacturing, development or research facilities due to fire, natural disaster, power loss, communications failure, unauthorized entry or other events could cause us to cease development and manufacturing of some or all of our products. In particular, our San Diego, California facility is susceptible to earthquake damage, wildfire damage and power losses from electrical shortages as are other businesses in the Southern California area. Our Anasco, Puerto Rico plant, where we manufacture collagen, silicone and our private label products, is vulnerable to hurricane, storm 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206"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In addition, we began implementing an enterprise business system in 2004, which we intend to use in our facilities. This system, the hosting and maintenance of which we outsource, replaces several systems on which we previously relied and will be implemented in several stages. We have outsourced our product distribution function in the United States and in the fourth quarter of 2005 began to outsource our European product distribution function. A delay or other problem with the system or in our implementation schedule for any of these initiatives could have a material adverse effect on our operations.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Changes In The Health Care Industry May Require Us To Decrease The Selling Price For Our Products Or May Reduce The Size Of The Market For Our Products, Either Of Which Could Have A Negative Impact On Our Financial Performance.</w:t>
      </w:r>
    </w:p>
    <w:p>
      <w:pPr>
        <w:spacing w:after="0" w:line="200"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strike w:val="1"/>
        </w:rPr>
        <w:t>Trends toward managed care, health care cost containment and other changes in government and private sector initiatives in the United States and other</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709" w:right="1440" w:bottom="0" w:gutter="0" w:footer="0" w:header="0"/>
        </w:sectPr>
      </w:pPr>
    </w:p>
    <w:bookmarkStart w:id="51" w:name="page52"/>
    <w:bookmarkEnd w:id="51"/>
    <w:p>
      <w:pPr>
        <w:ind w:right="1979"/>
        <w:spacing w:after="0" w:line="246" w:lineRule="auto"/>
        <w:rPr>
          <w:sz w:val="20"/>
          <w:szCs w:val="20"/>
          <w:color w:val="auto"/>
        </w:rPr>
      </w:pPr>
      <w:r>
        <w:rPr>
          <w:rFonts w:ascii="Courier New" w:cs="Courier New" w:eastAsia="Courier New" w:hAnsi="Courier New"/>
          <w:sz w:val="17"/>
          <w:szCs w:val="17"/>
          <w:color w:val="auto"/>
          <w:strike w:val="1"/>
        </w:rPr>
        <w:t>countries in which we do business are placing increased emphasis on the delivery of more cost-effective medical therapies that could adversely affect the sale and/or the prices of our products. For example:</w:t>
      </w:r>
    </w:p>
    <w:p>
      <w:pPr>
        <w:spacing w:after="0" w:line="200" w:lineRule="exact"/>
        <w:rPr>
          <w:sz w:val="20"/>
          <w:szCs w:val="20"/>
          <w:color w:val="auto"/>
        </w:rPr>
      </w:pPr>
    </w:p>
    <w:p>
      <w:pPr>
        <w:ind w:left="940" w:right="1979" w:hanging="934"/>
        <w:spacing w:after="0" w:line="246" w:lineRule="auto"/>
        <w:tabs>
          <w:tab w:leader="none" w:pos="9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major third-party payors of hospital services and hospital outpatient services, including Medicare, Medicaid and private health care insurers, annually revise their payment methodologies, which can result in stricter standards for reimbursement of hospital charges for certain medical procedures;</w:t>
      </w:r>
    </w:p>
    <w:p>
      <w:pPr>
        <w:spacing w:after="0" w:line="2" w:lineRule="exact"/>
        <w:rPr>
          <w:rFonts w:ascii="Courier New" w:cs="Courier New" w:eastAsia="Courier New" w:hAnsi="Courier New"/>
          <w:sz w:val="17"/>
          <w:szCs w:val="17"/>
          <w:color w:val="auto"/>
        </w:rPr>
      </w:pPr>
    </w:p>
    <w:p>
      <w:pPr>
        <w:ind w:left="940" w:right="2599" w:hanging="934"/>
        <w:spacing w:after="0" w:line="246" w:lineRule="auto"/>
        <w:tabs>
          <w:tab w:leader="none" w:pos="9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Medicare, Medicaid and private health care insurer cutbacks could create downward price pressure on our products;</w:t>
      </w:r>
    </w:p>
    <w:p>
      <w:pPr>
        <w:spacing w:after="0" w:line="1" w:lineRule="exact"/>
        <w:rPr>
          <w:rFonts w:ascii="Courier New" w:cs="Courier New" w:eastAsia="Courier New" w:hAnsi="Courier New"/>
          <w:sz w:val="17"/>
          <w:szCs w:val="17"/>
          <w:color w:val="auto"/>
        </w:rPr>
      </w:pPr>
    </w:p>
    <w:p>
      <w:pPr>
        <w:ind w:left="940" w:right="2179" w:hanging="934"/>
        <w:spacing w:after="0" w:line="246" w:lineRule="auto"/>
        <w:tabs>
          <w:tab w:leader="none" w:pos="9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recent drafts of local Medicare coverage determinations, if effected, would eliminate reimbursement for certain of our dermal regeneration products, potentially negatively affecting our market for these products;</w:t>
      </w:r>
    </w:p>
    <w:p>
      <w:pPr>
        <w:spacing w:after="0" w:line="2" w:lineRule="exact"/>
        <w:rPr>
          <w:rFonts w:ascii="Courier New" w:cs="Courier New" w:eastAsia="Courier New" w:hAnsi="Courier New"/>
          <w:sz w:val="17"/>
          <w:szCs w:val="17"/>
          <w:color w:val="auto"/>
        </w:rPr>
      </w:pPr>
    </w:p>
    <w:p>
      <w:pPr>
        <w:ind w:left="940" w:right="2079" w:hanging="934"/>
        <w:spacing w:after="0" w:line="246" w:lineRule="auto"/>
        <w:tabs>
          <w:tab w:leader="none" w:pos="9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potential legislative proposals have been considered that would result in major reforms in the U.S. health care system that could have an adverse effect on our business;</w:t>
      </w:r>
    </w:p>
    <w:p>
      <w:pPr>
        <w:spacing w:after="0" w:line="1" w:lineRule="exact"/>
        <w:rPr>
          <w:rFonts w:ascii="Courier New" w:cs="Courier New" w:eastAsia="Courier New" w:hAnsi="Courier New"/>
          <w:sz w:val="17"/>
          <w:szCs w:val="17"/>
          <w:color w:val="auto"/>
        </w:rPr>
      </w:pPr>
    </w:p>
    <w:p>
      <w:pPr>
        <w:ind w:left="940" w:right="2079" w:hanging="934"/>
        <w:spacing w:after="0" w:line="246" w:lineRule="auto"/>
        <w:tabs>
          <w:tab w:leader="none" w:pos="9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has been a consolidation among health care facilities and purchasers of medical devices in the United States who prefer to limit the number of suppliers from whom they purchase medical products, and these entities may decide to stop purchasing our products or demand discounts on our prices;</w:t>
      </w:r>
    </w:p>
    <w:p>
      <w:pPr>
        <w:spacing w:after="0" w:line="2" w:lineRule="exact"/>
        <w:rPr>
          <w:rFonts w:ascii="Courier New" w:cs="Courier New" w:eastAsia="Courier New" w:hAnsi="Courier New"/>
          <w:sz w:val="17"/>
          <w:szCs w:val="17"/>
          <w:color w:val="auto"/>
        </w:rPr>
      </w:pPr>
    </w:p>
    <w:p>
      <w:pPr>
        <w:ind w:left="940" w:right="2179" w:hanging="934"/>
        <w:spacing w:after="0" w:line="246" w:lineRule="auto"/>
        <w:tabs>
          <w:tab w:leader="none" w:pos="9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2" w:lineRule="exact"/>
        <w:rPr>
          <w:rFonts w:ascii="Courier New" w:cs="Courier New" w:eastAsia="Courier New" w:hAnsi="Courier New"/>
          <w:sz w:val="17"/>
          <w:szCs w:val="17"/>
          <w:color w:val="auto"/>
        </w:rPr>
      </w:pPr>
    </w:p>
    <w:p>
      <w:pPr>
        <w:ind w:left="940" w:right="1979" w:hanging="934"/>
        <w:spacing w:after="0" w:line="246" w:lineRule="auto"/>
        <w:tabs>
          <w:tab w:leader="none" w:pos="9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economic pressure to contain health care costs in domestic and international markets;</w:t>
      </w:r>
    </w:p>
    <w:p>
      <w:pPr>
        <w:spacing w:after="0" w:line="1" w:lineRule="exact"/>
        <w:rPr>
          <w:rFonts w:ascii="Courier New" w:cs="Courier New" w:eastAsia="Courier New" w:hAnsi="Courier New"/>
          <w:sz w:val="17"/>
          <w:szCs w:val="17"/>
          <w:color w:val="auto"/>
        </w:rPr>
      </w:pPr>
    </w:p>
    <w:p>
      <w:pPr>
        <w:ind w:left="940" w:right="1979" w:hanging="934"/>
        <w:spacing w:after="0" w:line="246" w:lineRule="auto"/>
        <w:tabs>
          <w:tab w:leader="none" w:pos="9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proposed and existing laws, regulations and industry policies in domestic and international markets regulating the sales and marketing practices and the pricing and profitability of companies in the health care industry;</w:t>
      </w:r>
    </w:p>
    <w:p>
      <w:pPr>
        <w:spacing w:after="0" w:line="2" w:lineRule="exact"/>
        <w:rPr>
          <w:rFonts w:ascii="Courier New" w:cs="Courier New" w:eastAsia="Courier New" w:hAnsi="Courier New"/>
          <w:sz w:val="17"/>
          <w:szCs w:val="17"/>
          <w:color w:val="auto"/>
        </w:rPr>
      </w:pPr>
    </w:p>
    <w:p>
      <w:pPr>
        <w:ind w:left="940" w:right="2179" w:hanging="934"/>
        <w:spacing w:after="0" w:line="246" w:lineRule="auto"/>
        <w:tabs>
          <w:tab w:leader="none" w:pos="9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laws or regulations that will permit hospitals to provide financial incentives to doctors for reducing hospital costs (known as gainsharing) and to award physician efficiency (known as physician profiling) could reduce prices; and</w:t>
      </w:r>
    </w:p>
    <w:p>
      <w:pPr>
        <w:spacing w:after="0" w:line="2" w:lineRule="exact"/>
        <w:rPr>
          <w:rFonts w:ascii="Courier New" w:cs="Courier New" w:eastAsia="Courier New" w:hAnsi="Courier New"/>
          <w:sz w:val="17"/>
          <w:szCs w:val="17"/>
          <w:color w:val="auto"/>
        </w:rPr>
      </w:pPr>
    </w:p>
    <w:p>
      <w:pPr>
        <w:ind w:left="940" w:right="2279" w:hanging="934"/>
        <w:spacing w:after="0" w:line="246" w:lineRule="auto"/>
        <w:tabs>
          <w:tab w:leader="none" w:pos="9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have been initiatives by third-party payors to challenge the prices charged for medical products that could affect our ability to sell products on a competitive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-4592320</wp:posOffset>
            </wp:positionV>
            <wp:extent cx="509968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-4466590</wp:posOffset>
            </wp:positionV>
            <wp:extent cx="464185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6418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-4340860</wp:posOffset>
            </wp:positionV>
            <wp:extent cx="523049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-4215130</wp:posOffset>
            </wp:positionV>
            <wp:extent cx="523049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-4089400</wp:posOffset>
            </wp:positionV>
            <wp:extent cx="183070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8307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-3963670</wp:posOffset>
            </wp:positionV>
            <wp:extent cx="483806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8380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-3837940</wp:posOffset>
            </wp:positionV>
            <wp:extent cx="366141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6614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-3712210</wp:posOffset>
            </wp:positionV>
            <wp:extent cx="509968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-3587115</wp:posOffset>
            </wp:positionV>
            <wp:extent cx="50342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-3461385</wp:posOffset>
            </wp:positionV>
            <wp:extent cx="4707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-3335655</wp:posOffset>
            </wp:positionV>
            <wp:extent cx="11766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1766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-3209925</wp:posOffset>
            </wp:positionV>
            <wp:extent cx="51650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-3084195</wp:posOffset>
            </wp:positionV>
            <wp:extent cx="49034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-2958465</wp:posOffset>
            </wp:positionV>
            <wp:extent cx="261556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155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-2832735</wp:posOffset>
            </wp:positionV>
            <wp:extent cx="4707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-2707005</wp:posOffset>
            </wp:positionV>
            <wp:extent cx="51650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-2581275</wp:posOffset>
            </wp:positionV>
            <wp:extent cx="509968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-2455545</wp:posOffset>
            </wp:positionV>
            <wp:extent cx="496887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-2329815</wp:posOffset>
            </wp:positionV>
            <wp:extent cx="215773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1577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-2204085</wp:posOffset>
            </wp:positionV>
            <wp:extent cx="50342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-2078355</wp:posOffset>
            </wp:positionV>
            <wp:extent cx="4707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-1952625</wp:posOffset>
            </wp:positionV>
            <wp:extent cx="509968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-1826895</wp:posOffset>
            </wp:positionV>
            <wp:extent cx="490347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-1701165</wp:posOffset>
            </wp:positionV>
            <wp:extent cx="13728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3728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-1575435</wp:posOffset>
            </wp:positionV>
            <wp:extent cx="523049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-1449705</wp:posOffset>
            </wp:positionV>
            <wp:extent cx="202692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0269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-1323975</wp:posOffset>
            </wp:positionV>
            <wp:extent cx="523049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-1198245</wp:posOffset>
            </wp:positionV>
            <wp:extent cx="464185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6418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-1072515</wp:posOffset>
            </wp:positionV>
            <wp:extent cx="509968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-946785</wp:posOffset>
            </wp:positionV>
            <wp:extent cx="22231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2231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-821055</wp:posOffset>
            </wp:positionV>
            <wp:extent cx="49034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-695325</wp:posOffset>
            </wp:positionV>
            <wp:extent cx="509968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-569595</wp:posOffset>
            </wp:positionV>
            <wp:extent cx="490347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-443865</wp:posOffset>
            </wp:positionV>
            <wp:extent cx="287655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8765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-318135</wp:posOffset>
            </wp:positionV>
            <wp:extent cx="49034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-192405</wp:posOffset>
            </wp:positionV>
            <wp:extent cx="50342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-66675</wp:posOffset>
            </wp:positionV>
            <wp:extent cx="30073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007360" cy="8255"/>
                    </a:xfrm>
                    <a:prstGeom prst="rect">
                      <a:avLst/>
                    </a:prstGeom>
                    <a:noFill/>
                  </pic:spPr>
                </pic:pic>
              </a:graphicData>
            </a:graphic>
          </wp:anchor>
        </w:drawing>
      </w:r>
    </w:p>
    <w:p>
      <w:pPr>
        <w:spacing w:after="0" w:line="18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strike w:val="1"/>
        </w:rPr>
        <w:t>Both the pressures to reduce prices for our products in response to these trends and the decrease in the size of the market as a result of these trends could adversely affect our levels of revenues and profitability of sales.</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709" w:right="1440" w:bottom="1440" w:gutter="0" w:footer="0" w:header="0"/>
        </w:sectPr>
      </w:pPr>
    </w:p>
    <w:bookmarkStart w:id="52" w:name="page53"/>
    <w:bookmarkEnd w:id="52"/>
    <w:p>
      <w:pPr>
        <w:spacing w:after="0"/>
        <w:tabs>
          <w:tab w:leader="none" w:pos="1020" w:val="left"/>
        </w:tabs>
        <w:rPr>
          <w:sz w:val="20"/>
          <w:szCs w:val="20"/>
          <w:color w:val="auto"/>
        </w:rPr>
      </w:pPr>
      <w:r>
        <w:rPr>
          <w:rFonts w:ascii="Courier New" w:cs="Courier New" w:eastAsia="Courier New" w:hAnsi="Courier New"/>
          <w:sz w:val="17"/>
          <w:szCs w:val="17"/>
          <w:color w:val="auto"/>
          <w:strike w:val="1"/>
        </w:rPr>
        <w:t>ITEM 2.</w:t>
      </w:r>
      <w:r>
        <w:rPr>
          <w:sz w:val="20"/>
          <w:szCs w:val="20"/>
          <w:color w:val="auto"/>
        </w:rPr>
        <w:tab/>
      </w:r>
      <w:r>
        <w:rPr>
          <w:rFonts w:ascii="Courier New" w:cs="Courier New" w:eastAsia="Courier New" w:hAnsi="Courier New"/>
          <w:sz w:val="17"/>
          <w:szCs w:val="17"/>
          <w:color w:val="auto"/>
          <w:strike w:val="1"/>
        </w:rPr>
        <w:t>UNREGISTERED SALES OF EQUITY SECURITIES AND USE OF PROCEEDS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In February 2006, our Board of Directors authorized us to repurchase shares of our common stock for an aggregate purchase price not to exceed $50 million through December 31, 2006. Shares may be purchased either in the open market or in privately negotiated transactions.</w:t>
      </w:r>
    </w:p>
    <w:p>
      <w:pPr>
        <w:spacing w:after="0" w:line="200"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strike w:val="1"/>
        </w:rPr>
        <w:t>The following table summarizes our repurchases of our common stock during the quarter ended June 30, 2006 under this program:</w:t>
      </w:r>
    </w:p>
    <w:p>
      <w:pPr>
        <w:sectPr>
          <w:pgSz w:w="11900" w:h="16838" w:orient="portrait"/>
          <w:cols w:equalWidth="0" w:num="1">
            <w:col w:w="10219"/>
          </w:cols>
          <w:pgMar w:left="240" w:top="9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Period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 Number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of Shares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Purchased</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67945</wp:posOffset>
            </wp:positionV>
            <wp:extent cx="457644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576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-441325</wp:posOffset>
            </wp:positionV>
            <wp:extent cx="608076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-315595</wp:posOffset>
            </wp:positionV>
            <wp:extent cx="614616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-189865</wp:posOffset>
            </wp:positionV>
            <wp:extent cx="62115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-64135</wp:posOffset>
            </wp:positionV>
            <wp:extent cx="627697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276975" cy="825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7"/>
          <w:szCs w:val="17"/>
          <w:color w:val="auto"/>
        </w:rPr>
        <w:t>Price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-64135</wp:posOffset>
            </wp:positionV>
            <wp:extent cx="60153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015355" cy="8255"/>
                    </a:xfrm>
                    <a:prstGeom prst="rect">
                      <a:avLst/>
                    </a:prstGeom>
                    <a:noFill/>
                  </pic:spPr>
                </pic:pic>
              </a:graphicData>
            </a:graphic>
          </wp:anchor>
        </w:drawing>
      </w:r>
    </w:p>
    <w:p>
      <w:pPr>
        <w:ind w:left="100"/>
        <w:spacing w:after="0"/>
        <w:rPr>
          <w:sz w:val="20"/>
          <w:szCs w:val="20"/>
          <w:color w:val="auto"/>
        </w:rPr>
      </w:pPr>
      <w:r>
        <w:rPr>
          <w:rFonts w:ascii="Courier New" w:cs="Courier New" w:eastAsia="Courier New" w:hAnsi="Courier New"/>
          <w:sz w:val="17"/>
          <w:szCs w:val="17"/>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-64135</wp:posOffset>
            </wp:positionV>
            <wp:extent cx="594995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949950" cy="8255"/>
                    </a:xfrm>
                    <a:prstGeom prst="rect">
                      <a:avLst/>
                    </a:prstGeom>
                    <a:noFill/>
                  </pic:spPr>
                </pic:pic>
              </a:graphicData>
            </a:graphic>
          </wp:anchor>
        </w:drawing>
      </w:r>
    </w:p>
    <w:p>
      <w:pPr>
        <w:ind w:left="1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-64135</wp:posOffset>
            </wp:positionV>
            <wp:extent cx="627697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2769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Total Number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of Shares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Purchased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of Publicly</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Announced</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Program</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Approximate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Dollar Value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Shares that May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Yet be Purchased</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Under the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Program</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5">
            <w:col w:w="2380" w:space="400"/>
            <w:col w:w="1440" w:space="320"/>
            <w:col w:w="1240" w:space="300"/>
            <w:col w:w="1860" w:space="200"/>
            <w:col w:w="2079"/>
          </w:cols>
          <w:pgMar w:left="240" w:top="90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April 1, 2006 -</w:t>
      </w:r>
    </w:p>
    <w:p>
      <w:pPr>
        <w:sectPr>
          <w:pgSz w:w="11900" w:h="16838" w:orient="portrait"/>
          <w:cols w:equalWidth="0" w:num="1">
            <w:col w:w="10219"/>
          </w:cols>
          <w:pgMar w:left="240" w:top="907" w:right="1440" w:bottom="1440" w:gutter="0" w:footer="0" w:header="0"/>
          <w:type w:val="continuous"/>
        </w:sectPr>
      </w:pP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April 30, 2006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-57150</wp:posOffset>
            </wp:positionV>
            <wp:extent cx="60807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0807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$50,000,000</w:t>
      </w:r>
    </w:p>
    <w:p>
      <w:pPr>
        <w:spacing w:after="0" w:line="200" w:lineRule="exact"/>
        <w:rPr>
          <w:sz w:val="20"/>
          <w:szCs w:val="20"/>
          <w:color w:val="auto"/>
        </w:rPr>
      </w:pPr>
    </w:p>
    <w:p>
      <w:pPr>
        <w:sectPr>
          <w:pgSz w:w="11900" w:h="16838" w:orient="portrait"/>
          <w:cols w:equalWidth="0" w:num="6">
            <w:col w:w="2780" w:space="720"/>
            <w:col w:w="220" w:space="720"/>
            <w:col w:w="100" w:space="520"/>
            <w:col w:w="1120" w:space="720"/>
            <w:col w:w="820" w:space="720"/>
            <w:col w:w="1779"/>
          </w:cols>
          <w:pgMar w:left="240" w:top="90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May 1, 2006 -</w:t>
      </w:r>
    </w:p>
    <w:p>
      <w:pPr>
        <w:sectPr>
          <w:pgSz w:w="11900" w:h="16838" w:orient="portrait"/>
          <w:cols w:equalWidth="0" w:num="1">
            <w:col w:w="10219"/>
          </w:cols>
          <w:pgMar w:left="240" w:top="907" w:right="1440" w:bottom="1440" w:gutter="0" w:footer="0" w:header="0"/>
          <w:type w:val="continuous"/>
        </w:sectPr>
      </w:pP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May 31, 2006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400,900</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Courier New" w:cs="Courier New" w:eastAsia="Courier New" w:hAnsi="Courier New"/>
          <w:sz w:val="17"/>
          <w:szCs w:val="17"/>
          <w:color w:val="auto"/>
        </w:rPr>
        <w:t>37.88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-64135</wp:posOffset>
            </wp:positionV>
            <wp:extent cx="608076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0807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400,900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34,813,278</w:t>
      </w:r>
    </w:p>
    <w:p>
      <w:pPr>
        <w:spacing w:after="0" w:line="200" w:lineRule="exact"/>
        <w:rPr>
          <w:sz w:val="20"/>
          <w:szCs w:val="20"/>
          <w:color w:val="auto"/>
        </w:rPr>
      </w:pPr>
    </w:p>
    <w:p>
      <w:pPr>
        <w:sectPr>
          <w:pgSz w:w="11900" w:h="16838" w:orient="portrait"/>
          <w:cols w:equalWidth="0" w:num="5">
            <w:col w:w="2280" w:space="720"/>
            <w:col w:w="1020" w:space="720"/>
            <w:col w:w="920" w:space="720"/>
            <w:col w:w="1460" w:space="720"/>
            <w:col w:w="1659"/>
          </w:cols>
          <w:pgMar w:left="240" w:top="90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June 1, 2006 -</w:t>
      </w:r>
    </w:p>
    <w:p>
      <w:pPr>
        <w:sectPr>
          <w:pgSz w:w="11900" w:h="16838" w:orient="portrait"/>
          <w:cols w:equalWidth="0" w:num="1">
            <w:col w:w="10219"/>
          </w:cols>
          <w:pgMar w:left="240" w:top="907" w:right="1440" w:bottom="1440" w:gutter="0" w:footer="0" w:header="0"/>
          <w:type w:val="continuous"/>
        </w:sectPr>
      </w:pP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June 30, 2006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Total</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400,900</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-64135</wp:posOffset>
            </wp:positionV>
            <wp:extent cx="60807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080760" cy="8255"/>
                    </a:xfrm>
                    <a:prstGeom prst="rect">
                      <a:avLst/>
                    </a:prstGeom>
                    <a:noFill/>
                  </pic:spPr>
                </pic:pic>
              </a:graphicData>
            </a:graphic>
          </wp:anchor>
        </w:drawing>
      </w:r>
    </w:p>
    <w:p>
      <w:pPr>
        <w:ind w:left="3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-64135</wp:posOffset>
            </wp:positionV>
            <wp:extent cx="627697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276975" cy="8255"/>
                    </a:xfrm>
                    <a:prstGeom prst="rect">
                      <a:avLst/>
                    </a:prstGeom>
                    <a:noFill/>
                  </pic:spPr>
                </pic:pic>
              </a:graphicData>
            </a:graphic>
          </wp:anchor>
        </w:drawing>
      </w:r>
    </w:p>
    <w:p>
      <w:pPr>
        <w:spacing w:after="0"/>
        <w:tabs>
          <w:tab w:leader="none" w:pos="280" w:val="left"/>
        </w:tabs>
        <w:rPr>
          <w:sz w:val="20"/>
          <w:szCs w:val="20"/>
          <w:color w:val="auto"/>
        </w:rPr>
      </w:pPr>
      <w:r>
        <w:rPr>
          <w:rFonts w:ascii="Courier New" w:cs="Courier New" w:eastAsia="Courier New" w:hAnsi="Courier New"/>
          <w:sz w:val="17"/>
          <w:szCs w:val="17"/>
          <w:color w:val="auto"/>
        </w:rPr>
        <w:t>$</w:t>
        <w:tab/>
        <w:t>37.88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-64135</wp:posOffset>
            </wp:positionV>
            <wp:extent cx="60807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0807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400,900</w:t>
      </w:r>
    </w:p>
    <w:p>
      <w:pPr>
        <w:spacing w:after="0" w:line="20" w:lineRule="exact"/>
        <w:rPr>
          <w:sz w:val="20"/>
          <w:szCs w:val="20"/>
          <w:color w:val="auto"/>
        </w:rPr>
      </w:pPr>
      <w:r>
        <w:rPr>
          <w:sz w:val="20"/>
          <w:szCs w:val="20"/>
          <w:color w:val="auto"/>
        </w:rPr>
        <w:br w:type="column"/>
      </w:r>
    </w:p>
    <w:p>
      <w:pPr>
        <w:ind w:right="339" w:firstLine="103"/>
        <w:spacing w:after="0" w:line="246" w:lineRule="auto"/>
        <w:rPr>
          <w:sz w:val="20"/>
          <w:szCs w:val="20"/>
          <w:color w:val="auto"/>
        </w:rPr>
      </w:pPr>
      <w:r>
        <w:rPr>
          <w:rFonts w:ascii="Courier New" w:cs="Courier New" w:eastAsia="Courier New" w:hAnsi="Courier New"/>
          <w:sz w:val="17"/>
          <w:szCs w:val="17"/>
          <w:color w:val="auto"/>
        </w:rPr>
        <w:t>34,813,278 -------------- $34,813,278</w:t>
      </w:r>
    </w:p>
    <w:p>
      <w:pPr>
        <w:spacing w:after="0" w:line="200" w:lineRule="exact"/>
        <w:rPr>
          <w:sz w:val="20"/>
          <w:szCs w:val="20"/>
          <w:color w:val="auto"/>
        </w:rPr>
      </w:pPr>
    </w:p>
    <w:p>
      <w:pPr>
        <w:sectPr>
          <w:pgSz w:w="11900" w:h="16838" w:orient="portrait"/>
          <w:cols w:equalWidth="0" w:num="5">
            <w:col w:w="2380" w:space="620"/>
            <w:col w:w="1220" w:space="220"/>
            <w:col w:w="1340" w:space="500"/>
            <w:col w:w="1660" w:space="500"/>
            <w:col w:w="1779"/>
          </w:cols>
          <w:pgMar w:left="240" w:top="907" w:right="1440" w:bottom="1440" w:gutter="0" w:footer="0" w:header="0"/>
          <w:type w:val="continuous"/>
        </w:sect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268097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907" w:right="1440" w:bottom="1440" w:gutter="0" w:footer="0" w:header="0"/>
          <w:type w:val="continuous"/>
        </w:sectPr>
      </w:pPr>
    </w:p>
    <w:bookmarkStart w:id="53" w:name="page54"/>
    <w:bookmarkEnd w:id="53"/>
    <w:p>
      <w:pPr>
        <w:spacing w:after="0"/>
        <w:tabs>
          <w:tab w:leader="none" w:pos="112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SUBMISSION OF MATTTERS TO A VOTE OF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411924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119245" cy="8255"/>
                    </a:xfrm>
                    <a:prstGeom prst="rect">
                      <a:avLst/>
                    </a:prstGeom>
                    <a:noFill/>
                  </pic:spPr>
                </pic:pic>
              </a:graphicData>
            </a:graphic>
          </wp:anchor>
        </w:drawing>
      </w:r>
    </w:p>
    <w:p>
      <w:pPr>
        <w:spacing w:after="0" w:line="18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strike w:val="1"/>
        </w:rPr>
        <w:t>The Company's Annual Meeting of Stockholders was held on May 17, 2006 and in connection therewith, management solicited proxies pursuant to Regulation 14A under the Securities Exchange Act of 1934, as amended. An aggregate of 27,183,686 shares of the Company's common stock was outstanding and entitled to a vote at the meeting. At the meeting the following matters (not including ordinary procedural matters) were submitted to a vote of the holders of the common stock, with the results indicated below:</w:t>
      </w:r>
    </w:p>
    <w:p>
      <w:pPr>
        <w:spacing w:after="0" w:line="202" w:lineRule="exact"/>
        <w:rPr>
          <w:sz w:val="20"/>
          <w:szCs w:val="20"/>
          <w:color w:val="auto"/>
        </w:rPr>
      </w:pPr>
    </w:p>
    <w:p>
      <w:pPr>
        <w:ind w:right="2179" w:firstLine="6"/>
        <w:spacing w:after="0" w:line="246" w:lineRule="auto"/>
        <w:tabs>
          <w:tab w:leader="none" w:pos="309" w:val="left"/>
        </w:tabs>
        <w:numPr>
          <w:ilvl w:val="0"/>
          <w:numId w:val="10"/>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Election of directors to serve until the 2007 Annual Meeting. The following persons were elected. All were management's nominees for election, and all, except Mr. Schade, were serving as directors. There was no solicitation in opposition to such nominees. The tabulation of votes was as follows:</w:t>
      </w:r>
    </w:p>
    <w:p>
      <w:pPr>
        <w:spacing w:after="0" w:line="398"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2660" w:type="dxa"/>
            <w:vAlign w:val="bottom"/>
          </w:tcPr>
          <w:p>
            <w:pPr>
              <w:spacing w:after="0"/>
              <w:rPr>
                <w:sz w:val="20"/>
                <w:szCs w:val="20"/>
                <w:color w:val="auto"/>
              </w:rPr>
            </w:pPr>
            <w:r>
              <w:rPr>
                <w:rFonts w:ascii="Courier New" w:cs="Courier New" w:eastAsia="Courier New" w:hAnsi="Courier New"/>
                <w:sz w:val="17"/>
                <w:szCs w:val="17"/>
                <w:color w:val="auto"/>
              </w:rPr>
              <w:t>Nominee</w:t>
            </w:r>
          </w:p>
        </w:tc>
        <w:tc>
          <w:tcPr>
            <w:tcW w:w="1960" w:type="dxa"/>
            <w:vAlign w:val="bottom"/>
          </w:tcPr>
          <w:p>
            <w:pPr>
              <w:ind w:left="420"/>
              <w:spacing w:after="0"/>
              <w:rPr>
                <w:sz w:val="20"/>
                <w:szCs w:val="20"/>
                <w:color w:val="auto"/>
              </w:rPr>
            </w:pPr>
            <w:r>
              <w:rPr>
                <w:rFonts w:ascii="Courier New" w:cs="Courier New" w:eastAsia="Courier New" w:hAnsi="Courier New"/>
                <w:sz w:val="17"/>
                <w:szCs w:val="17"/>
                <w:color w:val="auto"/>
              </w:rPr>
              <w:t>For</w:t>
            </w:r>
          </w:p>
        </w:tc>
        <w:tc>
          <w:tcPr>
            <w:tcW w:w="1540" w:type="dxa"/>
            <w:vAlign w:val="bottom"/>
          </w:tcPr>
          <w:p>
            <w:pPr>
              <w:ind w:left="520"/>
              <w:spacing w:after="0"/>
              <w:rPr>
                <w:sz w:val="20"/>
                <w:szCs w:val="20"/>
                <w:color w:val="auto"/>
              </w:rPr>
            </w:pPr>
            <w:r>
              <w:rPr>
                <w:rFonts w:ascii="Courier New" w:cs="Courier New" w:eastAsia="Courier New" w:hAnsi="Courier New"/>
                <w:sz w:val="17"/>
                <w:szCs w:val="17"/>
                <w:color w:val="auto"/>
              </w:rPr>
              <w:t>Withheld</w:t>
            </w:r>
          </w:p>
        </w:tc>
      </w:tr>
      <w:tr>
        <w:trPr>
          <w:trHeight w:val="198"/>
        </w:trPr>
        <w:tc>
          <w:tcPr>
            <w:tcW w:w="26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ind w:left="520"/>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Keith Bradley</w:t>
            </w:r>
          </w:p>
        </w:tc>
        <w:tc>
          <w:tcPr>
            <w:tcW w:w="1960" w:type="dxa"/>
            <w:vAlign w:val="bottom"/>
          </w:tcPr>
          <w:p>
            <w:pPr>
              <w:ind w:left="420"/>
              <w:spacing w:after="0"/>
              <w:rPr>
                <w:sz w:val="20"/>
                <w:szCs w:val="20"/>
                <w:color w:val="auto"/>
              </w:rPr>
            </w:pPr>
            <w:r>
              <w:rPr>
                <w:rFonts w:ascii="Courier New" w:cs="Courier New" w:eastAsia="Courier New" w:hAnsi="Courier New"/>
                <w:sz w:val="17"/>
                <w:szCs w:val="17"/>
                <w:color w:val="auto"/>
              </w:rPr>
              <w:t>26,552,806</w:t>
            </w:r>
          </w:p>
        </w:tc>
        <w:tc>
          <w:tcPr>
            <w:tcW w:w="15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630,610</w:t>
            </w:r>
          </w:p>
        </w:tc>
      </w:tr>
      <w:tr>
        <w:trPr>
          <w:trHeight w:val="198"/>
        </w:trPr>
        <w:tc>
          <w:tcPr>
            <w:tcW w:w="2660" w:type="dxa"/>
            <w:vAlign w:val="bottom"/>
          </w:tcPr>
          <w:p>
            <w:pPr>
              <w:spacing w:after="0"/>
              <w:rPr>
                <w:sz w:val="20"/>
                <w:szCs w:val="20"/>
                <w:color w:val="auto"/>
              </w:rPr>
            </w:pPr>
            <w:r>
              <w:rPr>
                <w:rFonts w:ascii="Courier New" w:cs="Courier New" w:eastAsia="Courier New" w:hAnsi="Courier New"/>
                <w:sz w:val="17"/>
                <w:szCs w:val="17"/>
                <w:color w:val="auto"/>
              </w:rPr>
              <w:t>Richard E. Caruso</w:t>
            </w:r>
          </w:p>
        </w:tc>
        <w:tc>
          <w:tcPr>
            <w:tcW w:w="1960" w:type="dxa"/>
            <w:vAlign w:val="bottom"/>
          </w:tcPr>
          <w:p>
            <w:pPr>
              <w:ind w:left="420"/>
              <w:spacing w:after="0"/>
              <w:rPr>
                <w:sz w:val="20"/>
                <w:szCs w:val="20"/>
                <w:color w:val="auto"/>
              </w:rPr>
            </w:pPr>
            <w:r>
              <w:rPr>
                <w:rFonts w:ascii="Courier New" w:cs="Courier New" w:eastAsia="Courier New" w:hAnsi="Courier New"/>
                <w:sz w:val="17"/>
                <w:szCs w:val="17"/>
                <w:color w:val="auto"/>
              </w:rPr>
              <w:t>18,530,760</w:t>
            </w:r>
          </w:p>
        </w:tc>
        <w:tc>
          <w:tcPr>
            <w:tcW w:w="15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8,652,926</w:t>
            </w:r>
          </w:p>
        </w:tc>
      </w:tr>
      <w:tr>
        <w:trPr>
          <w:trHeight w:val="198"/>
        </w:trPr>
        <w:tc>
          <w:tcPr>
            <w:tcW w:w="2660" w:type="dxa"/>
            <w:vAlign w:val="bottom"/>
          </w:tcPr>
          <w:p>
            <w:pPr>
              <w:spacing w:after="0"/>
              <w:rPr>
                <w:sz w:val="20"/>
                <w:szCs w:val="20"/>
                <w:color w:val="auto"/>
              </w:rPr>
            </w:pPr>
            <w:r>
              <w:rPr>
                <w:rFonts w:ascii="Courier New" w:cs="Courier New" w:eastAsia="Courier New" w:hAnsi="Courier New"/>
                <w:sz w:val="17"/>
                <w:szCs w:val="17"/>
                <w:color w:val="auto"/>
              </w:rPr>
              <w:t>Stuart M. Essig</w:t>
            </w:r>
          </w:p>
        </w:tc>
        <w:tc>
          <w:tcPr>
            <w:tcW w:w="1960" w:type="dxa"/>
            <w:vAlign w:val="bottom"/>
          </w:tcPr>
          <w:p>
            <w:pPr>
              <w:ind w:left="420"/>
              <w:spacing w:after="0"/>
              <w:rPr>
                <w:sz w:val="20"/>
                <w:szCs w:val="20"/>
                <w:color w:val="auto"/>
              </w:rPr>
            </w:pPr>
            <w:r>
              <w:rPr>
                <w:rFonts w:ascii="Courier New" w:cs="Courier New" w:eastAsia="Courier New" w:hAnsi="Courier New"/>
                <w:sz w:val="17"/>
                <w:szCs w:val="17"/>
                <w:color w:val="auto"/>
              </w:rPr>
              <w:t>26,961,041</w:t>
            </w:r>
          </w:p>
        </w:tc>
        <w:tc>
          <w:tcPr>
            <w:tcW w:w="15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221,645</w:t>
            </w:r>
          </w:p>
        </w:tc>
      </w:tr>
      <w:tr>
        <w:trPr>
          <w:trHeight w:val="198"/>
        </w:trPr>
        <w:tc>
          <w:tcPr>
            <w:tcW w:w="2660" w:type="dxa"/>
            <w:vAlign w:val="bottom"/>
          </w:tcPr>
          <w:p>
            <w:pPr>
              <w:spacing w:after="0"/>
              <w:rPr>
                <w:sz w:val="20"/>
                <w:szCs w:val="20"/>
                <w:color w:val="auto"/>
              </w:rPr>
            </w:pPr>
            <w:r>
              <w:rPr>
                <w:rFonts w:ascii="Courier New" w:cs="Courier New" w:eastAsia="Courier New" w:hAnsi="Courier New"/>
                <w:sz w:val="17"/>
                <w:szCs w:val="17"/>
                <w:color w:val="auto"/>
              </w:rPr>
              <w:t>Christian S. Schade</w:t>
            </w:r>
          </w:p>
        </w:tc>
        <w:tc>
          <w:tcPr>
            <w:tcW w:w="1960" w:type="dxa"/>
            <w:vAlign w:val="bottom"/>
          </w:tcPr>
          <w:p>
            <w:pPr>
              <w:ind w:left="420"/>
              <w:spacing w:after="0"/>
              <w:rPr>
                <w:sz w:val="20"/>
                <w:szCs w:val="20"/>
                <w:color w:val="auto"/>
              </w:rPr>
            </w:pPr>
            <w:r>
              <w:rPr>
                <w:rFonts w:ascii="Courier New" w:cs="Courier New" w:eastAsia="Courier New" w:hAnsi="Courier New"/>
                <w:sz w:val="17"/>
                <w:szCs w:val="17"/>
                <w:color w:val="auto"/>
              </w:rPr>
              <w:t>27,015,524</w:t>
            </w:r>
          </w:p>
        </w:tc>
        <w:tc>
          <w:tcPr>
            <w:tcW w:w="15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168,162</w:t>
            </w:r>
          </w:p>
        </w:tc>
      </w:tr>
      <w:tr>
        <w:trPr>
          <w:trHeight w:val="198"/>
        </w:trPr>
        <w:tc>
          <w:tcPr>
            <w:tcW w:w="2660" w:type="dxa"/>
            <w:vAlign w:val="bottom"/>
          </w:tcPr>
          <w:p>
            <w:pPr>
              <w:spacing w:after="0"/>
              <w:rPr>
                <w:sz w:val="20"/>
                <w:szCs w:val="20"/>
                <w:color w:val="auto"/>
              </w:rPr>
            </w:pPr>
            <w:r>
              <w:rPr>
                <w:rFonts w:ascii="Courier New" w:cs="Courier New" w:eastAsia="Courier New" w:hAnsi="Courier New"/>
                <w:sz w:val="17"/>
                <w:szCs w:val="17"/>
                <w:color w:val="auto"/>
              </w:rPr>
              <w:t>James M. Sullivan</w:t>
            </w:r>
          </w:p>
        </w:tc>
        <w:tc>
          <w:tcPr>
            <w:tcW w:w="1960" w:type="dxa"/>
            <w:vAlign w:val="bottom"/>
          </w:tcPr>
          <w:p>
            <w:pPr>
              <w:ind w:left="420"/>
              <w:spacing w:after="0"/>
              <w:rPr>
                <w:sz w:val="20"/>
                <w:szCs w:val="20"/>
                <w:color w:val="auto"/>
              </w:rPr>
            </w:pPr>
            <w:r>
              <w:rPr>
                <w:rFonts w:ascii="Courier New" w:cs="Courier New" w:eastAsia="Courier New" w:hAnsi="Courier New"/>
                <w:sz w:val="17"/>
                <w:szCs w:val="17"/>
                <w:color w:val="auto"/>
              </w:rPr>
              <w:t>26,973,882</w:t>
            </w:r>
          </w:p>
        </w:tc>
        <w:tc>
          <w:tcPr>
            <w:tcW w:w="15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209,804</w:t>
            </w:r>
          </w:p>
        </w:tc>
      </w:tr>
      <w:tr>
        <w:trPr>
          <w:trHeight w:val="198"/>
        </w:trPr>
        <w:tc>
          <w:tcPr>
            <w:tcW w:w="2660" w:type="dxa"/>
            <w:vAlign w:val="bottom"/>
          </w:tcPr>
          <w:p>
            <w:pPr>
              <w:spacing w:after="0"/>
              <w:rPr>
                <w:sz w:val="20"/>
                <w:szCs w:val="20"/>
                <w:color w:val="auto"/>
              </w:rPr>
            </w:pPr>
            <w:r>
              <w:rPr>
                <w:rFonts w:ascii="Courier New" w:cs="Courier New" w:eastAsia="Courier New" w:hAnsi="Courier New"/>
                <w:sz w:val="17"/>
                <w:szCs w:val="17"/>
                <w:color w:val="auto"/>
              </w:rPr>
              <w:t>Anne M. VanLent</w:t>
            </w:r>
          </w:p>
        </w:tc>
        <w:tc>
          <w:tcPr>
            <w:tcW w:w="1960" w:type="dxa"/>
            <w:vAlign w:val="bottom"/>
          </w:tcPr>
          <w:p>
            <w:pPr>
              <w:ind w:left="420"/>
              <w:spacing w:after="0"/>
              <w:rPr>
                <w:sz w:val="20"/>
                <w:szCs w:val="20"/>
                <w:color w:val="auto"/>
              </w:rPr>
            </w:pPr>
            <w:r>
              <w:rPr>
                <w:rFonts w:ascii="Courier New" w:cs="Courier New" w:eastAsia="Courier New" w:hAnsi="Courier New"/>
                <w:sz w:val="17"/>
                <w:szCs w:val="17"/>
                <w:color w:val="auto"/>
              </w:rPr>
              <w:t>26,605,034</w:t>
            </w:r>
          </w:p>
        </w:tc>
        <w:tc>
          <w:tcPr>
            <w:tcW w:w="15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578,652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-1070610</wp:posOffset>
            </wp:positionV>
            <wp:extent cx="438086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3808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451167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5116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346519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44462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4462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444627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4462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-441960</wp:posOffset>
            </wp:positionV>
            <wp:extent cx="44462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4462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444627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4462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44462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4462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444627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446270" cy="8255"/>
                    </a:xfrm>
                    <a:prstGeom prst="rect">
                      <a:avLst/>
                    </a:prstGeom>
                    <a:noFill/>
                  </pic:spPr>
                </pic:pic>
              </a:graphicData>
            </a:graphic>
          </wp:anchor>
        </w:drawing>
      </w:r>
    </w:p>
    <w:p>
      <w:pPr>
        <w:spacing w:after="0" w:line="183" w:lineRule="exact"/>
        <w:rPr>
          <w:sz w:val="20"/>
          <w:szCs w:val="20"/>
          <w:color w:val="auto"/>
        </w:rPr>
      </w:pPr>
    </w:p>
    <w:p>
      <w:pPr>
        <w:ind w:right="2079" w:firstLine="6"/>
        <w:spacing w:after="0" w:line="246" w:lineRule="auto"/>
        <w:tabs>
          <w:tab w:leader="none" w:pos="309" w:val="left"/>
        </w:tabs>
        <w:numPr>
          <w:ilvl w:val="0"/>
          <w:numId w:val="11"/>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Ratification of independent registered public accounting firm. The appointment of PricewaterhouseCoopers LLP as the Company's independent registered public accounting firm for the current fiscal year was ratified. The tabulation of votes was as follows:</w:t>
      </w:r>
    </w:p>
    <w:p>
      <w:pPr>
        <w:spacing w:after="0" w:line="398"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1440" w:type="dxa"/>
            <w:vAlign w:val="bottom"/>
          </w:tcPr>
          <w:p>
            <w:pPr>
              <w:spacing w:after="0"/>
              <w:rPr>
                <w:sz w:val="20"/>
                <w:szCs w:val="20"/>
                <w:color w:val="auto"/>
              </w:rPr>
            </w:pPr>
            <w:r>
              <w:rPr>
                <w:rFonts w:ascii="Courier New" w:cs="Courier New" w:eastAsia="Courier New" w:hAnsi="Courier New"/>
                <w:sz w:val="17"/>
                <w:szCs w:val="17"/>
                <w:color w:val="auto"/>
              </w:rPr>
              <w:t>For</w:t>
            </w:r>
          </w:p>
        </w:tc>
        <w:tc>
          <w:tcPr>
            <w:tcW w:w="1480" w:type="dxa"/>
            <w:vAlign w:val="bottom"/>
          </w:tcPr>
          <w:p>
            <w:pPr>
              <w:ind w:left="400"/>
              <w:spacing w:after="0"/>
              <w:rPr>
                <w:sz w:val="20"/>
                <w:szCs w:val="20"/>
                <w:color w:val="auto"/>
              </w:rPr>
            </w:pPr>
            <w:r>
              <w:rPr>
                <w:rFonts w:ascii="Courier New" w:cs="Courier New" w:eastAsia="Courier New" w:hAnsi="Courier New"/>
                <w:sz w:val="17"/>
                <w:szCs w:val="17"/>
                <w:color w:val="auto"/>
              </w:rPr>
              <w:t>Against</w:t>
            </w:r>
          </w:p>
        </w:tc>
        <w:tc>
          <w:tcPr>
            <w:tcW w:w="1920" w:type="dxa"/>
            <w:vAlign w:val="bottom"/>
          </w:tcPr>
          <w:p>
            <w:pPr>
              <w:ind w:left="680"/>
              <w:spacing w:after="0"/>
              <w:rPr>
                <w:sz w:val="20"/>
                <w:szCs w:val="20"/>
                <w:color w:val="auto"/>
              </w:rPr>
            </w:pPr>
            <w:r>
              <w:rPr>
                <w:rFonts w:ascii="Courier New" w:cs="Courier New" w:eastAsia="Courier New" w:hAnsi="Courier New"/>
                <w:sz w:val="17"/>
                <w:szCs w:val="17"/>
                <w:color w:val="auto"/>
              </w:rPr>
              <w:t>Abstentions</w:t>
            </w:r>
          </w:p>
        </w:tc>
      </w:tr>
      <w:tr>
        <w:trPr>
          <w:trHeight w:val="198"/>
        </w:trPr>
        <w:tc>
          <w:tcPr>
            <w:tcW w:w="14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1920" w:type="dxa"/>
            <w:vAlign w:val="bottom"/>
          </w:tcPr>
          <w:p>
            <w:pPr>
              <w:ind w:left="680"/>
              <w:spacing w:after="0"/>
              <w:rPr>
                <w:sz w:val="20"/>
                <w:szCs w:val="20"/>
                <w:color w:val="auto"/>
              </w:rPr>
            </w:pPr>
            <w:r>
              <w:rPr>
                <w:rFonts w:ascii="Courier New" w:cs="Courier New" w:eastAsia="Courier New" w:hAnsi="Courier New"/>
                <w:sz w:val="17"/>
                <w:szCs w:val="17"/>
                <w:color w:val="auto"/>
                <w:w w:val="99"/>
              </w:rPr>
              <w:t>------------</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26,718,535</w:t>
            </w:r>
          </w:p>
        </w:tc>
        <w:tc>
          <w:tcPr>
            <w:tcW w:w="1480" w:type="dxa"/>
            <w:vAlign w:val="bottom"/>
          </w:tcPr>
          <w:p>
            <w:pPr>
              <w:ind w:left="400"/>
              <w:spacing w:after="0"/>
              <w:rPr>
                <w:sz w:val="20"/>
                <w:szCs w:val="20"/>
                <w:color w:val="auto"/>
              </w:rPr>
            </w:pPr>
            <w:r>
              <w:rPr>
                <w:rFonts w:ascii="Courier New" w:cs="Courier New" w:eastAsia="Courier New" w:hAnsi="Courier New"/>
                <w:sz w:val="17"/>
                <w:szCs w:val="17"/>
                <w:color w:val="auto"/>
              </w:rPr>
              <w:t>162,852</w:t>
            </w:r>
          </w:p>
        </w:tc>
        <w:tc>
          <w:tcPr>
            <w:tcW w:w="1920" w:type="dxa"/>
            <w:vAlign w:val="bottom"/>
          </w:tcPr>
          <w:p>
            <w:pPr>
              <w:ind w:left="680"/>
              <w:spacing w:after="0"/>
              <w:rPr>
                <w:sz w:val="20"/>
                <w:szCs w:val="20"/>
                <w:color w:val="auto"/>
              </w:rPr>
            </w:pPr>
            <w:r>
              <w:rPr>
                <w:rFonts w:ascii="Courier New" w:cs="Courier New" w:eastAsia="Courier New" w:hAnsi="Courier New"/>
                <w:sz w:val="17"/>
                <w:szCs w:val="17"/>
                <w:color w:val="auto"/>
              </w:rPr>
              <w:t>2,293</w:t>
            </w:r>
          </w:p>
        </w:tc>
      </w:tr>
      <w:tr>
        <w:trPr>
          <w:trHeight w:val="792"/>
        </w:trPr>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20" w:type="dxa"/>
            <w:vAlign w:val="bottom"/>
          </w:tcPr>
          <w:p>
            <w:pPr>
              <w:jc w:val="right"/>
              <w:ind w:right="1474"/>
              <w:spacing w:after="0"/>
              <w:rPr>
                <w:sz w:val="20"/>
                <w:szCs w:val="20"/>
                <w:color w:val="auto"/>
              </w:rPr>
            </w:pPr>
            <w:r>
              <w:rPr>
                <w:rFonts w:ascii="Courier New" w:cs="Courier New" w:eastAsia="Courier New" w:hAnsi="Courier New"/>
                <w:sz w:val="17"/>
                <w:szCs w:val="17"/>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-944880</wp:posOffset>
            </wp:positionV>
            <wp:extent cx="359600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5960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-819150</wp:posOffset>
            </wp:positionV>
            <wp:extent cx="366141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6614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248412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4841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320357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2035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26809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907" w:right="1440" w:bottom="1440" w:gutter="0" w:footer="0" w:header="0"/>
        </w:sectPr>
      </w:pPr>
    </w:p>
    <w:bookmarkStart w:id="54" w:name="page55"/>
    <w:bookmarkEnd w:id="54"/>
    <w:p>
      <w:pPr>
        <w:spacing w:after="0"/>
        <w:tabs>
          <w:tab w:leader="none" w:pos="920" w:val="left"/>
        </w:tabs>
        <w:rPr>
          <w:sz w:val="20"/>
          <w:szCs w:val="20"/>
          <w:color w:val="auto"/>
        </w:rPr>
      </w:pPr>
      <w:r>
        <w:rPr>
          <w:rFonts w:ascii="Courier New" w:cs="Courier New" w:eastAsia="Courier New" w:hAnsi="Courier New"/>
          <w:sz w:val="17"/>
          <w:szCs w:val="17"/>
          <w:color w:val="auto"/>
          <w:strike w:val="1"/>
        </w:rPr>
        <w:t>ITEM 6.</w:t>
        <w:tab/>
        <w:t>EXHIBITS</w:t>
      </w:r>
    </w:p>
    <w:p>
      <w:pPr>
        <w:spacing w:after="0" w:line="203" w:lineRule="exact"/>
        <w:rPr>
          <w:sz w:val="20"/>
          <w:szCs w:val="20"/>
          <w:color w:val="auto"/>
        </w:rPr>
      </w:pPr>
    </w:p>
    <w:p>
      <w:pPr>
        <w:ind w:left="940" w:right="2079" w:hanging="926"/>
        <w:spacing w:after="0" w:line="246" w:lineRule="auto"/>
        <w:tabs>
          <w:tab w:leader="none" w:pos="920" w:val="left"/>
        </w:tabs>
        <w:rPr>
          <w:sz w:val="20"/>
          <w:szCs w:val="20"/>
          <w:color w:val="auto"/>
        </w:rPr>
      </w:pPr>
      <w:r>
        <w:rPr>
          <w:rFonts w:ascii="Courier New" w:cs="Courier New" w:eastAsia="Courier New" w:hAnsi="Courier New"/>
          <w:sz w:val="17"/>
          <w:szCs w:val="17"/>
          <w:color w:val="auto"/>
        </w:rPr>
        <w:t>10.1</w:t>
      </w:r>
      <w:r>
        <w:rPr>
          <w:sz w:val="20"/>
          <w:szCs w:val="20"/>
          <w:color w:val="auto"/>
        </w:rPr>
        <w:tab/>
      </w:r>
      <w:r>
        <w:rPr>
          <w:rFonts w:ascii="Courier New" w:cs="Courier New" w:eastAsia="Courier New" w:hAnsi="Courier New"/>
          <w:sz w:val="17"/>
          <w:szCs w:val="17"/>
          <w:color w:val="auto"/>
        </w:rPr>
        <w:t>Severance Agreement, dated as of March 1, 2006, by and between Integra LifeSciences Holdings Corporation and Deborah A. Leonetti. (Incorporated by reference to Exhibit 10.1 to the Company's Current Report on Form 8-K filed on April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-443230</wp:posOffset>
            </wp:positionV>
            <wp:extent cx="51650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-317500</wp:posOffset>
            </wp:positionV>
            <wp:extent cx="438086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3808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-191770</wp:posOffset>
            </wp:positionV>
            <wp:extent cx="496887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-66040</wp:posOffset>
            </wp:positionV>
            <wp:extent cx="346519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65195" cy="8255"/>
                    </a:xfrm>
                    <a:prstGeom prst="rect">
                      <a:avLst/>
                    </a:prstGeom>
                    <a:noFill/>
                  </pic:spPr>
                </pic:pic>
              </a:graphicData>
            </a:graphic>
          </wp:anchor>
        </w:drawing>
      </w:r>
    </w:p>
    <w:p>
      <w:pPr>
        <w:spacing w:after="0" w:line="180" w:lineRule="exact"/>
        <w:rPr>
          <w:sz w:val="20"/>
          <w:szCs w:val="20"/>
          <w:color w:val="auto"/>
        </w:rPr>
      </w:pPr>
    </w:p>
    <w:p>
      <w:pPr>
        <w:ind w:left="940" w:right="2079" w:hanging="926"/>
        <w:spacing w:after="0" w:line="246" w:lineRule="auto"/>
        <w:tabs>
          <w:tab w:leader="none" w:pos="920" w:val="left"/>
        </w:tabs>
        <w:rPr>
          <w:sz w:val="20"/>
          <w:szCs w:val="20"/>
          <w:color w:val="auto"/>
        </w:rPr>
      </w:pPr>
      <w:r>
        <w:rPr>
          <w:rFonts w:ascii="Courier New" w:cs="Courier New" w:eastAsia="Courier New" w:hAnsi="Courier New"/>
          <w:sz w:val="17"/>
          <w:szCs w:val="17"/>
          <w:color w:val="auto"/>
        </w:rPr>
        <w:t>10.2</w:t>
      </w:r>
      <w:r>
        <w:rPr>
          <w:sz w:val="20"/>
          <w:szCs w:val="20"/>
          <w:color w:val="auto"/>
        </w:rPr>
        <w:tab/>
      </w:r>
      <w:r>
        <w:rPr>
          <w:rFonts w:ascii="Courier New" w:cs="Courier New" w:eastAsia="Courier New" w:hAnsi="Courier New"/>
          <w:sz w:val="17"/>
          <w:szCs w:val="17"/>
          <w:color w:val="auto"/>
        </w:rPr>
        <w:t>Severance Agreement, dated as of March 1, 2006, by and between Integra LifeSciences Holdings Corporation and Robert D. Paltridge. (Incorporated by reference to Exhibit 10.2 to the Company's Current Report on Form 8-K filed on April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-443230</wp:posOffset>
            </wp:positionV>
            <wp:extent cx="51650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-317500</wp:posOffset>
            </wp:positionV>
            <wp:extent cx="438086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3808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-191770</wp:posOffset>
            </wp:positionV>
            <wp:extent cx="496887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-66040</wp:posOffset>
            </wp:positionV>
            <wp:extent cx="346519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465195" cy="8255"/>
                    </a:xfrm>
                    <a:prstGeom prst="rect">
                      <a:avLst/>
                    </a:prstGeom>
                    <a:noFill/>
                  </pic:spPr>
                </pic:pic>
              </a:graphicData>
            </a:graphic>
          </wp:anchor>
        </w:drawing>
      </w:r>
    </w:p>
    <w:p>
      <w:pPr>
        <w:spacing w:after="0" w:line="180" w:lineRule="exact"/>
        <w:rPr>
          <w:sz w:val="20"/>
          <w:szCs w:val="20"/>
          <w:color w:val="auto"/>
        </w:rPr>
      </w:pPr>
    </w:p>
    <w:p>
      <w:pPr>
        <w:ind w:left="940" w:right="2179" w:hanging="926"/>
        <w:spacing w:after="0" w:line="246" w:lineRule="auto"/>
        <w:tabs>
          <w:tab w:leader="none" w:pos="920" w:val="left"/>
        </w:tabs>
        <w:rPr>
          <w:sz w:val="20"/>
          <w:szCs w:val="20"/>
          <w:color w:val="auto"/>
        </w:rPr>
      </w:pPr>
      <w:r>
        <w:rPr>
          <w:rFonts w:ascii="Courier New" w:cs="Courier New" w:eastAsia="Courier New" w:hAnsi="Courier New"/>
          <w:sz w:val="17"/>
          <w:szCs w:val="17"/>
          <w:color w:val="auto"/>
        </w:rPr>
        <w:t>10.3</w:t>
      </w:r>
      <w:r>
        <w:rPr>
          <w:sz w:val="20"/>
          <w:szCs w:val="20"/>
          <w:color w:val="auto"/>
        </w:rPr>
        <w:tab/>
      </w:r>
      <w:r>
        <w:rPr>
          <w:rFonts w:ascii="Courier New" w:cs="Courier New" w:eastAsia="Courier New" w:hAnsi="Courier New"/>
          <w:sz w:val="17"/>
          <w:szCs w:val="17"/>
          <w:color w:val="auto"/>
        </w:rPr>
        <w:t>Stock Purchase Agreement, dated as of April 19, 2006, by and between ASP/Miltex LLC and Integra LifeSciences Corporation (Incorporated by reference to Exhibit 10.1 to the Company's Current Report on Form 8-K filed on April 25,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-443230</wp:posOffset>
            </wp:positionV>
            <wp:extent cx="50342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-317500</wp:posOffset>
            </wp:positionV>
            <wp:extent cx="50342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-191770</wp:posOffset>
            </wp:positionV>
            <wp:extent cx="509968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-66040</wp:posOffset>
            </wp:positionV>
            <wp:extent cx="215773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180" w:lineRule="exact"/>
        <w:rPr>
          <w:sz w:val="20"/>
          <w:szCs w:val="20"/>
          <w:color w:val="auto"/>
        </w:rPr>
      </w:pPr>
    </w:p>
    <w:p>
      <w:pPr>
        <w:ind w:left="940" w:right="1979" w:hanging="926"/>
        <w:spacing w:after="0" w:line="246" w:lineRule="auto"/>
        <w:tabs>
          <w:tab w:leader="none" w:pos="920" w:val="left"/>
        </w:tabs>
        <w:rPr>
          <w:sz w:val="20"/>
          <w:szCs w:val="20"/>
          <w:color w:val="auto"/>
        </w:rPr>
      </w:pPr>
      <w:r>
        <w:rPr>
          <w:rFonts w:ascii="Courier New" w:cs="Courier New" w:eastAsia="Courier New" w:hAnsi="Courier New"/>
          <w:sz w:val="17"/>
          <w:szCs w:val="17"/>
          <w:color w:val="auto"/>
        </w:rPr>
        <w:t>10.4</w:t>
      </w:r>
      <w:r>
        <w:rPr>
          <w:sz w:val="20"/>
          <w:szCs w:val="20"/>
          <w:color w:val="auto"/>
        </w:rPr>
        <w:tab/>
      </w:r>
      <w:r>
        <w:rPr>
          <w:rFonts w:ascii="Courier New" w:cs="Courier New" w:eastAsia="Courier New" w:hAnsi="Courier New"/>
          <w:sz w:val="17"/>
          <w:szCs w:val="17"/>
          <w:color w:val="auto"/>
        </w:rPr>
        <w:t>Agreement and Plan of Merger, dated as of June 30, 2006, by and between Integra LifeSciences Corporation, Integra California, Inc., Kinetikos Medical, Inc., Telegraph Hill Partners Management LLC, as Shareholders Representative, and the Shareholders party thereto (Incorporated by reference to Exhibit 10.1 to the Company's Current Report on Form 8-K filed on July 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-694055</wp:posOffset>
            </wp:positionV>
            <wp:extent cx="523049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-568325</wp:posOffset>
            </wp:positionV>
            <wp:extent cx="509968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-442595</wp:posOffset>
            </wp:positionV>
            <wp:extent cx="51650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-316865</wp:posOffset>
            </wp:positionV>
            <wp:extent cx="496887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-191135</wp:posOffset>
            </wp:positionV>
            <wp:extent cx="509968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-65405</wp:posOffset>
            </wp:positionV>
            <wp:extent cx="202692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026920" cy="8255"/>
                    </a:xfrm>
                    <a:prstGeom prst="rect">
                      <a:avLst/>
                    </a:prstGeom>
                    <a:noFill/>
                  </pic:spPr>
                </pic:pic>
              </a:graphicData>
            </a:graphic>
          </wp:anchor>
        </w:drawing>
      </w:r>
    </w:p>
    <w:p>
      <w:pPr>
        <w:spacing w:after="0" w:line="182" w:lineRule="exact"/>
        <w:rPr>
          <w:sz w:val="20"/>
          <w:szCs w:val="20"/>
          <w:color w:val="auto"/>
        </w:rPr>
      </w:pPr>
    </w:p>
    <w:p>
      <w:pPr>
        <w:ind w:left="940" w:right="1979" w:hanging="926"/>
        <w:spacing w:after="0" w:line="247" w:lineRule="auto"/>
        <w:tabs>
          <w:tab w:leader="none" w:pos="920" w:val="left"/>
        </w:tabs>
        <w:rPr>
          <w:sz w:val="20"/>
          <w:szCs w:val="20"/>
          <w:color w:val="auto"/>
        </w:rPr>
      </w:pPr>
      <w:r>
        <w:rPr>
          <w:rFonts w:ascii="Courier New" w:cs="Courier New" w:eastAsia="Courier New" w:hAnsi="Courier New"/>
          <w:sz w:val="17"/>
          <w:szCs w:val="17"/>
          <w:color w:val="auto"/>
        </w:rPr>
        <w:t>31.1</w:t>
      </w:r>
      <w:r>
        <w:rPr>
          <w:sz w:val="20"/>
          <w:szCs w:val="20"/>
          <w:color w:val="auto"/>
        </w:rPr>
        <w:tab/>
      </w:r>
      <w:r>
        <w:rPr>
          <w:rFonts w:ascii="Courier New" w:cs="Courier New" w:eastAsia="Courier New" w:hAnsi="Courier New"/>
          <w:sz w:val="17"/>
          <w:szCs w:val="17"/>
          <w:color w:val="auto"/>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523049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-67945</wp:posOffset>
            </wp:positionV>
            <wp:extent cx="25495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178" w:lineRule="exact"/>
        <w:rPr>
          <w:sz w:val="20"/>
          <w:szCs w:val="20"/>
          <w:color w:val="auto"/>
        </w:rPr>
      </w:pPr>
    </w:p>
    <w:p>
      <w:pPr>
        <w:ind w:left="940" w:right="1979" w:hanging="926"/>
        <w:spacing w:after="0" w:line="247" w:lineRule="auto"/>
        <w:tabs>
          <w:tab w:leader="none" w:pos="920" w:val="left"/>
        </w:tabs>
        <w:rPr>
          <w:sz w:val="20"/>
          <w:szCs w:val="20"/>
          <w:color w:val="auto"/>
        </w:rPr>
      </w:pPr>
      <w:r>
        <w:rPr>
          <w:rFonts w:ascii="Courier New" w:cs="Courier New" w:eastAsia="Courier New" w:hAnsi="Courier New"/>
          <w:sz w:val="17"/>
          <w:szCs w:val="17"/>
          <w:color w:val="auto"/>
        </w:rPr>
        <w:t>31.2</w:t>
      </w:r>
      <w:r>
        <w:rPr>
          <w:sz w:val="20"/>
          <w:szCs w:val="20"/>
          <w:color w:val="auto"/>
        </w:rPr>
        <w:tab/>
      </w:r>
      <w:r>
        <w:rPr>
          <w:rFonts w:ascii="Courier New" w:cs="Courier New" w:eastAsia="Courier New" w:hAnsi="Courier New"/>
          <w:sz w:val="17"/>
          <w:szCs w:val="17"/>
          <w:color w:val="auto"/>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523049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-67945</wp:posOffset>
            </wp:positionV>
            <wp:extent cx="254952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178" w:lineRule="exact"/>
        <w:rPr>
          <w:sz w:val="20"/>
          <w:szCs w:val="20"/>
          <w:color w:val="auto"/>
        </w:rPr>
      </w:pPr>
    </w:p>
    <w:p>
      <w:pPr>
        <w:ind w:left="940" w:right="1979" w:hanging="926"/>
        <w:spacing w:after="0" w:line="247" w:lineRule="auto"/>
        <w:tabs>
          <w:tab w:leader="none" w:pos="920" w:val="left"/>
        </w:tabs>
        <w:rPr>
          <w:sz w:val="20"/>
          <w:szCs w:val="20"/>
          <w:color w:val="auto"/>
        </w:rPr>
      </w:pPr>
      <w:r>
        <w:rPr>
          <w:rFonts w:ascii="Courier New" w:cs="Courier New" w:eastAsia="Courier New" w:hAnsi="Courier New"/>
          <w:sz w:val="17"/>
          <w:szCs w:val="17"/>
          <w:color w:val="auto"/>
        </w:rPr>
        <w:t>32.1</w:t>
      </w:r>
      <w:r>
        <w:rPr>
          <w:sz w:val="20"/>
          <w:szCs w:val="20"/>
          <w:color w:val="auto"/>
        </w:rPr>
        <w:tab/>
      </w:r>
      <w:r>
        <w:rPr>
          <w:rFonts w:ascii="Courier New" w:cs="Courier New" w:eastAsia="Courier New" w:hAnsi="Courier New"/>
          <w:sz w:val="17"/>
          <w:szCs w:val="17"/>
          <w:color w:val="auto"/>
        </w:rPr>
        <w:t>Certification of Principal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523049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-67945</wp:posOffset>
            </wp:positionV>
            <wp:extent cx="254952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178" w:lineRule="exact"/>
        <w:rPr>
          <w:sz w:val="20"/>
          <w:szCs w:val="20"/>
          <w:color w:val="auto"/>
        </w:rPr>
      </w:pPr>
    </w:p>
    <w:p>
      <w:pPr>
        <w:ind w:left="940" w:right="1979" w:hanging="926"/>
        <w:spacing w:after="0" w:line="247" w:lineRule="auto"/>
        <w:tabs>
          <w:tab w:leader="none" w:pos="920" w:val="left"/>
        </w:tabs>
        <w:rPr>
          <w:sz w:val="20"/>
          <w:szCs w:val="20"/>
          <w:color w:val="auto"/>
        </w:rPr>
      </w:pPr>
      <w:r>
        <w:rPr>
          <w:rFonts w:ascii="Courier New" w:cs="Courier New" w:eastAsia="Courier New" w:hAnsi="Courier New"/>
          <w:sz w:val="17"/>
          <w:szCs w:val="17"/>
          <w:color w:val="auto"/>
        </w:rPr>
        <w:t>32.2</w:t>
      </w:r>
      <w:r>
        <w:rPr>
          <w:sz w:val="20"/>
          <w:szCs w:val="20"/>
          <w:color w:val="auto"/>
        </w:rPr>
        <w:tab/>
      </w:r>
      <w:r>
        <w:rPr>
          <w:rFonts w:ascii="Courier New" w:cs="Courier New" w:eastAsia="Courier New" w:hAnsi="Courier New"/>
          <w:sz w:val="17"/>
          <w:szCs w:val="17"/>
          <w:color w:val="auto"/>
        </w:rPr>
        <w:t>Certification of Principal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523049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-67945</wp:posOffset>
            </wp:positionV>
            <wp:extent cx="254952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709" w:right="1440" w:bottom="1440" w:gutter="0" w:footer="0" w:header="0"/>
        </w:sectPr>
      </w:pPr>
    </w:p>
    <w:bookmarkStart w:id="55" w:name="page56"/>
    <w:bookmarkEnd w:id="55"/>
    <w:p>
      <w:pPr>
        <w:jc w:val="center"/>
        <w:ind w:right="119"/>
        <w:spacing w:after="0"/>
        <w:rPr>
          <w:sz w:val="20"/>
          <w:szCs w:val="20"/>
          <w:color w:val="auto"/>
        </w:rPr>
      </w:pPr>
      <w:r>
        <w:rPr>
          <w:rFonts w:ascii="Courier New" w:cs="Courier New" w:eastAsia="Courier New" w:hAnsi="Courier New"/>
          <w:sz w:val="17"/>
          <w:szCs w:val="17"/>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53060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530600" cy="8255"/>
                    </a:xfrm>
                    <a:prstGeom prst="rect">
                      <a:avLst/>
                    </a:prstGeom>
                    <a:noFill/>
                  </pic:spPr>
                </pic:pic>
              </a:graphicData>
            </a:graphic>
          </wp:anchor>
        </w:drawing>
      </w:r>
    </w:p>
    <w:p>
      <w:pPr>
        <w:spacing w:after="0" w:line="183" w:lineRule="exact"/>
        <w:rPr>
          <w:sz w:val="20"/>
          <w:szCs w:val="20"/>
          <w:color w:val="auto"/>
        </w:rPr>
      </w:pPr>
    </w:p>
    <w:p>
      <w:pPr>
        <w:jc w:val="both"/>
        <w:ind w:right="2799"/>
        <w:spacing w:after="0" w:line="246" w:lineRule="auto"/>
        <w:rPr>
          <w:sz w:val="20"/>
          <w:szCs w:val="20"/>
          <w:color w:val="auto"/>
        </w:rPr>
      </w:pPr>
      <w:r>
        <w:rPr>
          <w:rFonts w:ascii="Courier New" w:cs="Courier New" w:eastAsia="Courier New" w:hAnsi="Courier New"/>
          <w:sz w:val="17"/>
          <w:szCs w:val="17"/>
          <w:color w:val="auto"/>
          <w:strike w:val="1"/>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457644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576445" cy="8255"/>
                    </a:xfrm>
                    <a:prstGeom prst="rect">
                      <a:avLst/>
                    </a:prstGeom>
                    <a:noFill/>
                  </pic:spPr>
                </pic:pic>
              </a:graphicData>
            </a:graphic>
          </wp:anchor>
        </w:drawing>
      </w:r>
    </w:p>
    <w:p>
      <w:pPr>
        <w:sectPr>
          <w:pgSz w:w="11900" w:h="16838" w:orient="portrait"/>
          <w:cols w:equalWidth="0" w:num="1">
            <w:col w:w="10219"/>
          </w:cols>
          <w:pgMar w:left="240" w:top="1105"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-64135</wp:posOffset>
            </wp:positionV>
            <wp:extent cx="32689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26898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60960</wp:posOffset>
            </wp:positionV>
            <wp:extent cx="320357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20357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186690</wp:posOffset>
            </wp:positionV>
            <wp:extent cx="29419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941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 Stuart M. Essig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Stuart M. Essig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-64135</wp:posOffset>
            </wp:positionV>
            <wp:extent cx="438086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380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20" w:space="200"/>
            <w:col w:w="1660" w:space="720"/>
            <w:col w:w="7119"/>
          </w:cols>
          <w:pgMar w:left="240" w:top="1105"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August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60960</wp:posOffset>
            </wp:positionV>
            <wp:extent cx="320357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20357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437515</wp:posOffset>
            </wp:positionV>
            <wp:extent cx="307276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072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 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-64135</wp:posOffset>
            </wp:positionV>
            <wp:extent cx="359600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596005" cy="825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-64135</wp:posOffset>
            </wp:positionV>
            <wp:extent cx="333438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7"/>
          <w:szCs w:val="17"/>
          <w:color w:val="auto"/>
        </w:rPr>
        <w:t>Executive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-64135</wp:posOffset>
            </wp:positionV>
            <wp:extent cx="418465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184650" cy="825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7"/>
          <w:szCs w:val="17"/>
          <w:color w:val="auto"/>
        </w:rPr>
        <w:t>Financial Officer</w:t>
      </w:r>
    </w:p>
    <w:p>
      <w:pPr>
        <w:spacing w:after="0" w:line="200" w:lineRule="exact"/>
        <w:rPr>
          <w:sz w:val="20"/>
          <w:szCs w:val="20"/>
          <w:color w:val="auto"/>
        </w:rPr>
      </w:pPr>
    </w:p>
    <w:p>
      <w:pPr>
        <w:sectPr>
          <w:pgSz w:w="11900" w:h="16838" w:orient="portrait"/>
          <w:cols w:equalWidth="0" w:num="3">
            <w:col w:w="520" w:space="200"/>
            <w:col w:w="1660" w:space="720"/>
            <w:col w:w="7119"/>
          </w:cols>
          <w:pgMar w:left="240" w:top="1105" w:right="1440" w:bottom="1440" w:gutter="0" w:footer="0" w:header="0"/>
          <w:type w:val="continuous"/>
        </w:sect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268097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1105" w:right="1440" w:bottom="1440" w:gutter="0" w:footer="0" w:header="0"/>
          <w:type w:val="continuous"/>
        </w:sectPr>
      </w:pPr>
    </w:p>
    <w:bookmarkStart w:id="56" w:name="page57"/>
    <w:bookmarkEnd w:id="56"/>
    <w:p>
      <w:pPr>
        <w:spacing w:after="0"/>
        <w:rPr>
          <w:sz w:val="20"/>
          <w:szCs w:val="20"/>
          <w:color w:val="auto"/>
        </w:rPr>
      </w:pPr>
      <w:r>
        <w:rPr>
          <w:rFonts w:ascii="Courier New" w:cs="Courier New" w:eastAsia="Courier New" w:hAnsi="Courier New"/>
          <w:sz w:val="17"/>
          <w:szCs w:val="17"/>
          <w:color w:val="auto"/>
          <w:strike w:val="1"/>
        </w:rPr>
        <w:t>EXHIBITS</w:t>
      </w:r>
    </w:p>
    <w:p>
      <w:pPr>
        <w:spacing w:after="0" w:line="203" w:lineRule="exact"/>
        <w:rPr>
          <w:sz w:val="20"/>
          <w:szCs w:val="20"/>
          <w:color w:val="auto"/>
        </w:rPr>
      </w:pPr>
    </w:p>
    <w:p>
      <w:pPr>
        <w:ind w:left="940" w:right="2079" w:hanging="926"/>
        <w:spacing w:after="0" w:line="246" w:lineRule="auto"/>
        <w:tabs>
          <w:tab w:leader="none" w:pos="920" w:val="left"/>
        </w:tabs>
        <w:rPr>
          <w:sz w:val="20"/>
          <w:szCs w:val="20"/>
          <w:color w:val="auto"/>
        </w:rPr>
      </w:pPr>
      <w:r>
        <w:rPr>
          <w:rFonts w:ascii="Courier New" w:cs="Courier New" w:eastAsia="Courier New" w:hAnsi="Courier New"/>
          <w:sz w:val="17"/>
          <w:szCs w:val="17"/>
          <w:color w:val="auto"/>
        </w:rPr>
        <w:t>10.1</w:t>
      </w:r>
      <w:r>
        <w:rPr>
          <w:sz w:val="20"/>
          <w:szCs w:val="20"/>
          <w:color w:val="auto"/>
        </w:rPr>
        <w:tab/>
      </w:r>
      <w:r>
        <w:rPr>
          <w:rFonts w:ascii="Courier New" w:cs="Courier New" w:eastAsia="Courier New" w:hAnsi="Courier New"/>
          <w:sz w:val="17"/>
          <w:szCs w:val="17"/>
          <w:color w:val="auto"/>
        </w:rPr>
        <w:t>Severance Agreement, dated as of March 1, 2006, by and between Integra LifeSciences Holdings Corporation and Deborah A. Leonetti. (Incorporated by reference to Exhibit 10.1 to the Company's Current Report on Form 8-K filed on April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-443230</wp:posOffset>
            </wp:positionV>
            <wp:extent cx="51650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-317500</wp:posOffset>
            </wp:positionV>
            <wp:extent cx="438086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3808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-191770</wp:posOffset>
            </wp:positionV>
            <wp:extent cx="496887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-66040</wp:posOffset>
            </wp:positionV>
            <wp:extent cx="346519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65195" cy="8255"/>
                    </a:xfrm>
                    <a:prstGeom prst="rect">
                      <a:avLst/>
                    </a:prstGeom>
                    <a:noFill/>
                  </pic:spPr>
                </pic:pic>
              </a:graphicData>
            </a:graphic>
          </wp:anchor>
        </w:drawing>
      </w:r>
    </w:p>
    <w:p>
      <w:pPr>
        <w:spacing w:after="0" w:line="180" w:lineRule="exact"/>
        <w:rPr>
          <w:sz w:val="20"/>
          <w:szCs w:val="20"/>
          <w:color w:val="auto"/>
        </w:rPr>
      </w:pPr>
    </w:p>
    <w:p>
      <w:pPr>
        <w:ind w:left="940" w:right="2079" w:hanging="926"/>
        <w:spacing w:after="0" w:line="246" w:lineRule="auto"/>
        <w:tabs>
          <w:tab w:leader="none" w:pos="920" w:val="left"/>
        </w:tabs>
        <w:rPr>
          <w:sz w:val="20"/>
          <w:szCs w:val="20"/>
          <w:color w:val="auto"/>
        </w:rPr>
      </w:pPr>
      <w:r>
        <w:rPr>
          <w:rFonts w:ascii="Courier New" w:cs="Courier New" w:eastAsia="Courier New" w:hAnsi="Courier New"/>
          <w:sz w:val="17"/>
          <w:szCs w:val="17"/>
          <w:color w:val="auto"/>
        </w:rPr>
        <w:t>10.2</w:t>
      </w:r>
      <w:r>
        <w:rPr>
          <w:sz w:val="20"/>
          <w:szCs w:val="20"/>
          <w:color w:val="auto"/>
        </w:rPr>
        <w:tab/>
      </w:r>
      <w:r>
        <w:rPr>
          <w:rFonts w:ascii="Courier New" w:cs="Courier New" w:eastAsia="Courier New" w:hAnsi="Courier New"/>
          <w:sz w:val="17"/>
          <w:szCs w:val="17"/>
          <w:color w:val="auto"/>
        </w:rPr>
        <w:t>Severance Agreement, dated as of March 1, 2006, by and between Integra LifeSciences Holdings Corporation and Robert D. Paltridge. (Incorporated by reference to Exhibit 10.2 to the Company's Current Report on Form 8-K filed on April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-443230</wp:posOffset>
            </wp:positionV>
            <wp:extent cx="51650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-317500</wp:posOffset>
            </wp:positionV>
            <wp:extent cx="438086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3808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-191770</wp:posOffset>
            </wp:positionV>
            <wp:extent cx="496887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-66040</wp:posOffset>
            </wp:positionV>
            <wp:extent cx="346519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465195" cy="8255"/>
                    </a:xfrm>
                    <a:prstGeom prst="rect">
                      <a:avLst/>
                    </a:prstGeom>
                    <a:noFill/>
                  </pic:spPr>
                </pic:pic>
              </a:graphicData>
            </a:graphic>
          </wp:anchor>
        </w:drawing>
      </w:r>
    </w:p>
    <w:p>
      <w:pPr>
        <w:spacing w:after="0" w:line="180" w:lineRule="exact"/>
        <w:rPr>
          <w:sz w:val="20"/>
          <w:szCs w:val="20"/>
          <w:color w:val="auto"/>
        </w:rPr>
      </w:pPr>
    </w:p>
    <w:p>
      <w:pPr>
        <w:ind w:left="940" w:right="2179" w:hanging="926"/>
        <w:spacing w:after="0" w:line="246" w:lineRule="auto"/>
        <w:tabs>
          <w:tab w:leader="none" w:pos="920" w:val="left"/>
        </w:tabs>
        <w:rPr>
          <w:sz w:val="20"/>
          <w:szCs w:val="20"/>
          <w:color w:val="auto"/>
        </w:rPr>
      </w:pPr>
      <w:r>
        <w:rPr>
          <w:rFonts w:ascii="Courier New" w:cs="Courier New" w:eastAsia="Courier New" w:hAnsi="Courier New"/>
          <w:sz w:val="17"/>
          <w:szCs w:val="17"/>
          <w:color w:val="auto"/>
        </w:rPr>
        <w:t>10.3</w:t>
      </w:r>
      <w:r>
        <w:rPr>
          <w:sz w:val="20"/>
          <w:szCs w:val="20"/>
          <w:color w:val="auto"/>
        </w:rPr>
        <w:tab/>
      </w:r>
      <w:r>
        <w:rPr>
          <w:rFonts w:ascii="Courier New" w:cs="Courier New" w:eastAsia="Courier New" w:hAnsi="Courier New"/>
          <w:sz w:val="17"/>
          <w:szCs w:val="17"/>
          <w:color w:val="auto"/>
        </w:rPr>
        <w:t>Stock Purchase Agreement, dated as of April 19, 2006, by and between ASP/Miltex LLC and Integra LifeSciences Corporation (Incorporated by reference to Exhibit 10.1 to the Company's Current Report on Form 8-K filed on April 25,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-443230</wp:posOffset>
            </wp:positionV>
            <wp:extent cx="50342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-317500</wp:posOffset>
            </wp:positionV>
            <wp:extent cx="50342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-191770</wp:posOffset>
            </wp:positionV>
            <wp:extent cx="509968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-66040</wp:posOffset>
            </wp:positionV>
            <wp:extent cx="215773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180" w:lineRule="exact"/>
        <w:rPr>
          <w:sz w:val="20"/>
          <w:szCs w:val="20"/>
          <w:color w:val="auto"/>
        </w:rPr>
      </w:pPr>
    </w:p>
    <w:p>
      <w:pPr>
        <w:ind w:left="940" w:right="1979" w:hanging="926"/>
        <w:spacing w:after="0" w:line="246" w:lineRule="auto"/>
        <w:tabs>
          <w:tab w:leader="none" w:pos="920" w:val="left"/>
        </w:tabs>
        <w:rPr>
          <w:sz w:val="20"/>
          <w:szCs w:val="20"/>
          <w:color w:val="auto"/>
        </w:rPr>
      </w:pPr>
      <w:r>
        <w:rPr>
          <w:rFonts w:ascii="Courier New" w:cs="Courier New" w:eastAsia="Courier New" w:hAnsi="Courier New"/>
          <w:sz w:val="17"/>
          <w:szCs w:val="17"/>
          <w:color w:val="auto"/>
        </w:rPr>
        <w:t>10.4</w:t>
      </w:r>
      <w:r>
        <w:rPr>
          <w:sz w:val="20"/>
          <w:szCs w:val="20"/>
          <w:color w:val="auto"/>
        </w:rPr>
        <w:tab/>
      </w:r>
      <w:r>
        <w:rPr>
          <w:rFonts w:ascii="Courier New" w:cs="Courier New" w:eastAsia="Courier New" w:hAnsi="Courier New"/>
          <w:sz w:val="17"/>
          <w:szCs w:val="17"/>
          <w:color w:val="auto"/>
        </w:rPr>
        <w:t>Agreement and Plan of Merger, dated as of June 30, 2006, by and between Integra LifeSciences Corporation, Integra California, Inc., Kinetikos Medical, Inc., Telegraph Hill Partners Management LLC, as Shareholders Representative, and the Shareholders party thereto (Incorporated by reference to Exhibit 10.1 to the Company's Current Report on Form 8-K filed on July 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-694055</wp:posOffset>
            </wp:positionV>
            <wp:extent cx="523049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-568325</wp:posOffset>
            </wp:positionV>
            <wp:extent cx="509968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-442595</wp:posOffset>
            </wp:positionV>
            <wp:extent cx="51650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-316865</wp:posOffset>
            </wp:positionV>
            <wp:extent cx="496887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-191135</wp:posOffset>
            </wp:positionV>
            <wp:extent cx="509968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-65405</wp:posOffset>
            </wp:positionV>
            <wp:extent cx="202692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026920" cy="8255"/>
                    </a:xfrm>
                    <a:prstGeom prst="rect">
                      <a:avLst/>
                    </a:prstGeom>
                    <a:noFill/>
                  </pic:spPr>
                </pic:pic>
              </a:graphicData>
            </a:graphic>
          </wp:anchor>
        </w:drawing>
      </w:r>
    </w:p>
    <w:p>
      <w:pPr>
        <w:spacing w:after="0" w:line="182" w:lineRule="exact"/>
        <w:rPr>
          <w:sz w:val="20"/>
          <w:szCs w:val="20"/>
          <w:color w:val="auto"/>
        </w:rPr>
      </w:pPr>
    </w:p>
    <w:p>
      <w:pPr>
        <w:ind w:left="940" w:right="1979" w:hanging="926"/>
        <w:spacing w:after="0" w:line="247" w:lineRule="auto"/>
        <w:tabs>
          <w:tab w:leader="none" w:pos="920" w:val="left"/>
        </w:tabs>
        <w:rPr>
          <w:sz w:val="20"/>
          <w:szCs w:val="20"/>
          <w:color w:val="auto"/>
        </w:rPr>
      </w:pPr>
      <w:r>
        <w:rPr>
          <w:rFonts w:ascii="Courier New" w:cs="Courier New" w:eastAsia="Courier New" w:hAnsi="Courier New"/>
          <w:sz w:val="17"/>
          <w:szCs w:val="17"/>
          <w:color w:val="auto"/>
        </w:rPr>
        <w:t>31.1</w:t>
      </w:r>
      <w:r>
        <w:rPr>
          <w:sz w:val="20"/>
          <w:szCs w:val="20"/>
          <w:color w:val="auto"/>
        </w:rPr>
        <w:tab/>
      </w:r>
      <w:r>
        <w:rPr>
          <w:rFonts w:ascii="Courier New" w:cs="Courier New" w:eastAsia="Courier New" w:hAnsi="Courier New"/>
          <w:sz w:val="17"/>
          <w:szCs w:val="17"/>
          <w:color w:val="auto"/>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523049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-67945</wp:posOffset>
            </wp:positionV>
            <wp:extent cx="25495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178" w:lineRule="exact"/>
        <w:rPr>
          <w:sz w:val="20"/>
          <w:szCs w:val="20"/>
          <w:color w:val="auto"/>
        </w:rPr>
      </w:pPr>
    </w:p>
    <w:p>
      <w:pPr>
        <w:ind w:left="940" w:right="1979" w:hanging="926"/>
        <w:spacing w:after="0" w:line="247" w:lineRule="auto"/>
        <w:tabs>
          <w:tab w:leader="none" w:pos="920" w:val="left"/>
        </w:tabs>
        <w:rPr>
          <w:sz w:val="20"/>
          <w:szCs w:val="20"/>
          <w:color w:val="auto"/>
        </w:rPr>
      </w:pPr>
      <w:r>
        <w:rPr>
          <w:rFonts w:ascii="Courier New" w:cs="Courier New" w:eastAsia="Courier New" w:hAnsi="Courier New"/>
          <w:sz w:val="17"/>
          <w:szCs w:val="17"/>
          <w:color w:val="auto"/>
        </w:rPr>
        <w:t>31.2</w:t>
      </w:r>
      <w:r>
        <w:rPr>
          <w:sz w:val="20"/>
          <w:szCs w:val="20"/>
          <w:color w:val="auto"/>
        </w:rPr>
        <w:tab/>
      </w:r>
      <w:r>
        <w:rPr>
          <w:rFonts w:ascii="Courier New" w:cs="Courier New" w:eastAsia="Courier New" w:hAnsi="Courier New"/>
          <w:sz w:val="17"/>
          <w:szCs w:val="17"/>
          <w:color w:val="auto"/>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523049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-67945</wp:posOffset>
            </wp:positionV>
            <wp:extent cx="254952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178" w:lineRule="exact"/>
        <w:rPr>
          <w:sz w:val="20"/>
          <w:szCs w:val="20"/>
          <w:color w:val="auto"/>
        </w:rPr>
      </w:pPr>
    </w:p>
    <w:p>
      <w:pPr>
        <w:ind w:left="940" w:right="1979" w:hanging="926"/>
        <w:spacing w:after="0" w:line="247" w:lineRule="auto"/>
        <w:tabs>
          <w:tab w:leader="none" w:pos="920" w:val="left"/>
        </w:tabs>
        <w:rPr>
          <w:sz w:val="20"/>
          <w:szCs w:val="20"/>
          <w:color w:val="auto"/>
        </w:rPr>
      </w:pPr>
      <w:r>
        <w:rPr>
          <w:rFonts w:ascii="Courier New" w:cs="Courier New" w:eastAsia="Courier New" w:hAnsi="Courier New"/>
          <w:sz w:val="17"/>
          <w:szCs w:val="17"/>
          <w:color w:val="auto"/>
        </w:rPr>
        <w:t>32.1</w:t>
      </w:r>
      <w:r>
        <w:rPr>
          <w:sz w:val="20"/>
          <w:szCs w:val="20"/>
          <w:color w:val="auto"/>
        </w:rPr>
        <w:tab/>
      </w:r>
      <w:r>
        <w:rPr>
          <w:rFonts w:ascii="Courier New" w:cs="Courier New" w:eastAsia="Courier New" w:hAnsi="Courier New"/>
          <w:sz w:val="17"/>
          <w:szCs w:val="17"/>
          <w:color w:val="auto"/>
        </w:rPr>
        <w:t>Certification of Principal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523049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-67945</wp:posOffset>
            </wp:positionV>
            <wp:extent cx="254952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178" w:lineRule="exact"/>
        <w:rPr>
          <w:sz w:val="20"/>
          <w:szCs w:val="20"/>
          <w:color w:val="auto"/>
        </w:rPr>
      </w:pPr>
    </w:p>
    <w:p>
      <w:pPr>
        <w:ind w:left="940" w:right="1979" w:hanging="926"/>
        <w:spacing w:after="0" w:line="247" w:lineRule="auto"/>
        <w:tabs>
          <w:tab w:leader="none" w:pos="920" w:val="left"/>
        </w:tabs>
        <w:rPr>
          <w:sz w:val="20"/>
          <w:szCs w:val="20"/>
          <w:color w:val="auto"/>
        </w:rPr>
      </w:pPr>
      <w:r>
        <w:rPr>
          <w:rFonts w:ascii="Courier New" w:cs="Courier New" w:eastAsia="Courier New" w:hAnsi="Courier New"/>
          <w:sz w:val="17"/>
          <w:szCs w:val="17"/>
          <w:color w:val="auto"/>
        </w:rPr>
        <w:t>32.2</w:t>
      </w:r>
      <w:r>
        <w:rPr>
          <w:sz w:val="20"/>
          <w:szCs w:val="20"/>
          <w:color w:val="auto"/>
        </w:rPr>
        <w:tab/>
      </w:r>
      <w:r>
        <w:rPr>
          <w:rFonts w:ascii="Courier New" w:cs="Courier New" w:eastAsia="Courier New" w:hAnsi="Courier New"/>
          <w:sz w:val="17"/>
          <w:szCs w:val="17"/>
          <w:color w:val="auto"/>
        </w:rPr>
        <w:t>Certification of Principal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523049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-67945</wp:posOffset>
            </wp:positionV>
            <wp:extent cx="254952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68097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ectPr>
          <w:pgSz w:w="11900" w:h="16838" w:orient="portrait"/>
          <w:cols w:equalWidth="0" w:num="1">
            <w:col w:w="10219"/>
          </w:cols>
          <w:pgMar w:left="240" w:top="907" w:right="1440" w:bottom="1440" w:gutter="0" w:footer="0" w:header="0"/>
        </w:sectPr>
      </w:pPr>
    </w:p>
    <w:bookmarkStart w:id="57" w:name="page58"/>
    <w:bookmarkEnd w:id="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ind w:left="520" w:right="3119" w:firstLine="618"/>
        <w:spacing w:after="0" w:line="247" w:lineRule="auto"/>
        <w:rPr>
          <w:sz w:val="20"/>
          <w:szCs w:val="20"/>
          <w:color w:val="auto"/>
        </w:rPr>
      </w:pPr>
      <w:r>
        <w:rPr>
          <w:rFonts w:ascii="Courier New" w:cs="Courier New" w:eastAsia="Courier New" w:hAnsi="Courier New"/>
          <w:sz w:val="17"/>
          <w:szCs w:val="17"/>
          <w:color w:val="auto"/>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-193675</wp:posOffset>
            </wp:positionV>
            <wp:extent cx="405384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05384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-67945</wp:posOffset>
            </wp:positionV>
            <wp:extent cx="451167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511675" cy="8255"/>
                    </a:xfrm>
                    <a:prstGeom prst="rect">
                      <a:avLst/>
                    </a:prstGeom>
                    <a:noFill/>
                  </pic:spPr>
                </pic:pic>
              </a:graphicData>
            </a:graphic>
          </wp:anchor>
        </w:drawing>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 Stuart M. Essig,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-64135</wp:posOffset>
            </wp:positionV>
            <wp:extent cx="274574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745740" cy="8255"/>
                    </a:xfrm>
                    <a:prstGeom prst="rect">
                      <a:avLst/>
                    </a:prstGeom>
                    <a:noFill/>
                  </pic:spPr>
                </pic:pic>
              </a:graphicData>
            </a:graphic>
          </wp:anchor>
        </w:drawing>
      </w:r>
    </w:p>
    <w:p>
      <w:pPr>
        <w:spacing w:after="0" w:line="183" w:lineRule="exact"/>
        <w:rPr>
          <w:sz w:val="20"/>
          <w:szCs w:val="20"/>
          <w:color w:val="auto"/>
        </w:rPr>
      </w:pPr>
    </w:p>
    <w:p>
      <w:pPr>
        <w:ind w:left="1140" w:right="2079" w:hanging="928"/>
        <w:spacing w:after="0" w:line="247" w:lineRule="auto"/>
        <w:tabs>
          <w:tab w:leader="none" w:pos="11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quarterly report on Form 10-Q of Integra LifeSciences Holdings Corporation;</w:t>
      </w:r>
    </w:p>
    <w:p>
      <w:pPr>
        <w:spacing w:after="0" w:line="197" w:lineRule="exact"/>
        <w:rPr>
          <w:rFonts w:ascii="Courier New" w:cs="Courier New" w:eastAsia="Courier New" w:hAnsi="Courier New"/>
          <w:sz w:val="17"/>
          <w:szCs w:val="17"/>
          <w:color w:val="auto"/>
        </w:rPr>
      </w:pPr>
    </w:p>
    <w:p>
      <w:pPr>
        <w:ind w:left="1140" w:right="1979" w:hanging="928"/>
        <w:spacing w:after="0" w:line="246" w:lineRule="auto"/>
        <w:tabs>
          <w:tab w:leader="none" w:pos="11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Courier New" w:cs="Courier New" w:eastAsia="Courier New" w:hAnsi="Courier New"/>
          <w:sz w:val="17"/>
          <w:szCs w:val="17"/>
          <w:color w:val="auto"/>
        </w:rPr>
      </w:pPr>
    </w:p>
    <w:p>
      <w:pPr>
        <w:ind w:left="1140" w:right="2079" w:hanging="928"/>
        <w:spacing w:after="0" w:line="246" w:lineRule="auto"/>
        <w:tabs>
          <w:tab w:leader="none" w:pos="11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Courier New" w:cs="Courier New" w:eastAsia="Courier New" w:hAnsi="Courier New"/>
          <w:sz w:val="17"/>
          <w:szCs w:val="17"/>
          <w:color w:val="auto"/>
        </w:rPr>
      </w:pPr>
    </w:p>
    <w:p>
      <w:pPr>
        <w:ind w:left="1140" w:right="2499" w:hanging="928"/>
        <w:spacing w:after="0" w:line="246" w:lineRule="auto"/>
        <w:tabs>
          <w:tab w:leader="none" w:pos="11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are responsible for establishing and maintaining disclosure controls and procedures (as defined in Exchange Act Rules</w:t>
      </w:r>
    </w:p>
    <w:p>
      <w:pPr>
        <w:spacing w:after="0" w:line="1" w:lineRule="exact"/>
        <w:rPr>
          <w:rFonts w:ascii="Courier New" w:cs="Courier New" w:eastAsia="Courier New" w:hAnsi="Courier New"/>
          <w:sz w:val="17"/>
          <w:szCs w:val="17"/>
          <w:color w:val="auto"/>
        </w:rPr>
      </w:pPr>
    </w:p>
    <w:p>
      <w:pPr>
        <w:ind w:left="1140"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13a-15(e) and 15d-15(e)) and internal control over financial reporting (as defined in Exchange Act Rules 13a-15(f) and</w:t>
      </w:r>
    </w:p>
    <w:p>
      <w:pPr>
        <w:spacing w:after="0" w:line="1"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15d-15(f)) for the registrant and we have:</w:t>
      </w:r>
    </w:p>
    <w:p>
      <w:pPr>
        <w:spacing w:after="0" w:line="203" w:lineRule="exact"/>
        <w:rPr>
          <w:rFonts w:ascii="Courier New" w:cs="Courier New" w:eastAsia="Courier New" w:hAnsi="Courier New"/>
          <w:sz w:val="17"/>
          <w:szCs w:val="17"/>
          <w:color w:val="auto"/>
        </w:rPr>
      </w:pPr>
    </w:p>
    <w:p>
      <w:pPr>
        <w:ind w:left="2060" w:right="2079" w:hanging="921"/>
        <w:spacing w:after="0" w:line="246" w:lineRule="auto"/>
        <w:tabs>
          <w:tab w:leader="none" w:pos="20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Courier New" w:cs="Courier New" w:eastAsia="Courier New" w:hAnsi="Courier New"/>
          <w:sz w:val="17"/>
          <w:szCs w:val="17"/>
          <w:color w:val="auto"/>
        </w:rPr>
      </w:pPr>
    </w:p>
    <w:p>
      <w:pPr>
        <w:ind w:left="2060" w:right="2079" w:hanging="921"/>
        <w:spacing w:after="0" w:line="246" w:lineRule="auto"/>
        <w:tabs>
          <w:tab w:leader="none" w:pos="20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Courier New" w:cs="Courier New" w:eastAsia="Courier New" w:hAnsi="Courier New"/>
          <w:sz w:val="17"/>
          <w:szCs w:val="17"/>
          <w:color w:val="auto"/>
        </w:rPr>
      </w:pPr>
    </w:p>
    <w:p>
      <w:pPr>
        <w:ind w:left="2060" w:right="2079" w:hanging="921"/>
        <w:spacing w:after="0" w:line="246" w:lineRule="auto"/>
        <w:tabs>
          <w:tab w:leader="none" w:pos="20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Courier New" w:cs="Courier New" w:eastAsia="Courier New" w:hAnsi="Courier New"/>
          <w:sz w:val="17"/>
          <w:szCs w:val="17"/>
          <w:color w:val="auto"/>
        </w:rPr>
      </w:pPr>
    </w:p>
    <w:p>
      <w:pPr>
        <w:ind w:left="2060" w:right="1979" w:hanging="921"/>
        <w:spacing w:after="0" w:line="246" w:lineRule="auto"/>
        <w:tabs>
          <w:tab w:leader="none" w:pos="20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Courier New" w:cs="Courier New" w:eastAsia="Courier New" w:hAnsi="Courier New"/>
          <w:sz w:val="17"/>
          <w:szCs w:val="17"/>
          <w:color w:val="auto"/>
        </w:rPr>
      </w:pPr>
    </w:p>
    <w:p>
      <w:pPr>
        <w:ind w:left="1140" w:right="1979" w:hanging="928"/>
        <w:spacing w:after="0" w:line="246" w:lineRule="auto"/>
        <w:tabs>
          <w:tab w:leader="none" w:pos="11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rFonts w:ascii="Courier New" w:cs="Courier New" w:eastAsia="Courier New" w:hAnsi="Courier New"/>
          <w:sz w:val="17"/>
          <w:szCs w:val="17"/>
          <w:color w:val="auto"/>
        </w:rPr>
      </w:pPr>
    </w:p>
    <w:p>
      <w:pPr>
        <w:ind w:left="2060" w:right="2079" w:hanging="921"/>
        <w:spacing w:after="0" w:line="246" w:lineRule="auto"/>
        <w:tabs>
          <w:tab w:leader="none" w:pos="20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Courier New" w:cs="Courier New" w:eastAsia="Courier New" w:hAnsi="Courier New"/>
          <w:sz w:val="17"/>
          <w:szCs w:val="17"/>
          <w:color w:val="auto"/>
        </w:rPr>
      </w:pPr>
    </w:p>
    <w:p>
      <w:pPr>
        <w:ind w:left="2060" w:right="2079" w:hanging="921"/>
        <w:spacing w:after="0" w:line="246" w:lineRule="auto"/>
        <w:tabs>
          <w:tab w:leader="none" w:pos="20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-9117965</wp:posOffset>
            </wp:positionV>
            <wp:extent cx="51650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-8992235</wp:posOffset>
            </wp:positionV>
            <wp:extent cx="33997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3997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-8740775</wp:posOffset>
            </wp:positionV>
            <wp:extent cx="523049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-8615045</wp:posOffset>
            </wp:positionV>
            <wp:extent cx="51650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-8489315</wp:posOffset>
            </wp:positionV>
            <wp:extent cx="4707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-8363585</wp:posOffset>
            </wp:positionV>
            <wp:extent cx="483806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83806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-8237855</wp:posOffset>
            </wp:positionV>
            <wp:extent cx="51650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-7986395</wp:posOffset>
            </wp:positionV>
            <wp:extent cx="496887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-7860665</wp:posOffset>
            </wp:positionV>
            <wp:extent cx="51650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-7734935</wp:posOffset>
            </wp:positionV>
            <wp:extent cx="509968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-7609205</wp:posOffset>
            </wp:positionV>
            <wp:extent cx="50342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-7483475</wp:posOffset>
            </wp:positionV>
            <wp:extent cx="359600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59600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-7232015</wp:posOffset>
            </wp:positionV>
            <wp:extent cx="451167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51167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-7106285</wp:posOffset>
            </wp:positionV>
            <wp:extent cx="477266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77266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-6980555</wp:posOffset>
            </wp:positionV>
            <wp:extent cx="490347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-6854825</wp:posOffset>
            </wp:positionV>
            <wp:extent cx="509968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-6729095</wp:posOffset>
            </wp:positionV>
            <wp:extent cx="490347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-6603365</wp:posOffset>
            </wp:positionV>
            <wp:extent cx="392303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92303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-6351905</wp:posOffset>
            </wp:positionV>
            <wp:extent cx="51650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-6226175</wp:posOffset>
            </wp:positionV>
            <wp:extent cx="51650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-6101080</wp:posOffset>
            </wp:positionV>
            <wp:extent cx="477266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77266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-5975350</wp:posOffset>
            </wp:positionV>
            <wp:extent cx="490347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-5849620</wp:posOffset>
            </wp:positionV>
            <wp:extent cx="490347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-5723890</wp:posOffset>
            </wp:positionV>
            <wp:extent cx="464185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64185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-5598160</wp:posOffset>
            </wp:positionV>
            <wp:extent cx="509968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-5472430</wp:posOffset>
            </wp:positionV>
            <wp:extent cx="29419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94195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-5220970</wp:posOffset>
            </wp:positionV>
            <wp:extent cx="4707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-5095240</wp:posOffset>
            </wp:positionV>
            <wp:extent cx="483806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83806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-4969510</wp:posOffset>
            </wp:positionV>
            <wp:extent cx="464185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64185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-4843780</wp:posOffset>
            </wp:positionV>
            <wp:extent cx="464185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64185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-4718050</wp:posOffset>
            </wp:positionV>
            <wp:extent cx="51650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-4592320</wp:posOffset>
            </wp:positionV>
            <wp:extent cx="51650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-4466590</wp:posOffset>
            </wp:positionV>
            <wp:extent cx="477266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77266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-4340860</wp:posOffset>
            </wp:positionV>
            <wp:extent cx="320357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20357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-4089400</wp:posOffset>
            </wp:positionV>
            <wp:extent cx="483806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83806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-3963670</wp:posOffset>
            </wp:positionV>
            <wp:extent cx="509968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-3837940</wp:posOffset>
            </wp:positionV>
            <wp:extent cx="509968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-3712210</wp:posOffset>
            </wp:positionV>
            <wp:extent cx="51650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-3586480</wp:posOffset>
            </wp:positionV>
            <wp:extent cx="496887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-3460750</wp:posOffset>
            </wp:positionV>
            <wp:extent cx="307276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07276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-3209290</wp:posOffset>
            </wp:positionV>
            <wp:extent cx="451167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51167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-3083560</wp:posOffset>
            </wp:positionV>
            <wp:extent cx="464185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464185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-2957830</wp:posOffset>
            </wp:positionV>
            <wp:extent cx="51650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-2832100</wp:posOffset>
            </wp:positionV>
            <wp:extent cx="523049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-2706370</wp:posOffset>
            </wp:positionV>
            <wp:extent cx="496887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-2580640</wp:posOffset>
            </wp:positionV>
            <wp:extent cx="483806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83806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-2454910</wp:posOffset>
            </wp:positionV>
            <wp:extent cx="51650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-2329180</wp:posOffset>
            </wp:positionV>
            <wp:extent cx="366141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66141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-2077720</wp:posOffset>
            </wp:positionV>
            <wp:extent cx="457644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57644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-1951990</wp:posOffset>
            </wp:positionV>
            <wp:extent cx="496887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-1826260</wp:posOffset>
            </wp:positionV>
            <wp:extent cx="523049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-1700530</wp:posOffset>
            </wp:positionV>
            <wp:extent cx="523049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-1574800</wp:posOffset>
            </wp:positionV>
            <wp:extent cx="411924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411924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-1323340</wp:posOffset>
            </wp:positionV>
            <wp:extent cx="51650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-1197610</wp:posOffset>
            </wp:positionV>
            <wp:extent cx="509968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-1071880</wp:posOffset>
            </wp:positionV>
            <wp:extent cx="50342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-946150</wp:posOffset>
            </wp:positionV>
            <wp:extent cx="51650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-820420</wp:posOffset>
            </wp:positionV>
            <wp:extent cx="51650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-694690</wp:posOffset>
            </wp:positionV>
            <wp:extent cx="196151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96151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-443230</wp:posOffset>
            </wp:positionV>
            <wp:extent cx="496887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-317500</wp:posOffset>
            </wp:positionV>
            <wp:extent cx="51650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-191770</wp:posOffset>
            </wp:positionV>
            <wp:extent cx="477266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77266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-66040</wp:posOffset>
            </wp:positionV>
            <wp:extent cx="307276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072765"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August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-64135</wp:posOffset>
            </wp:positionV>
            <wp:extent cx="176530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765300" cy="8255"/>
                    </a:xfrm>
                    <a:prstGeom prst="rect">
                      <a:avLst/>
                    </a:prstGeom>
                    <a:noFill/>
                  </pic:spPr>
                </pic:pic>
              </a:graphicData>
            </a:graphic>
          </wp:anchor>
        </w:drawing>
      </w:r>
    </w:p>
    <w:p>
      <w:pPr>
        <w:ind w:left="3720"/>
        <w:spacing w:after="0"/>
        <w:rPr>
          <w:sz w:val="20"/>
          <w:szCs w:val="20"/>
          <w:color w:val="auto"/>
        </w:rPr>
      </w:pPr>
      <w:r>
        <w:rPr>
          <w:rFonts w:ascii="Courier New" w:cs="Courier New" w:eastAsia="Courier New" w:hAnsi="Courier New"/>
          <w:sz w:val="17"/>
          <w:szCs w:val="17"/>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-64135</wp:posOffset>
            </wp:positionV>
            <wp:extent cx="405384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053840" cy="8255"/>
                    </a:xfrm>
                    <a:prstGeom prst="rect">
                      <a:avLst/>
                    </a:prstGeom>
                    <a:noFill/>
                  </pic:spPr>
                </pic:pic>
              </a:graphicData>
            </a:graphic>
          </wp:anchor>
        </w:drawing>
      </w:r>
    </w:p>
    <w:p>
      <w:pPr>
        <w:ind w:left="37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-64135</wp:posOffset>
            </wp:positionV>
            <wp:extent cx="51650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165090" cy="8255"/>
                    </a:xfrm>
                    <a:prstGeom prst="rect">
                      <a:avLst/>
                    </a:prstGeom>
                    <a:noFill/>
                  </pic:spPr>
                </pic:pic>
              </a:graphicData>
            </a:graphic>
          </wp:anchor>
        </w:drawing>
      </w:r>
    </w:p>
    <w:p>
      <w:pPr>
        <w:ind w:left="3720"/>
        <w:spacing w:after="0"/>
        <w:rPr>
          <w:sz w:val="20"/>
          <w:szCs w:val="20"/>
          <w:color w:val="auto"/>
        </w:rPr>
      </w:pPr>
      <w:r>
        <w:rPr>
          <w:rFonts w:ascii="Courier New" w:cs="Courier New" w:eastAsia="Courier New" w:hAnsi="Courier New"/>
          <w:sz w:val="17"/>
          <w:szCs w:val="17"/>
          <w:color w:val="auto"/>
        </w:rPr>
        <w:t>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-64135</wp:posOffset>
            </wp:positionV>
            <wp:extent cx="379222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792220" cy="8255"/>
                    </a:xfrm>
                    <a:prstGeom prst="rect">
                      <a:avLst/>
                    </a:prstGeom>
                    <a:noFill/>
                  </pic:spPr>
                </pic:pic>
              </a:graphicData>
            </a:graphic>
          </wp:anchor>
        </w:drawing>
      </w:r>
    </w:p>
    <w:p>
      <w:pPr>
        <w:sectPr>
          <w:pgSz w:w="11900" w:h="16838" w:orient="portrait"/>
          <w:cols w:equalWidth="0" w:num="1">
            <w:col w:w="9499"/>
          </w:cols>
          <w:pgMar w:left="960" w:top="142" w:right="1440" w:bottom="0" w:gutter="0" w:footer="0" w:header="0"/>
        </w:sectPr>
      </w:pPr>
    </w:p>
    <w:bookmarkStart w:id="59" w:name="page60"/>
    <w:bookmarkEnd w:id="59"/>
    <w:p>
      <w:pPr>
        <w:ind w:left="3240"/>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-64135</wp:posOffset>
            </wp:positionV>
            <wp:extent cx="523049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sectPr>
          <w:pgSz w:w="11900" w:h="16838" w:orient="portrait"/>
          <w:cols w:equalWidth="0" w:num="1">
            <w:col w:w="9019"/>
          </w:cols>
          <w:pgMar w:left="1440" w:top="142" w:right="1440" w:bottom="1440" w:gutter="0" w:footer="0" w:header="0"/>
        </w:sectPr>
      </w:pPr>
    </w:p>
    <w:bookmarkStart w:id="60" w:name="page61"/>
    <w:bookmarkEnd w:id="60"/>
    <w:p>
      <w:pPr>
        <w:ind w:left="308" w:right="3119" w:firstLine="515"/>
        <w:spacing w:after="0" w:line="247" w:lineRule="auto"/>
        <w:rPr>
          <w:sz w:val="20"/>
          <w:szCs w:val="20"/>
          <w:color w:val="auto"/>
        </w:rPr>
      </w:pPr>
      <w:r>
        <w:rPr>
          <w:rFonts w:ascii="Courier New" w:cs="Courier New" w:eastAsia="Courier New" w:hAnsi="Courier New"/>
          <w:sz w:val="17"/>
          <w:szCs w:val="17"/>
          <w:color w:val="auto"/>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-193675</wp:posOffset>
            </wp:positionV>
            <wp:extent cx="398843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9884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-67945</wp:posOffset>
            </wp:positionV>
            <wp:extent cx="451167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511675" cy="8255"/>
                    </a:xfrm>
                    <a:prstGeom prst="rect">
                      <a:avLst/>
                    </a:prstGeom>
                    <a:noFill/>
                  </pic:spPr>
                </pic:pic>
              </a:graphicData>
            </a:graphic>
          </wp:anchor>
        </w:drawing>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I, Maureen B. Bellantoni,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-64135</wp:posOffset>
            </wp:positionV>
            <wp:extent cx="313817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183" w:lineRule="exact"/>
        <w:rPr>
          <w:sz w:val="20"/>
          <w:szCs w:val="20"/>
          <w:color w:val="auto"/>
        </w:rPr>
      </w:pPr>
    </w:p>
    <w:p>
      <w:pPr>
        <w:ind w:left="928" w:right="2079" w:hanging="928"/>
        <w:spacing w:after="0" w:line="247" w:lineRule="auto"/>
        <w:tabs>
          <w:tab w:leader="none" w:pos="92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quarterly report on Form 10-Q of Integra LifeSciences Holdings Corporation;</w:t>
      </w:r>
    </w:p>
    <w:p>
      <w:pPr>
        <w:spacing w:after="0" w:line="197" w:lineRule="exact"/>
        <w:rPr>
          <w:rFonts w:ascii="Courier New" w:cs="Courier New" w:eastAsia="Courier New" w:hAnsi="Courier New"/>
          <w:sz w:val="17"/>
          <w:szCs w:val="17"/>
          <w:color w:val="auto"/>
        </w:rPr>
      </w:pPr>
    </w:p>
    <w:p>
      <w:pPr>
        <w:ind w:left="928" w:right="1979" w:hanging="928"/>
        <w:spacing w:after="0" w:line="246" w:lineRule="auto"/>
        <w:tabs>
          <w:tab w:leader="none" w:pos="92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Courier New" w:cs="Courier New" w:eastAsia="Courier New" w:hAnsi="Courier New"/>
          <w:sz w:val="17"/>
          <w:szCs w:val="17"/>
          <w:color w:val="auto"/>
        </w:rPr>
      </w:pPr>
    </w:p>
    <w:p>
      <w:pPr>
        <w:ind w:left="928" w:right="2079" w:hanging="928"/>
        <w:spacing w:after="0" w:line="246" w:lineRule="auto"/>
        <w:tabs>
          <w:tab w:leader="none" w:pos="92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Courier New" w:cs="Courier New" w:eastAsia="Courier New" w:hAnsi="Courier New"/>
          <w:sz w:val="17"/>
          <w:szCs w:val="17"/>
          <w:color w:val="auto"/>
        </w:rPr>
      </w:pPr>
    </w:p>
    <w:p>
      <w:pPr>
        <w:ind w:left="928" w:right="2499" w:hanging="928"/>
        <w:spacing w:after="0" w:line="246" w:lineRule="auto"/>
        <w:tabs>
          <w:tab w:leader="none" w:pos="92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are responsible for establishing and maintaining disclosure controls and procedures (as defined in Exchange Act Rules</w:t>
      </w:r>
    </w:p>
    <w:p>
      <w:pPr>
        <w:spacing w:after="0" w:line="1" w:lineRule="exact"/>
        <w:rPr>
          <w:rFonts w:ascii="Courier New" w:cs="Courier New" w:eastAsia="Courier New" w:hAnsi="Courier New"/>
          <w:sz w:val="17"/>
          <w:szCs w:val="17"/>
          <w:color w:val="auto"/>
        </w:rPr>
      </w:pPr>
    </w:p>
    <w:p>
      <w:pPr>
        <w:ind w:left="928"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13a-15(e) and 15d-15(e)) and internal control over financial reporting (as defined in Exchange Act Rules 13a-15(f) and</w:t>
      </w:r>
    </w:p>
    <w:p>
      <w:pPr>
        <w:spacing w:after="0" w:line="1" w:lineRule="exact"/>
        <w:rPr>
          <w:rFonts w:ascii="Courier New" w:cs="Courier New" w:eastAsia="Courier New" w:hAnsi="Courier New"/>
          <w:sz w:val="17"/>
          <w:szCs w:val="17"/>
          <w:color w:val="auto"/>
        </w:rPr>
      </w:pPr>
    </w:p>
    <w:p>
      <w:pPr>
        <w:ind w:left="92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15d-15(f)) for the registrant and we have:</w:t>
      </w:r>
    </w:p>
    <w:p>
      <w:pPr>
        <w:spacing w:after="0" w:line="203" w:lineRule="exact"/>
        <w:rPr>
          <w:rFonts w:ascii="Courier New" w:cs="Courier New" w:eastAsia="Courier New" w:hAnsi="Courier New"/>
          <w:sz w:val="17"/>
          <w:szCs w:val="17"/>
          <w:color w:val="auto"/>
        </w:rPr>
      </w:pPr>
    </w:p>
    <w:p>
      <w:pPr>
        <w:ind w:left="1848" w:right="2079" w:hanging="921"/>
        <w:spacing w:after="0" w:line="246" w:lineRule="auto"/>
        <w:tabs>
          <w:tab w:leader="none" w:pos="1848"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Courier New" w:cs="Courier New" w:eastAsia="Courier New" w:hAnsi="Courier New"/>
          <w:sz w:val="17"/>
          <w:szCs w:val="17"/>
          <w:color w:val="auto"/>
        </w:rPr>
      </w:pPr>
    </w:p>
    <w:p>
      <w:pPr>
        <w:ind w:left="1848" w:right="2079" w:hanging="921"/>
        <w:spacing w:after="0" w:line="246" w:lineRule="auto"/>
        <w:tabs>
          <w:tab w:leader="none" w:pos="1848"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Courier New" w:cs="Courier New" w:eastAsia="Courier New" w:hAnsi="Courier New"/>
          <w:sz w:val="17"/>
          <w:szCs w:val="17"/>
          <w:color w:val="auto"/>
        </w:rPr>
      </w:pPr>
    </w:p>
    <w:p>
      <w:pPr>
        <w:ind w:left="1848" w:right="2079" w:hanging="921"/>
        <w:spacing w:after="0" w:line="246" w:lineRule="auto"/>
        <w:tabs>
          <w:tab w:leader="none" w:pos="1848"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Courier New" w:cs="Courier New" w:eastAsia="Courier New" w:hAnsi="Courier New"/>
          <w:sz w:val="17"/>
          <w:szCs w:val="17"/>
          <w:color w:val="auto"/>
        </w:rPr>
      </w:pPr>
    </w:p>
    <w:p>
      <w:pPr>
        <w:ind w:left="1848" w:right="1979" w:hanging="921"/>
        <w:spacing w:after="0" w:line="246" w:lineRule="auto"/>
        <w:tabs>
          <w:tab w:leader="none" w:pos="1848"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Courier New" w:cs="Courier New" w:eastAsia="Courier New" w:hAnsi="Courier New"/>
          <w:sz w:val="17"/>
          <w:szCs w:val="17"/>
          <w:color w:val="auto"/>
        </w:rPr>
      </w:pPr>
    </w:p>
    <w:p>
      <w:pPr>
        <w:ind w:left="928" w:right="1979" w:hanging="928"/>
        <w:spacing w:after="0" w:line="246" w:lineRule="auto"/>
        <w:tabs>
          <w:tab w:leader="none" w:pos="92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rFonts w:ascii="Courier New" w:cs="Courier New" w:eastAsia="Courier New" w:hAnsi="Courier New"/>
          <w:sz w:val="17"/>
          <w:szCs w:val="17"/>
          <w:color w:val="auto"/>
        </w:rPr>
      </w:pPr>
    </w:p>
    <w:p>
      <w:pPr>
        <w:ind w:left="1848" w:right="2079" w:hanging="921"/>
        <w:spacing w:after="0" w:line="246" w:lineRule="auto"/>
        <w:tabs>
          <w:tab w:leader="none" w:pos="1848"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Courier New" w:cs="Courier New" w:eastAsia="Courier New" w:hAnsi="Courier New"/>
          <w:sz w:val="17"/>
          <w:szCs w:val="17"/>
          <w:color w:val="auto"/>
        </w:rPr>
      </w:pPr>
    </w:p>
    <w:p>
      <w:pPr>
        <w:ind w:left="1848" w:right="2079" w:hanging="921"/>
        <w:spacing w:after="0" w:line="246" w:lineRule="auto"/>
        <w:tabs>
          <w:tab w:leader="none" w:pos="1848"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-9117965</wp:posOffset>
            </wp:positionV>
            <wp:extent cx="51650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-8992235</wp:posOffset>
            </wp:positionV>
            <wp:extent cx="33997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3997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-8740775</wp:posOffset>
            </wp:positionV>
            <wp:extent cx="523049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-8615045</wp:posOffset>
            </wp:positionV>
            <wp:extent cx="51650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-8489315</wp:posOffset>
            </wp:positionV>
            <wp:extent cx="4707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-8363585</wp:posOffset>
            </wp:positionV>
            <wp:extent cx="483806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83806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-8237855</wp:posOffset>
            </wp:positionV>
            <wp:extent cx="51650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-7986395</wp:posOffset>
            </wp:positionV>
            <wp:extent cx="496887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-7860665</wp:posOffset>
            </wp:positionV>
            <wp:extent cx="51650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-7734935</wp:posOffset>
            </wp:positionV>
            <wp:extent cx="509968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-7609205</wp:posOffset>
            </wp:positionV>
            <wp:extent cx="503428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-7483475</wp:posOffset>
            </wp:positionV>
            <wp:extent cx="359600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59600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-7232015</wp:posOffset>
            </wp:positionV>
            <wp:extent cx="451167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5116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-7106285</wp:posOffset>
            </wp:positionV>
            <wp:extent cx="477266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477266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-6980555</wp:posOffset>
            </wp:positionV>
            <wp:extent cx="490347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-6854825</wp:posOffset>
            </wp:positionV>
            <wp:extent cx="509968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-6729095</wp:posOffset>
            </wp:positionV>
            <wp:extent cx="490347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-6603365</wp:posOffset>
            </wp:positionV>
            <wp:extent cx="392303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92303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-6351905</wp:posOffset>
            </wp:positionV>
            <wp:extent cx="51650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-6226175</wp:posOffset>
            </wp:positionV>
            <wp:extent cx="51650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-6101080</wp:posOffset>
            </wp:positionV>
            <wp:extent cx="477266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77266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-5975350</wp:posOffset>
            </wp:positionV>
            <wp:extent cx="490347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-5849620</wp:posOffset>
            </wp:positionV>
            <wp:extent cx="490347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-5723890</wp:posOffset>
            </wp:positionV>
            <wp:extent cx="464185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464185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-5598160</wp:posOffset>
            </wp:positionV>
            <wp:extent cx="509968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-5472430</wp:posOffset>
            </wp:positionV>
            <wp:extent cx="29419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9419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-5220970</wp:posOffset>
            </wp:positionV>
            <wp:extent cx="4707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-5095240</wp:posOffset>
            </wp:positionV>
            <wp:extent cx="483806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83806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-4969510</wp:posOffset>
            </wp:positionV>
            <wp:extent cx="464185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64185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-4843780</wp:posOffset>
            </wp:positionV>
            <wp:extent cx="464185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64185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-4718050</wp:posOffset>
            </wp:positionV>
            <wp:extent cx="51650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-4592320</wp:posOffset>
            </wp:positionV>
            <wp:extent cx="51650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-4466590</wp:posOffset>
            </wp:positionV>
            <wp:extent cx="477266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77266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-4340860</wp:posOffset>
            </wp:positionV>
            <wp:extent cx="320357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2035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-4089400</wp:posOffset>
            </wp:positionV>
            <wp:extent cx="483806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83806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-3963670</wp:posOffset>
            </wp:positionV>
            <wp:extent cx="509968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-3837940</wp:posOffset>
            </wp:positionV>
            <wp:extent cx="509968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-3712210</wp:posOffset>
            </wp:positionV>
            <wp:extent cx="51650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-3586480</wp:posOffset>
            </wp:positionV>
            <wp:extent cx="496887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-3460750</wp:posOffset>
            </wp:positionV>
            <wp:extent cx="307276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07276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-3209290</wp:posOffset>
            </wp:positionV>
            <wp:extent cx="451167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5116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-3083560</wp:posOffset>
            </wp:positionV>
            <wp:extent cx="464185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464185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-2957830</wp:posOffset>
            </wp:positionV>
            <wp:extent cx="51650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-2832100</wp:posOffset>
            </wp:positionV>
            <wp:extent cx="523049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-2706370</wp:posOffset>
            </wp:positionV>
            <wp:extent cx="496887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-2580640</wp:posOffset>
            </wp:positionV>
            <wp:extent cx="483806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483806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-2454910</wp:posOffset>
            </wp:positionV>
            <wp:extent cx="51650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-2329180</wp:posOffset>
            </wp:positionV>
            <wp:extent cx="366141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66141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-2077720</wp:posOffset>
            </wp:positionV>
            <wp:extent cx="457644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57644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-1951990</wp:posOffset>
            </wp:positionV>
            <wp:extent cx="496887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-1826260</wp:posOffset>
            </wp:positionV>
            <wp:extent cx="523049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-1700530</wp:posOffset>
            </wp:positionV>
            <wp:extent cx="523049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-1574800</wp:posOffset>
            </wp:positionV>
            <wp:extent cx="411924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411924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-1323340</wp:posOffset>
            </wp:positionV>
            <wp:extent cx="51650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-1197610</wp:posOffset>
            </wp:positionV>
            <wp:extent cx="509968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0996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-1071880</wp:posOffset>
            </wp:positionV>
            <wp:extent cx="503428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-946150</wp:posOffset>
            </wp:positionV>
            <wp:extent cx="51650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-820420</wp:posOffset>
            </wp:positionV>
            <wp:extent cx="51650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-694690</wp:posOffset>
            </wp:positionV>
            <wp:extent cx="196151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96151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-443230</wp:posOffset>
            </wp:positionV>
            <wp:extent cx="496887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49688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-317500</wp:posOffset>
            </wp:positionV>
            <wp:extent cx="51650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-191770</wp:posOffset>
            </wp:positionV>
            <wp:extent cx="477266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477266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-66040</wp:posOffset>
            </wp:positionV>
            <wp:extent cx="307276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072765" cy="8255"/>
                    </a:xfrm>
                    <a:prstGeom prst="rect">
                      <a:avLst/>
                    </a:prstGeom>
                    <a:noFill/>
                  </pic:spPr>
                </pic:pic>
              </a:graphicData>
            </a:graphic>
          </wp:anchor>
        </w:drawing>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Date: August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-64135</wp:posOffset>
            </wp:positionV>
            <wp:extent cx="189611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896110" cy="8255"/>
                    </a:xfrm>
                    <a:prstGeom prst="rect">
                      <a:avLst/>
                    </a:prstGeom>
                    <a:noFill/>
                  </pic:spPr>
                </pic:pic>
              </a:graphicData>
            </a:graphic>
          </wp:anchor>
        </w:drawing>
      </w:r>
    </w:p>
    <w:p>
      <w:pPr>
        <w:ind w:left="3808"/>
        <w:spacing w:after="0"/>
        <w:rPr>
          <w:sz w:val="20"/>
          <w:szCs w:val="20"/>
          <w:color w:val="auto"/>
        </w:rPr>
      </w:pPr>
      <w:r>
        <w:rPr>
          <w:rFonts w:ascii="Courier New" w:cs="Courier New" w:eastAsia="Courier New" w:hAnsi="Courier New"/>
          <w:sz w:val="17"/>
          <w:szCs w:val="17"/>
          <w:color w:val="auto"/>
        </w:rPr>
        <w:t>/s/ 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-64135</wp:posOffset>
            </wp:positionV>
            <wp:extent cx="464185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4641850" cy="8255"/>
                    </a:xfrm>
                    <a:prstGeom prst="rect">
                      <a:avLst/>
                    </a:prstGeom>
                    <a:noFill/>
                  </pic:spPr>
                </pic:pic>
              </a:graphicData>
            </a:graphic>
          </wp:anchor>
        </w:drawing>
      </w:r>
    </w:p>
    <w:p>
      <w:pPr>
        <w:ind w:left="3808"/>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-64135</wp:posOffset>
            </wp:positionV>
            <wp:extent cx="523049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ind w:left="3808"/>
        <w:spacing w:after="0"/>
        <w:rPr>
          <w:sz w:val="20"/>
          <w:szCs w:val="20"/>
          <w:color w:val="auto"/>
        </w:rPr>
      </w:pPr>
      <w:r>
        <w:rPr>
          <w:rFonts w:ascii="Courier New" w:cs="Courier New" w:eastAsia="Courier New" w:hAnsi="Courier New"/>
          <w:sz w:val="17"/>
          <w:szCs w:val="17"/>
          <w:color w:val="auto"/>
        </w:rPr>
        <w:t>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-64135</wp:posOffset>
            </wp:positionV>
            <wp:extent cx="438086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4380865" cy="8255"/>
                    </a:xfrm>
                    <a:prstGeom prst="rect">
                      <a:avLst/>
                    </a:prstGeom>
                    <a:noFill/>
                  </pic:spPr>
                </pic:pic>
              </a:graphicData>
            </a:graphic>
          </wp:anchor>
        </w:drawing>
      </w:r>
    </w:p>
    <w:p>
      <w:pPr>
        <w:sectPr>
          <w:pgSz w:w="11900" w:h="16838" w:orient="portrait"/>
          <w:cols w:equalWidth="0" w:num="1">
            <w:col w:w="9287"/>
          </w:cols>
          <w:pgMar w:left="1172" w:top="142" w:right="1440" w:bottom="0" w:gutter="0" w:footer="0" w:header="0"/>
        </w:sectPr>
      </w:pPr>
    </w:p>
    <w:bookmarkStart w:id="61" w:name="page62"/>
    <w:bookmarkEnd w:id="61"/>
    <w:p>
      <w:pPr>
        <w:ind w:left="3540"/>
        <w:spacing w:after="0"/>
        <w:rPr>
          <w:sz w:val="20"/>
          <w:szCs w:val="20"/>
          <w:color w:val="auto"/>
        </w:rPr>
      </w:pPr>
      <w:r>
        <w:rPr>
          <w:rFonts w:ascii="Courier New" w:cs="Courier New" w:eastAsia="Courier New" w:hAnsi="Courier New"/>
          <w:sz w:val="17"/>
          <w:szCs w:val="17"/>
          <w:color w:val="auto"/>
        </w:rPr>
        <w:t>Executive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-64135</wp:posOffset>
            </wp:positionV>
            <wp:extent cx="523049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ind w:left="3540"/>
        <w:spacing w:after="0"/>
        <w:rPr>
          <w:sz w:val="20"/>
          <w:szCs w:val="20"/>
          <w:color w:val="auto"/>
        </w:rPr>
      </w:pPr>
      <w:r>
        <w:rPr>
          <w:rFonts w:ascii="Courier New" w:cs="Courier New" w:eastAsia="Courier New" w:hAnsi="Courier New"/>
          <w:sz w:val="17"/>
          <w:szCs w:val="17"/>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-64135</wp:posOffset>
            </wp:positionV>
            <wp:extent cx="411924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4119245" cy="8255"/>
                    </a:xfrm>
                    <a:prstGeom prst="rect">
                      <a:avLst/>
                    </a:prstGeom>
                    <a:noFill/>
                  </pic:spPr>
                </pic:pic>
              </a:graphicData>
            </a:graphic>
          </wp:anchor>
        </w:drawing>
      </w:r>
    </w:p>
    <w:p>
      <w:pPr>
        <w:sectPr>
          <w:pgSz w:w="11900" w:h="16838" w:orient="portrait"/>
          <w:cols w:equalWidth="0" w:num="1">
            <w:col w:w="9019"/>
          </w:cols>
          <w:pgMar w:left="1440" w:top="142" w:right="1440" w:bottom="1440" w:gutter="0" w:footer="0" w:header="0"/>
        </w:sectPr>
      </w:pPr>
    </w:p>
    <w:bookmarkStart w:id="62" w:name="page63"/>
    <w:bookmarkEnd w:id="62"/>
    <w:p>
      <w:pPr>
        <w:ind w:left="1860"/>
        <w:spacing w:after="0"/>
        <w:rPr>
          <w:sz w:val="20"/>
          <w:szCs w:val="20"/>
          <w:color w:val="auto"/>
        </w:rPr>
      </w:pPr>
      <w:r>
        <w:rPr>
          <w:rFonts w:ascii="Courier New" w:cs="Courier New" w:eastAsia="Courier New" w:hAnsi="Courier New"/>
          <w:sz w:val="17"/>
          <w:szCs w:val="17"/>
          <w:color w:val="auto"/>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405384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4053840" cy="8255"/>
                    </a:xfrm>
                    <a:prstGeom prst="rect">
                      <a:avLst/>
                    </a:prstGeom>
                    <a:noFill/>
                  </pic:spPr>
                </pic:pic>
              </a:graphicData>
            </a:graphic>
          </wp:anchor>
        </w:drawing>
      </w:r>
    </w:p>
    <w:p>
      <w:pPr>
        <w:ind w:left="1240"/>
        <w:spacing w:after="0"/>
        <w:rPr>
          <w:sz w:val="20"/>
          <w:szCs w:val="20"/>
          <w:color w:val="auto"/>
        </w:rPr>
      </w:pPr>
      <w:r>
        <w:rPr>
          <w:rFonts w:ascii="Courier New" w:cs="Courier New" w:eastAsia="Courier New" w:hAnsi="Courier New"/>
          <w:sz w:val="17"/>
          <w:szCs w:val="17"/>
          <w:color w:val="auto"/>
        </w:rPr>
        <w:t>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451167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511675" cy="8255"/>
                    </a:xfrm>
                    <a:prstGeom prst="rect">
                      <a:avLst/>
                    </a:prstGeom>
                    <a:noFill/>
                  </pic:spPr>
                </pic:pic>
              </a:graphicData>
            </a:graphic>
          </wp:anchor>
        </w:drawing>
      </w:r>
    </w:p>
    <w:p>
      <w:pPr>
        <w:spacing w:after="0" w:line="38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strike w:val="1"/>
        </w:rPr>
        <w:t>I, Stuart M. Essig, President and Chief Executive Officer of Integra LifeSciences Holdings Corporation (the "Company"), hereby certify that, to my knowledge:</w:t>
      </w:r>
    </w:p>
    <w:p>
      <w:pPr>
        <w:spacing w:after="0" w:line="200" w:lineRule="exact"/>
        <w:rPr>
          <w:sz w:val="20"/>
          <w:szCs w:val="20"/>
          <w:color w:val="auto"/>
        </w:rPr>
      </w:pPr>
    </w:p>
    <w:p>
      <w:pPr>
        <w:ind w:left="940" w:right="2079" w:hanging="934"/>
        <w:spacing w:after="0" w:line="246" w:lineRule="auto"/>
        <w:tabs>
          <w:tab w:leader="none" w:pos="9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Quarterly Report on Form 10-Q of the Company for the quarter ended June 30, 2006 (the "Report") fully complies with the requirements of Section 13(a) or Section 15(d), as applicable, of the Securities Exchange Act of 1934, as amended; and</w:t>
      </w:r>
    </w:p>
    <w:p>
      <w:pPr>
        <w:spacing w:after="0" w:line="200" w:lineRule="exact"/>
        <w:rPr>
          <w:rFonts w:ascii="Courier New" w:cs="Courier New" w:eastAsia="Courier New" w:hAnsi="Courier New"/>
          <w:sz w:val="17"/>
          <w:szCs w:val="17"/>
          <w:color w:val="auto"/>
        </w:rPr>
      </w:pPr>
    </w:p>
    <w:p>
      <w:pPr>
        <w:ind w:left="940" w:right="1979" w:hanging="934"/>
        <w:spacing w:after="0" w:line="246" w:lineRule="auto"/>
        <w:tabs>
          <w:tab w:leader="none" w:pos="9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-946785</wp:posOffset>
            </wp:positionV>
            <wp:extent cx="51650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-821055</wp:posOffset>
            </wp:positionV>
            <wp:extent cx="503428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-695325</wp:posOffset>
            </wp:positionV>
            <wp:extent cx="477266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47726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-569595</wp:posOffset>
            </wp:positionV>
            <wp:extent cx="300736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0073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-318135</wp:posOffset>
            </wp:positionV>
            <wp:extent cx="4707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-192405</wp:posOffset>
            </wp:positionV>
            <wp:extent cx="523049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-66675</wp:posOffset>
            </wp:positionV>
            <wp:extent cx="137287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372870" cy="825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August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405384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405384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186690</wp:posOffset>
            </wp:positionV>
            <wp:extent cx="379222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792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Stuart M. Essig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-64135</wp:posOffset>
            </wp:positionV>
            <wp:extent cx="464185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4641850" cy="825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7"/>
          <w:szCs w:val="17"/>
          <w:color w:val="auto"/>
        </w:rPr>
        <w:t>Stuart M. Essig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-64135</wp:posOffset>
            </wp:positionV>
            <wp:extent cx="523049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sectPr>
          <w:pgSz w:w="11900" w:h="16838" w:orient="portrait"/>
          <w:cols w:equalWidth="0" w:num="2">
            <w:col w:w="3720" w:space="720"/>
            <w:col w:w="5779"/>
          </w:cols>
          <w:pgMar w:left="240" w:top="142" w:right="1440" w:bottom="1440" w:gutter="0" w:footer="0" w:header="0"/>
          <w:type w:val="continuous"/>
        </w:sectPr>
      </w:pPr>
    </w:p>
    <w:bookmarkStart w:id="63" w:name="page64"/>
    <w:bookmarkEnd w:id="63"/>
    <w:p>
      <w:pPr>
        <w:ind w:left="1860"/>
        <w:spacing w:after="0"/>
        <w:rPr>
          <w:sz w:val="20"/>
          <w:szCs w:val="20"/>
          <w:color w:val="auto"/>
        </w:rPr>
      </w:pPr>
      <w:r>
        <w:rPr>
          <w:rFonts w:ascii="Courier New" w:cs="Courier New" w:eastAsia="Courier New" w:hAnsi="Courier New"/>
          <w:sz w:val="17"/>
          <w:szCs w:val="17"/>
          <w:color w:val="auto"/>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405384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4053840" cy="8255"/>
                    </a:xfrm>
                    <a:prstGeom prst="rect">
                      <a:avLst/>
                    </a:prstGeom>
                    <a:noFill/>
                  </pic:spPr>
                </pic:pic>
              </a:graphicData>
            </a:graphic>
          </wp:anchor>
        </w:drawing>
      </w:r>
    </w:p>
    <w:p>
      <w:pPr>
        <w:ind w:left="1240"/>
        <w:spacing w:after="0"/>
        <w:rPr>
          <w:sz w:val="20"/>
          <w:szCs w:val="20"/>
          <w:color w:val="auto"/>
        </w:rPr>
      </w:pPr>
      <w:r>
        <w:rPr>
          <w:rFonts w:ascii="Courier New" w:cs="Courier New" w:eastAsia="Courier New" w:hAnsi="Courier New"/>
          <w:sz w:val="17"/>
          <w:szCs w:val="17"/>
          <w:color w:val="auto"/>
        </w:rPr>
        <w:t>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451167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4511675" cy="8255"/>
                    </a:xfrm>
                    <a:prstGeom prst="rect">
                      <a:avLst/>
                    </a:prstGeom>
                    <a:noFill/>
                  </pic:spPr>
                </pic:pic>
              </a:graphicData>
            </a:graphic>
          </wp:anchor>
        </w:drawing>
      </w:r>
    </w:p>
    <w:p>
      <w:pPr>
        <w:spacing w:after="0" w:line="38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strike w:val="1"/>
        </w:rPr>
        <w:t>I, Maureen B. Bellantoni, Executive Vice President and Chief Financial Officer of Integra LifeSciences Holdings Corporation (the "Company"), hereby certify that, to my knowledge:</w:t>
      </w:r>
    </w:p>
    <w:p>
      <w:pPr>
        <w:spacing w:after="0" w:line="200" w:lineRule="exact"/>
        <w:rPr>
          <w:sz w:val="20"/>
          <w:szCs w:val="20"/>
          <w:color w:val="auto"/>
        </w:rPr>
      </w:pPr>
    </w:p>
    <w:p>
      <w:pPr>
        <w:ind w:left="940" w:right="2079" w:hanging="420"/>
        <w:spacing w:after="0" w:line="246" w:lineRule="auto"/>
        <w:tabs>
          <w:tab w:leader="none" w:pos="9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Quarterly Report on Form 10-Q of the Company for the quarter ended June 30, 2006 (the "Report") fully complies with the requirements of Section 13(a) or Section 15(d), as applicable, of the Securities Exchange Act of 1934, as amended; and</w:t>
      </w:r>
    </w:p>
    <w:p>
      <w:pPr>
        <w:spacing w:after="0" w:line="200" w:lineRule="exact"/>
        <w:rPr>
          <w:rFonts w:ascii="Courier New" w:cs="Courier New" w:eastAsia="Courier New" w:hAnsi="Courier New"/>
          <w:sz w:val="17"/>
          <w:szCs w:val="17"/>
          <w:color w:val="auto"/>
        </w:rPr>
      </w:pPr>
    </w:p>
    <w:p>
      <w:pPr>
        <w:ind w:left="940" w:right="1979" w:hanging="420"/>
        <w:spacing w:after="0" w:line="246" w:lineRule="auto"/>
        <w:tabs>
          <w:tab w:leader="none" w:pos="9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-946785</wp:posOffset>
            </wp:positionV>
            <wp:extent cx="51650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1650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-821055</wp:posOffset>
            </wp:positionV>
            <wp:extent cx="503428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-695325</wp:posOffset>
            </wp:positionV>
            <wp:extent cx="477266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47726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-569595</wp:posOffset>
            </wp:positionV>
            <wp:extent cx="300736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0073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-318135</wp:posOffset>
            </wp:positionV>
            <wp:extent cx="4707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4707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-192405</wp:posOffset>
            </wp:positionV>
            <wp:extent cx="523049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230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-66675</wp:posOffset>
            </wp:positionV>
            <wp:extent cx="137287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372870" cy="825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August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437515</wp:posOffset>
            </wp:positionV>
            <wp:extent cx="281178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-64135</wp:posOffset>
            </wp:positionV>
            <wp:extent cx="392303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923030" cy="825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-64135</wp:posOffset>
            </wp:positionV>
            <wp:extent cx="438086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4380865" cy="825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7"/>
          <w:szCs w:val="17"/>
          <w:color w:val="auto"/>
        </w:rPr>
        <w:t>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-64135</wp:posOffset>
            </wp:positionV>
            <wp:extent cx="372681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726815" cy="825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7"/>
          <w:szCs w:val="17"/>
          <w:color w:val="auto"/>
        </w:rPr>
        <w:t>Executive Vice President and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-64135</wp:posOffset>
            </wp:positionV>
            <wp:extent cx="523049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7"/>
          <w:szCs w:val="17"/>
          <w:color w:val="auto"/>
        </w:rPr>
        <w:t>Officer</w:t>
      </w:r>
    </w:p>
    <w:sectPr>
      <w:pgSz w:w="11900" w:h="16838" w:orient="portrait"/>
      <w:cols w:equalWidth="0" w:num="2">
        <w:col w:w="3000" w:space="720"/>
        <w:col w:w="649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decimal"/>
      <w:start w:val="7"/>
    </w:lvl>
  </w:abstractNum>
  <w:abstractNum w:abstractNumId="7">
    <w:nsid w:val="1190CDE7"/>
    <w:multiLevelType w:val="hybridMultilevel"/>
    <w:lvl w:ilvl="0">
      <w:lvlJc w:val="left"/>
      <w:lvlText w:val="%1."/>
      <w:numFmt w:val="decimal"/>
      <w:start w:val="9"/>
    </w:lvl>
  </w:abstractNum>
  <w:abstractNum w:abstractNumId="8">
    <w:nsid w:val="66EF438D"/>
    <w:multiLevelType w:val="hybridMultilevel"/>
    <w:lvl w:ilvl="0">
      <w:lvlJc w:val="left"/>
      <w:lvlText w:val="o"/>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2019-12-12T11:33:06Z</dcterms:created>
  <dcterms:modified xsi:type="dcterms:W3CDTF">2019-12-12T11:33:06Z</dcterms:modified>
</cp:coreProperties>
</file>