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2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ind w:right="44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 w:lineRule="exact"/>
        <w:rPr>
          <w:sz w:val="24"/>
          <w:szCs w:val="24"/>
          <w:color w:val="auto"/>
        </w:rPr>
      </w:pPr>
    </w:p>
    <w:p>
      <w:pPr>
        <w:ind w:right="1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69" w:right="379" w:bottom="1440" w:gutter="0" w:footer="0" w:header="0"/>
        </w:sectPr>
      </w:pPr>
    </w:p>
    <w:bookmarkStart w:id="1" w:name="page2"/>
    <w:bookmarkEnd w:id="1"/>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320"/>
              <w:spacing w:after="0"/>
              <w:rPr>
                <w:sz w:val="20"/>
                <w:szCs w:val="20"/>
                <w:color w:val="auto"/>
              </w:rPr>
            </w:pPr>
            <w:r>
              <w:rPr>
                <w:rFonts w:ascii="Arial" w:cs="Arial" w:eastAsia="Arial" w:hAnsi="Arial"/>
                <w:sz w:val="16"/>
                <w:szCs w:val="16"/>
                <w:color w:val="auto"/>
              </w:rPr>
              <w:t>x</w:t>
            </w:r>
          </w:p>
        </w:tc>
        <w:tc>
          <w:tcPr>
            <w:tcW w:w="506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8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320"/>
              <w:spacing w:after="0"/>
              <w:rPr>
                <w:sz w:val="20"/>
                <w:szCs w:val="20"/>
                <w:color w:val="auto"/>
              </w:rPr>
            </w:pPr>
            <w:r>
              <w:rPr>
                <w:rFonts w:ascii="Arial" w:cs="Arial" w:eastAsia="Arial" w:hAnsi="Arial"/>
                <w:sz w:val="16"/>
                <w:szCs w:val="16"/>
                <w:color w:val="auto"/>
              </w:rPr>
              <w:t>o</w:t>
            </w:r>
          </w:p>
        </w:tc>
        <w:tc>
          <w:tcPr>
            <w:tcW w:w="5060" w:type="dxa"/>
            <w:vAlign w:val="bottom"/>
          </w:tcPr>
          <w:p>
            <w:pPr>
              <w:ind w:left="29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500"/>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40" w:type="dxa"/>
            <w:vAlign w:val="bottom"/>
          </w:tcPr>
          <w:p>
            <w:pPr>
              <w:ind w:left="320"/>
              <w:spacing w:after="0"/>
              <w:rPr>
                <w:sz w:val="20"/>
                <w:szCs w:val="20"/>
                <w:color w:val="auto"/>
              </w:rPr>
            </w:pPr>
            <w:r>
              <w:rPr>
                <w:rFonts w:ascii="Arial" w:cs="Arial" w:eastAsia="Arial" w:hAnsi="Arial"/>
                <w:sz w:val="16"/>
                <w:szCs w:val="16"/>
                <w:color w:val="auto"/>
              </w:rPr>
              <w:t>o</w:t>
            </w: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4"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If an emerging growth company, indicate by check if the registrant has elected not to use the extended transition period for complying with any new revised financial accounting standards provided pursuant to Section 13(a) of the Exchange Act. o</w:t>
      </w:r>
    </w:p>
    <w:p>
      <w:pPr>
        <w:spacing w:after="0" w:line="170" w:lineRule="exact"/>
        <w:rPr>
          <w:sz w:val="20"/>
          <w:szCs w:val="20"/>
          <w:color w:val="auto"/>
        </w:rPr>
      </w:pPr>
    </w:p>
    <w:p>
      <w:pPr>
        <w:spacing w:after="0" w:line="184" w:lineRule="exact"/>
        <w:tabs>
          <w:tab w:leader="none" w:pos="7500" w:val="left"/>
          <w:tab w:leader="none" w:pos="80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1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2018, the aggregate market value of the registrant’s common stock held by non-affiliates was approximately $4,504.4 million based upon the closing sales price of the registrant’s common stock on The Nasdaq Global Market on such date. The number of shares of the registrant’s Common Stock, $0.01 par value, outstanding as of February 22, 2019 was 85,229,075.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16, 2019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8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PART I</w:t>
              </w:r>
            </w:hyperlink>
          </w:p>
        </w:tc>
        <w:tc>
          <w:tcPr>
            <w:tcW w:w="9780" w:type="dxa"/>
            <w:vAlign w:val="bottom"/>
            <w:gridSpan w:val="21"/>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780" w:type="dxa"/>
            <w:vAlign w:val="bottom"/>
            <w:gridSpan w:val="21"/>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840" w:type="dxa"/>
            <w:vAlign w:val="bottom"/>
            <w:gridSpan w:val="1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2">
              <w:r>
                <w:rPr>
                  <w:rFonts w:ascii="Arial" w:cs="Arial" w:eastAsia="Arial" w:hAnsi="Arial"/>
                  <w:sz w:val="16"/>
                  <w:szCs w:val="16"/>
                  <w:color w:val="0000EE"/>
                  <w:w w:val="83"/>
                </w:rPr>
                <w:t>Item 1A. Risk Factors</w:t>
              </w:r>
            </w:hyperlink>
          </w:p>
        </w:tc>
        <w:tc>
          <w:tcPr>
            <w:tcW w:w="8480" w:type="dxa"/>
            <w:vAlign w:val="bottom"/>
            <w:gridSpan w:val="1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1B. Unresolved Staff Comment</w:t>
              </w:r>
            </w:hyperlink>
            <w:r>
              <w:rPr>
                <w:rFonts w:ascii="Arial" w:cs="Arial" w:eastAsia="Arial" w:hAnsi="Arial"/>
                <w:sz w:val="16"/>
                <w:szCs w:val="16"/>
                <w:u w:val="single" w:color="auto"/>
                <w:color w:val="1A3CBF"/>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7">
              <w:r>
                <w:rPr>
                  <w:rFonts w:ascii="Arial" w:cs="Arial" w:eastAsia="Arial" w:hAnsi="Arial"/>
                  <w:sz w:val="16"/>
                  <w:szCs w:val="16"/>
                  <w:color w:val="0000EE"/>
                  <w:w w:val="79"/>
                </w:rPr>
                <w:t>Item 2. Properties</w:t>
              </w:r>
            </w:hyperlink>
          </w:p>
        </w:tc>
        <w:tc>
          <w:tcPr>
            <w:tcW w:w="1220" w:type="dxa"/>
            <w:vAlign w:val="bottom"/>
            <w:gridSpan w:val="7"/>
          </w:tcPr>
          <w:p>
            <w:pPr>
              <w:spacing w:after="0"/>
              <w:rPr>
                <w:sz w:val="20"/>
                <w:szCs w:val="20"/>
                <w:color w:val="auto"/>
              </w:rPr>
            </w:pPr>
          </w:p>
        </w:tc>
        <w:tc>
          <w:tcPr>
            <w:tcW w:w="7540" w:type="dxa"/>
            <w:vAlign w:val="bottom"/>
            <w:gridSpan w:val="11"/>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60" w:type="dxa"/>
            <w:vAlign w:val="bottom"/>
            <w:gridSpan w:val="8"/>
          </w:tcPr>
          <w:p>
            <w:pPr>
              <w:spacing w:after="0"/>
              <w:rPr>
                <w:rFonts w:ascii="Arial" w:cs="Arial" w:eastAsia="Arial" w:hAnsi="Arial"/>
                <w:sz w:val="16"/>
                <w:szCs w:val="16"/>
                <w:color w:val="0000EE"/>
                <w:w w:val="86"/>
              </w:rPr>
            </w:pPr>
            <w:hyperlink w:anchor="page28">
              <w:r>
                <w:rPr>
                  <w:rFonts w:ascii="Arial" w:cs="Arial" w:eastAsia="Arial" w:hAnsi="Arial"/>
                  <w:sz w:val="16"/>
                  <w:szCs w:val="16"/>
                  <w:color w:val="0000EE"/>
                  <w:w w:val="86"/>
                </w:rPr>
                <w:t>Item 4. Mine Safety Disclosures</w:t>
              </w:r>
            </w:hyperlink>
          </w:p>
        </w:tc>
        <w:tc>
          <w:tcPr>
            <w:tcW w:w="7820" w:type="dxa"/>
            <w:vAlign w:val="bottom"/>
            <w:gridSpan w:val="1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8">
              <w:r>
                <w:rPr>
                  <w:rFonts w:ascii="Arial" w:cs="Arial" w:eastAsia="Arial" w:hAnsi="Arial"/>
                  <w:sz w:val="16"/>
                  <w:szCs w:val="16"/>
                  <w:color w:val="0000FF"/>
                  <w:w w:val="96"/>
                </w:rPr>
                <w:t>PART II</w:t>
              </w:r>
            </w:hyperlink>
          </w:p>
        </w:tc>
        <w:tc>
          <w:tcPr>
            <w:tcW w:w="9780" w:type="dxa"/>
            <w:vAlign w:val="bottom"/>
            <w:gridSpan w:val="2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60" w:type="dxa"/>
            <w:vAlign w:val="bottom"/>
            <w:gridSpan w:val="20"/>
          </w:tcPr>
          <w:p>
            <w:pPr>
              <w:spacing w:after="0"/>
              <w:rPr>
                <w:rFonts w:ascii="Arial" w:cs="Arial" w:eastAsia="Arial" w:hAnsi="Arial"/>
                <w:sz w:val="16"/>
                <w:szCs w:val="16"/>
                <w:color w:val="0000EE"/>
                <w:w w:val="90"/>
              </w:rPr>
            </w:pPr>
            <w:hyperlink w:anchor="page28">
              <w:r>
                <w:rPr>
                  <w:rFonts w:ascii="Arial" w:cs="Arial" w:eastAsia="Arial" w:hAnsi="Arial"/>
                  <w:sz w:val="16"/>
                  <w:szCs w:val="16"/>
                  <w:color w:val="0000EE"/>
                  <w:w w:val="90"/>
                </w:rPr>
                <w:t>Item 5. Market for Registrant's Common Equity, Related Stockholder Matters and Issuer Purchases of Equity Securities</w:t>
              </w:r>
            </w:hyperlink>
          </w:p>
        </w:tc>
        <w:tc>
          <w:tcPr>
            <w:tcW w:w="21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2"/>
              </w:rPr>
            </w:pPr>
            <w:hyperlink w:anchor="page28">
              <w:r>
                <w:rPr>
                  <w:rFonts w:ascii="Arial" w:cs="Arial" w:eastAsia="Arial" w:hAnsi="Arial"/>
                  <w:sz w:val="16"/>
                  <w:szCs w:val="16"/>
                  <w:color w:val="0000EE"/>
                  <w:w w:val="82"/>
                </w:rPr>
                <w:t>Item 6. Selected Financial Data</w:t>
              </w:r>
            </w:hyperlink>
          </w:p>
        </w:tc>
        <w:tc>
          <w:tcPr>
            <w:tcW w:w="5780" w:type="dxa"/>
            <w:vAlign w:val="bottom"/>
            <w:gridSpan w:val="13"/>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7A. Quantitative and Qualitative Disclosures About Market Risk</w:t>
              </w:r>
            </w:hyperlink>
          </w:p>
        </w:tc>
        <w:tc>
          <w:tcPr>
            <w:tcW w:w="3580" w:type="dxa"/>
            <w:vAlign w:val="bottom"/>
            <w:gridSpan w:val="4"/>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400" w:type="dxa"/>
            <w:vAlign w:val="bottom"/>
            <w:gridSpan w:val="13"/>
          </w:tcPr>
          <w:p>
            <w:pPr>
              <w:spacing w:after="0"/>
              <w:rPr>
                <w:rFonts w:ascii="Arial" w:cs="Arial" w:eastAsia="Arial" w:hAnsi="Arial"/>
                <w:sz w:val="16"/>
                <w:szCs w:val="16"/>
                <w:color w:val="0000EE"/>
                <w:w w:val="87"/>
              </w:rPr>
            </w:pPr>
            <w:hyperlink w:anchor="page49">
              <w:r>
                <w:rPr>
                  <w:rFonts w:ascii="Arial" w:cs="Arial" w:eastAsia="Arial" w:hAnsi="Arial"/>
                  <w:sz w:val="16"/>
                  <w:szCs w:val="16"/>
                  <w:color w:val="0000EE"/>
                  <w:w w:val="87"/>
                </w:rPr>
                <w:t>Item 8. Financial Statements and Supplementary Data</w:t>
              </w:r>
            </w:hyperlink>
          </w:p>
        </w:tc>
        <w:tc>
          <w:tcPr>
            <w:tcW w:w="1040" w:type="dxa"/>
            <w:vAlign w:val="bottom"/>
            <w:gridSpan w:val="2"/>
          </w:tcPr>
          <w:p>
            <w:pPr>
              <w:spacing w:after="0"/>
              <w:rPr>
                <w:sz w:val="20"/>
                <w:szCs w:val="20"/>
                <w:color w:val="auto"/>
              </w:rPr>
            </w:pPr>
          </w:p>
        </w:tc>
        <w:tc>
          <w:tcPr>
            <w:tcW w:w="5340" w:type="dxa"/>
            <w:vAlign w:val="bottom"/>
            <w:gridSpan w:val="6"/>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8"/>
          </w:tcPr>
          <w:p>
            <w:pPr>
              <w:spacing w:after="0"/>
              <w:rPr>
                <w:rFonts w:ascii="Arial" w:cs="Arial" w:eastAsia="Arial" w:hAnsi="Arial"/>
                <w:sz w:val="16"/>
                <w:szCs w:val="16"/>
                <w:color w:val="0000EE"/>
                <w:w w:val="90"/>
              </w:rPr>
            </w:pPr>
            <w:hyperlink w:anchor="page49">
              <w:r>
                <w:rPr>
                  <w:rFonts w:ascii="Arial" w:cs="Arial" w:eastAsia="Arial" w:hAnsi="Arial"/>
                  <w:sz w:val="16"/>
                  <w:szCs w:val="16"/>
                  <w:color w:val="0000EE"/>
                  <w:w w:val="90"/>
                </w:rPr>
                <w:t>Item 9. Changes in and Disagreements with Accountants on Accounting and Financial Disclosures</w:t>
              </w:r>
            </w:hyperlink>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9"/>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9A. Controls and Procedures</w:t>
              </w:r>
            </w:hyperlink>
          </w:p>
        </w:tc>
        <w:tc>
          <w:tcPr>
            <w:tcW w:w="4200" w:type="dxa"/>
            <w:vAlign w:val="bottom"/>
            <w:gridSpan w:val="9"/>
          </w:tcPr>
          <w:p>
            <w:pPr>
              <w:spacing w:after="0"/>
              <w:rPr>
                <w:sz w:val="20"/>
                <w:szCs w:val="20"/>
                <w:color w:val="auto"/>
              </w:rPr>
            </w:pPr>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Item 9B. Other Information</w:t>
              </w:r>
            </w:hyperlink>
          </w:p>
        </w:tc>
        <w:tc>
          <w:tcPr>
            <w:tcW w:w="400" w:type="dxa"/>
            <w:vAlign w:val="bottom"/>
            <w:gridSpan w:val="3"/>
          </w:tcPr>
          <w:p>
            <w:pPr>
              <w:spacing w:after="0"/>
              <w:rPr>
                <w:sz w:val="20"/>
                <w:szCs w:val="20"/>
                <w:color w:val="auto"/>
              </w:rPr>
            </w:pPr>
          </w:p>
        </w:tc>
        <w:tc>
          <w:tcPr>
            <w:tcW w:w="7680" w:type="dxa"/>
            <w:vAlign w:val="bottom"/>
            <w:gridSpan w:val="1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2"/>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PART III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780" w:type="dxa"/>
            <w:vAlign w:val="bottom"/>
            <w:gridSpan w:val="21"/>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10. Directors, Executive Officers and Corporate Governance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4"/>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11. Executive Compensation</w:t>
              </w:r>
            </w:hyperlink>
          </w:p>
        </w:tc>
        <w:tc>
          <w:tcPr>
            <w:tcW w:w="5620" w:type="dxa"/>
            <w:vAlign w:val="bottom"/>
            <w:gridSpan w:val="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6"/>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800" w:type="dxa"/>
            <w:vAlign w:val="bottom"/>
            <w:gridSpan w:val="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1"/>
          </w:tcPr>
          <w:p>
            <w:pPr>
              <w:spacing w:after="0"/>
              <w:rPr>
                <w:rFonts w:ascii="Arial" w:cs="Arial" w:eastAsia="Arial" w:hAnsi="Arial"/>
                <w:sz w:val="16"/>
                <w:szCs w:val="16"/>
                <w:color w:val="0000EE"/>
                <w:w w:val="88"/>
              </w:rPr>
            </w:pPr>
            <w:hyperlink w:anchor="page50">
              <w:r>
                <w:rPr>
                  <w:rFonts w:ascii="Arial" w:cs="Arial" w:eastAsia="Arial" w:hAnsi="Arial"/>
                  <w:sz w:val="16"/>
                  <w:szCs w:val="16"/>
                  <w:color w:val="0000EE"/>
                  <w:w w:val="88"/>
                </w:rPr>
                <w:t>Item 14. Principal Accountant Fees and Services</w:t>
              </w:r>
            </w:hyperlink>
          </w:p>
        </w:tc>
        <w:tc>
          <w:tcPr>
            <w:tcW w:w="2100" w:type="dxa"/>
            <w:vAlign w:val="bottom"/>
            <w:gridSpan w:val="5"/>
          </w:tcPr>
          <w:p>
            <w:pPr>
              <w:spacing w:after="0"/>
              <w:rPr>
                <w:sz w:val="20"/>
                <w:szCs w:val="20"/>
                <w:color w:val="auto"/>
              </w:rPr>
            </w:pPr>
          </w:p>
        </w:tc>
        <w:tc>
          <w:tcPr>
            <w:tcW w:w="4620" w:type="dxa"/>
            <w:vAlign w:val="bottom"/>
            <w:gridSpan w:val="5"/>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51">
              <w:r>
                <w:rPr>
                  <w:rFonts w:ascii="Arial" w:cs="Arial" w:eastAsia="Arial" w:hAnsi="Arial"/>
                  <w:sz w:val="16"/>
                  <w:szCs w:val="16"/>
                  <w:color w:val="0000EE"/>
                  <w:w w:val="86"/>
                </w:rPr>
                <w:t>PART IV</w:t>
              </w:r>
            </w:hyperlink>
          </w:p>
        </w:tc>
        <w:tc>
          <w:tcPr>
            <w:tcW w:w="9780" w:type="dxa"/>
            <w:vAlign w:val="bottom"/>
            <w:gridSpan w:val="21"/>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15. Exhibits and Financial Statements Schedule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5"/>
            <w:shd w:val="clear" w:color="auto" w:fill="0000EE"/>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7"/>
              </w:rPr>
            </w:pPr>
            <w:hyperlink w:anchor="page63">
              <w:r>
                <w:rPr>
                  <w:rFonts w:ascii="Arial" w:cs="Arial" w:eastAsia="Arial" w:hAnsi="Arial"/>
                  <w:sz w:val="16"/>
                  <w:szCs w:val="16"/>
                  <w:color w:val="0000EE"/>
                  <w:w w:val="87"/>
                </w:rPr>
                <w:t>Item 16. Form 10-K Summary</w:t>
              </w:r>
            </w:hyperlink>
          </w:p>
        </w:tc>
        <w:tc>
          <w:tcPr>
            <w:tcW w:w="1440" w:type="dxa"/>
            <w:vAlign w:val="bottom"/>
            <w:gridSpan w:val="5"/>
          </w:tcPr>
          <w:p>
            <w:pPr>
              <w:spacing w:after="0"/>
              <w:rPr>
                <w:sz w:val="20"/>
                <w:szCs w:val="20"/>
                <w:color w:val="auto"/>
              </w:rPr>
            </w:pPr>
          </w:p>
        </w:tc>
        <w:tc>
          <w:tcPr>
            <w:tcW w:w="6460" w:type="dxa"/>
            <w:vAlign w:val="bottom"/>
            <w:gridSpan w:val="9"/>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2"/>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SIGNATURES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the repair of nerves and tendons. The Company has expanded its base regenerative technology business to include surgical instruments, neurosurgical products, advanced wound care, and orthopedic hardware through a combination of several global acquisitions and by developing products internally to further meet the needs of its customers.</w:t>
      </w:r>
    </w:p>
    <w:p>
      <w:pPr>
        <w:spacing w:after="0" w:line="15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Integra employs approximately 4,500 people dedicated to limiting uncertainty for surgeons, so that they can concentrate on providing the best care for their patients. Integra provides innovative healthcare solutions in more than 130 countries through its nearly 50 offices and its worldwide distribution network.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aspire to be a worldwide leader in neurosurgery &amp; reconstructive surgery, with a portfolio of leading businesses that delivers outstanding customer experience through innovation, execution and teamwork to positively impact the lives of millions of patients and families.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Integra is committed to delivering high quality products that positively impact the lives of millions of patients and their families. We focus on four key pillars:</w:t>
      </w:r>
    </w:p>
    <w:p>
      <w:pPr>
        <w:spacing w:after="0" w:line="46" w:lineRule="exact"/>
        <w:rPr>
          <w:sz w:val="20"/>
          <w:szCs w:val="20"/>
          <w:color w:val="auto"/>
        </w:rPr>
      </w:pPr>
    </w:p>
    <w:p>
      <w:pPr>
        <w:jc w:val="both"/>
        <w:ind w:firstLine="8"/>
        <w:spacing w:after="0" w:line="255"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an execution-focused culture, 2) achieving relevant scale, 3) improving agility and innovation, and 4) leading in customer excellence.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this end, our executive leadership team has established the following key priorities aligned to this strategy:</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An important part of our strategy is pursuing strategic transactions and licensing agreements that increase relevant scale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areas in which we compete. In 2018, integrating the Codman Neurosurgery business, which was acquired from Johnson and Johnson in the previous year, remained a top priority and we will continue to transition the business throughout 2019. This acquisition expanded our portfolio of neurosurgery products and established us as the world leader in neurosurgery. It has also enabled us to bring our entire Integra portfolio to a global market.</w:t>
      </w:r>
    </w:p>
    <w:p>
      <w:pPr>
        <w:spacing w:after="0" w:line="18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Portfolio Optimization and New Product Introductions</w:t>
      </w:r>
      <w:r>
        <w:rPr>
          <w:rFonts w:ascii="Arial" w:cs="Arial" w:eastAsia="Arial" w:hAnsi="Arial"/>
          <w:sz w:val="18"/>
          <w:szCs w:val="18"/>
          <w:color w:val="auto"/>
        </w:rPr>
        <w:t>. 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focus on regenerative technologies and other projects with the potential for significant returns on investment. In 2018, we achieved significant milestones in research and development by successfully launching nine new products.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9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 is a</w:t>
      </w:r>
      <w:r>
        <w:rPr>
          <w:rFonts w:ascii="Arial" w:cs="Arial" w:eastAsia="Arial" w:hAnsi="Arial"/>
          <w:sz w:val="18"/>
          <w:szCs w:val="18"/>
          <w:i w:val="1"/>
          <w:iCs w:val="1"/>
          <w:color w:val="auto"/>
        </w:rPr>
        <w:t xml:space="preserve"> </w:t>
      </w:r>
      <w:r>
        <w:rPr>
          <w:rFonts w:ascii="Arial" w:cs="Arial" w:eastAsia="Arial" w:hAnsi="Arial"/>
          <w:sz w:val="18"/>
          <w:szCs w:val="18"/>
          <w:color w:val="auto"/>
        </w:rPr>
        <w:t>core part of our strategy to create specialization and greater focus on reaching our customers and addressing their needs. Internationally, we have increased our commercial resources significantly in almost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Customer Excellence. </w:t>
      </w:r>
      <w:r>
        <w:rPr>
          <w:rFonts w:ascii="Arial" w:cs="Arial" w:eastAsia="Arial" w:hAnsi="Arial"/>
          <w:sz w:val="18"/>
          <w:szCs w:val="18"/>
          <w:color w:val="auto"/>
        </w:rPr>
        <w:t>We aspire to be ranked as a best-in-class provider and are committed to strengthening our relationships with all of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strive 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SEGMENTS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currently manufacture and sell our products in the following two global reportable business segments: Codman Specialty Surgical and Orthopedics and Tissue Technologies. We include financial information regarding our reportable business segments and certain geographic information under "Item 7. Management's Discussion and Analysis of Financial Condition and Results of Operations" and in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to our consolidated financial statements.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9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Our Codman Specialty Surgical business offers global, neurosurgery market-leading technologies, brands and instrumentation. The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w:t>
      </w:r>
    </w:p>
    <w:p>
      <w:pPr>
        <w:spacing w:after="0" w:line="9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acquisition of Codman Neurosurgery from Johnson &amp; Johnson increased our global direct sales representation and commercial presence. This acquisition expanded the product portfolio of our well known, leading technologies in dural repair, ultrasonic tissue ablation, intracranial pressure ("ICP") monitoring, hydrocephalus management, and cranial stabilization systems, while providing a rich research and development pipeline for growth.</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Rounding out the portfolio is a catalog of surgical headlamps, surgical instrumentation, as well as asset management software and support, and after-market service. With thousands of surgical instrument products, including specialty surgical instruments, we call on the central sterile processing unit of hospitals and acute care surgical centers. Additionally, through a strong U.S. distribution model, we can serve the needs of hundreds of physicians, dental and veterinary offices.</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Orthopedics and Tissue Technologies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Orthopedics and Tissue Technologies products serve some of the fastest growing markets in the medical technology industry and provide solutions that primarily address the needs of orthopedic, plastic, reconstructive and general surgeons. These products focus on addressing soft tissue, nerve, and tendon repairs as well as reconstruction in the hand, wrist, elbow, shoulder, ankle and foot.</w:t>
      </w:r>
    </w:p>
    <w:p>
      <w:pPr>
        <w:spacing w:after="0" w:line="181"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color w:val="auto"/>
        </w:rPr>
        <w:t>We provide regenerative technology solutions for the treatment of acute wounds, such as burns, chronic wounds, including diabetic foot ulcers, surgical tissue repair including hernia repair, peripheral nerve repair and protection, and tendon repair. For extremity bone and joint reconstruction procedures, we sell hardware products, such as bone and joint fixation and joint replacement devices, implants and instruments, which provide for the reconstruction of bone in the hand, wrist, elbow and shoulder (Upper Extremity), and the foot, ankle and leg below the knee (Lower Extremity). In addition, we created opportunities to further expand our presence in the plastic and reconstructive surgery segments with our advanced wound care products such as Medihoney</w:t>
      </w:r>
      <w:r>
        <w:rPr>
          <w:rFonts w:ascii="Arial" w:cs="Arial" w:eastAsia="Arial" w:hAnsi="Arial"/>
          <w:sz w:val="25"/>
          <w:szCs w:val="25"/>
          <w:color w:val="auto"/>
          <w:vertAlign w:val="superscript"/>
        </w:rPr>
        <w:t>®</w:t>
      </w:r>
      <w:r>
        <w:rPr>
          <w:rFonts w:ascii="Arial" w:cs="Arial" w:eastAsia="Arial" w:hAnsi="Arial"/>
          <w:sz w:val="18"/>
          <w:szCs w:val="18"/>
          <w:color w:val="auto"/>
        </w:rPr>
        <w:t>, weight offloading, and amniotic tissue.</w:t>
      </w:r>
    </w:p>
    <w:p>
      <w:pPr>
        <w:spacing w:after="0" w:line="9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made significant investments over the last two years with our channel expansion in the U.S. and created four dedicated sales channels to have more focus and specialization within our call points to drive sustainable growth. We have a specialized sales organization composed of directly employed sales representatives, as well as specialty distributors, organized based upon their call point. Our extremity orthopedics sales representatives call on surgeons who treat extremity orthopedic disorders, including osteoarthritis, rheumatoid arthritis, wrist, ankle and shoulder arthroplasty, and other conditions requiring foot or hand reconstruction. Additionally, we sell our shoulder products through a specialty distributor network of sales agents who call on shoulder surgeons. Our wound reconstruction acute (inpatient) sales representatives call on surgeons doing procedures in limb salvage, trauma, wound reconstruction and burns, while our advanced wound care sales representatives call on physicians who treat chronic wounds in the outpatient wound care clinic setting. We also have a dedicated surgical reconstruction sales team focused on plastic and reconstructive surgery and hernia procedures with differentiated products. Finally, we have a distributor network focused on biologics.</w:t>
      </w:r>
    </w:p>
    <w:p>
      <w:pPr>
        <w:spacing w:after="0" w:line="18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Outside the U.S., we have a small direct sales presence, primarily in certain European countries, Australia, New Zealand, and Canada, and use distributors in other international markets to sell certain product lines.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orthopedics, spine, surgical and wound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and we have extensive programs for our core platforms of orthopedic hardware and electromechanical technologies. We are focusing our research and development efforts on products and clinical studies to generate efficacy and health economic evidence.</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i w:val="1"/>
          <w:iCs w:val="1"/>
          <w:color w:val="auto"/>
        </w:rPr>
        <w:t xml:space="preserve">Regenerative Technologies. </w:t>
      </w:r>
      <w:r>
        <w:rPr>
          <w:rFonts w:ascii="Arial" w:cs="Arial" w:eastAsia="Arial" w:hAnsi="Arial"/>
          <w:sz w:val="17"/>
          <w:szCs w:val="17"/>
          <w:color w:val="auto"/>
        </w:rPr>
        <w:t>Integra was the first and only company to receive a United States Food and Drug Administration ("FDA") claim for</w:t>
      </w:r>
      <w:r>
        <w:rPr>
          <w:rFonts w:ascii="Arial" w:cs="Arial" w:eastAsia="Arial" w:hAnsi="Arial"/>
          <w:sz w:val="17"/>
          <w:szCs w:val="17"/>
          <w:i w:val="1"/>
          <w:iCs w:val="1"/>
          <w:color w:val="auto"/>
        </w:rPr>
        <w:t xml:space="preserve"> </w:t>
      </w:r>
      <w:r>
        <w:rPr>
          <w:rFonts w:ascii="Arial" w:cs="Arial" w:eastAsia="Arial" w:hAnsi="Arial"/>
          <w:sz w:val="17"/>
          <w:szCs w:val="17"/>
          <w:color w:val="auto"/>
        </w:rPr>
        <w:t>regeneration of dermal tissue and is a world leader in regenerative 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Our regenerative technology platform includes our legacy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(IDRT) products and complementary technologies that we have acquired over the last few years. Our collagen manufacturing capability, combined with our history of innovation, provides us with strong platform technologies for multiple indications. In 2017 and 2018, we introduced ten new regenerative technology products, including SurgiMend MP to address Abdominal Hernias, SurgiMend PRS for plastic and reconstructive surgery, AmnioExcel Plus and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 for treatment of wounds.</w:t>
      </w:r>
    </w:p>
    <w:p>
      <w:pPr>
        <w:spacing w:after="0" w:line="94"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i w:val="1"/>
          <w:iCs w:val="1"/>
          <w:color w:val="auto"/>
        </w:rPr>
        <w:t>Orthopedic Reconstruction</w:t>
      </w:r>
      <w:r>
        <w:rPr>
          <w:rFonts w:ascii="Arial" w:cs="Arial" w:eastAsia="Arial" w:hAnsi="Arial"/>
          <w:sz w:val="16"/>
          <w:szCs w:val="16"/>
          <w:color w:val="auto"/>
        </w:rPr>
        <w:t>. We develop fixation and small joint reconstruction implants and instruments for upper and lower extremities to both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next generation solutions and expand our product portfolio. This portfolio focuses on joint replacement products. Integra has a strong shoulder portfolio, which includes a total shoulder system and a reverse shoulder. We continue to work on advanced shoulder products and are developing next generation anatomical designs, bone preserving products and techniques, and a pyrocarbon shoulder hemiarthroplasty product to add to that portfolio. We have a strong differentiated asset that resides in our patented pyrocarbon products, and we continue to invest to bring new products to market with this technology, which has shown significantly less wear on bone than traditional metals. To expand our ankle offering, we launched the Integra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XT Ankle Revision System which may be used to revise most ankle prosthesis currently in the market. The non-randomized, prospective, multi-center post-market studies we launched in 2017 in the U.S., Europe and Canada to evaluate 2-year implant survivorship in subjects who received the Cadence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Total Ankle System for primary ankle arthroplasty is progressing and will further evaluate implant survivorship at 5 and 10 years post-operatively.</w:t>
      </w:r>
    </w:p>
    <w:p>
      <w:pPr>
        <w:spacing w:after="0" w:line="180"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Electromechanical Technologies and Instrumentation</w:t>
      </w:r>
      <w:r>
        <w:rPr>
          <w:rFonts w:ascii="Arial" w:cs="Arial" w:eastAsia="Arial" w:hAnsi="Arial"/>
          <w:sz w:val="17"/>
          <w:szCs w:val="17"/>
          <w:color w:val="auto"/>
        </w:rPr>
        <w:t>. Because our electromechanical products and instruments address significant needs in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cerebral spinal fluid (CSF) management, neuro-critical care (NCC) monitoring, minimally invasive instruments and electrosurgery and ultrasonic medical technologies. We also work with several instrument partners to bring new surgical instrument patterns to the market, enabling us to add new instruments with minimal expense. Finally, our lighting franchise is among the most dynamic in the industry, and we continue to invest in ongoing development in LED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for Codman Specialty Surgical are the Aesculap division of B. Braun Medical, Inc., Medtronic, Inc., Stryker Corporation and Becton Dickinson and Company. In addition, we compete with many smaller specialized companies and larger companies that do not otherwise focus on the offerings that Codman Specialty Surgical technologies does. We rely on the depth and breadth of our sales and marketing organization, our innovative technology, and our procurement and manufacturing operations to maintain our competitive position.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competition in Orthopedics and Tissue Technologies includes the DePuy/Synthes business of Johnson &amp; Johnson, ACell, Inc., Stryker Corporation, Wright Medical Group, N.V., Smith &amp; Nephew plc, MiMedx Group, Inc., LifeCell Corporation, a subsidiary of Allergan PLC, and Zimmer Biomet Holdings, Inc., as well as other major orthopedic companies that carry a full line of small bone and joint fixation and soft tissue products.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 an Investigational Device Exemption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through the acquisition of Derma Sciences and BioD LLC ("BioD") is involved with the recovery, processing, storage, transportation and distribution of donated amniotic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 restrictions of the National Organ</w:t>
      </w:r>
      <w:r>
        <w:rPr>
          <w:rFonts w:ascii="Arial" w:cs="Arial" w:eastAsia="Arial" w:hAnsi="Arial"/>
          <w:sz w:val="16"/>
          <w:szCs w:val="16"/>
          <w:i w:val="1"/>
          <w:iCs w:val="1"/>
          <w:color w:val="auto"/>
        </w:rPr>
        <w:t xml:space="preserve"> </w:t>
      </w:r>
      <w:r>
        <w:rPr>
          <w:rFonts w:ascii="Arial" w:cs="Arial" w:eastAsia="Arial" w:hAnsi="Arial"/>
          <w:sz w:val="16"/>
          <w:szCs w:val="16"/>
          <w:color w:val="auto"/>
        </w:rPr>
        <w:t>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Our subsidiary, BioD LLC is a registered Tissue Bank and is involved with the recovery, storage and transportation of donated human amniotic tissue.</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Amniotic tissue is considered an HCT/P. However, on June 22, 2015, the FDA issued an Untitled Letter alleging that BioD’s morselized amniotic membrane tissue-based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high-risk uses could be subject to immediate enforcement action. The Company does not believe the uses for its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2"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 xml:space="preserve">amniotic membrane tissue-based products fall into the high risk category. As of February 26, 2019, the Company has not received any further notice of enforcement action from the FDA regarding its morselized amniotic tissue-based products. Revenues from BioD morselized amniotic membrane-based products for the year ended December 31, 2018 were less than 1.0% of consolidated revenues. See “Item 1A. Risk Factors — </w:t>
      </w:r>
      <w:r>
        <w:rPr>
          <w:rFonts w:ascii="Arial" w:cs="Arial" w:eastAsia="Arial" w:hAnsi="Arial"/>
          <w:sz w:val="18"/>
          <w:szCs w:val="18"/>
          <w:i w:val="1"/>
          <w:iCs w:val="1"/>
          <w:color w:val="auto"/>
        </w:rPr>
        <w:t>Certain of our products are</w:t>
      </w:r>
      <w:r>
        <w:rPr>
          <w:rFonts w:ascii="Arial" w:cs="Arial" w:eastAsia="Arial" w:hAnsi="Arial"/>
          <w:sz w:val="18"/>
          <w:szCs w:val="18"/>
          <w:color w:val="auto"/>
        </w:rPr>
        <w:t xml:space="preserve"> </w:t>
      </w:r>
      <w:r>
        <w:rPr>
          <w:rFonts w:ascii="Arial" w:cs="Arial" w:eastAsia="Arial" w:hAnsi="Arial"/>
          <w:sz w:val="18"/>
          <w:szCs w:val="18"/>
          <w:i w:val="1"/>
          <w:iCs w:val="1"/>
          <w:color w:val="auto"/>
        </w:rPr>
        <w:t>derived from human tissue and are subject to additional regulations and requirements.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U.S. These laws range from comprehensive medical device approval and Quality System requirements for some or all of our medical device products to simpler requests for product data or certifications. Under the European Union Medical Device Directive, medical devices must meet the Medical Device Directive standards and receive CE Mark Certification prior to marketing in the European Union (the “EU”). In addition, the EU enacted the EU Medical Device Regulation, which imposes stricter requirements on the marketing and sales of medical devices which includes but is not limited to quality systems and labeling. CE Mark Certification requires a comprehensive quality system program, technical documentation, clinical evaluation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Medical Device Regulation,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Arial" w:cs="Arial" w:eastAsia="Arial" w:hAnsi="Arial"/>
          <w:sz w:val="17"/>
          <w:szCs w:val="17"/>
          <w:i w:val="1"/>
          <w:iCs w:val="1"/>
          <w:color w:val="auto"/>
        </w:rPr>
        <w:t>Certain of our products contain materials derived from animal sources and may</w:t>
      </w:r>
      <w:r>
        <w:rPr>
          <w:rFonts w:ascii="Arial" w:cs="Arial" w:eastAsia="Arial" w:hAnsi="Arial"/>
          <w:sz w:val="17"/>
          <w:szCs w:val="17"/>
          <w:color w:val="auto"/>
        </w:rPr>
        <w:t xml:space="preserve"> </w:t>
      </w:r>
      <w:r>
        <w:rPr>
          <w:rFonts w:ascii="Arial" w:cs="Arial" w:eastAsia="Arial" w:hAnsi="Arial"/>
          <w:sz w:val="17"/>
          <w:szCs w:val="17"/>
          <w:i w:val="1"/>
          <w:iCs w:val="1"/>
          <w:color w:val="auto"/>
        </w:rPr>
        <w:t>become subject to additional regulation</w:t>
      </w:r>
      <w:r>
        <w:rPr>
          <w:rFonts w:ascii="Arial" w:cs="Arial" w:eastAsia="Arial" w:hAnsi="Arial"/>
          <w:sz w:val="17"/>
          <w:szCs w:val="17"/>
          <w:color w:val="auto"/>
        </w:rPr>
        <w: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Anti-Bribery Laws</w:t>
      </w:r>
      <w:r>
        <w:rPr>
          <w:rFonts w:ascii="Arial" w:cs="Arial" w:eastAsia="Arial" w:hAnsi="Arial"/>
          <w:sz w:val="16"/>
          <w:szCs w:val="16"/>
          <w:color w:val="auto"/>
        </w:rPr>
        <w:t>. In the U.S., we are subject to laws and regulations pertaining to healthcare fraud and abuse, including anti-kickback laws and physician</w:t>
      </w:r>
      <w:r>
        <w:rPr>
          <w:rFonts w:ascii="Arial" w:cs="Arial" w:eastAsia="Arial" w:hAnsi="Arial"/>
          <w:sz w:val="16"/>
          <w:szCs w:val="16"/>
          <w:i w:val="1"/>
          <w:iCs w:val="1"/>
          <w:color w:val="auto"/>
        </w:rPr>
        <w:t xml:space="preserve"> </w:t>
      </w:r>
      <w:r>
        <w:rPr>
          <w:rFonts w:ascii="Arial" w:cs="Arial" w:eastAsia="Arial" w:hAnsi="Arial"/>
          <w:sz w:val="16"/>
          <w:szCs w:val="16"/>
          <w:color w:val="auto"/>
        </w:rPr>
        <w:t>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6"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 xml:space="preserve">reimbursed under a federally funded healthcare program. These global laws require that we exercise care in designing our sales and marketing practices, including involving interactions with healthcare professionals, and customer discount arrangements. See “Item 1A. Risk Factors - </w:t>
      </w:r>
      <w:r>
        <w:rPr>
          <w:rFonts w:ascii="Arial" w:cs="Arial" w:eastAsia="Arial" w:hAnsi="Arial"/>
          <w:sz w:val="18"/>
          <w:szCs w:val="18"/>
          <w:i w:val="1"/>
          <w:iCs w:val="1"/>
          <w:color w:val="auto"/>
        </w:rPr>
        <w:t>Oversight of the medical</w:t>
      </w:r>
      <w:r>
        <w:rPr>
          <w:rFonts w:ascii="Arial" w:cs="Arial" w:eastAsia="Arial" w:hAnsi="Arial"/>
          <w:sz w:val="18"/>
          <w:szCs w:val="18"/>
          <w:color w:val="auto"/>
        </w:rPr>
        <w:t xml:space="preserve"> </w:t>
      </w:r>
      <w:r>
        <w:rPr>
          <w:rFonts w:ascii="Arial" w:cs="Arial" w:eastAsia="Arial" w:hAnsi="Arial"/>
          <w:sz w:val="18"/>
          <w:szCs w:val="18"/>
          <w:i w:val="1"/>
          <w:iCs w:val="1"/>
          <w:color w:val="auto"/>
        </w:rPr>
        <w:t>device industry might affect the manner in which we may sell medical devices and compete in the marketplace</w:t>
      </w:r>
      <w:r>
        <w:rPr>
          <w:rFonts w:ascii="Arial" w:cs="Arial" w:eastAsia="Arial" w:hAnsi="Arial"/>
          <w:sz w:val="18"/>
          <w:szCs w:val="18"/>
          <w:color w:val="auto"/>
        </w:rPr>
        <w:t>.”</w:t>
      </w:r>
    </w:p>
    <w:p>
      <w:pPr>
        <w:spacing w:after="0" w:line="181" w:lineRule="exact"/>
        <w:rPr>
          <w:sz w:val="20"/>
          <w:szCs w:val="20"/>
          <w:color w:val="auto"/>
        </w:rPr>
      </w:pPr>
    </w:p>
    <w:p>
      <w:pPr>
        <w:jc w:val="both"/>
        <w:ind w:firstLine="31"/>
        <w:spacing w:after="0" w:line="320" w:lineRule="auto"/>
        <w:rPr>
          <w:sz w:val="20"/>
          <w:szCs w:val="20"/>
          <w:color w:val="auto"/>
        </w:rPr>
      </w:pPr>
      <w:r>
        <w:rPr>
          <w:rFonts w:ascii="Arial" w:cs="Arial" w:eastAsia="Arial" w:hAnsi="Arial"/>
          <w:sz w:val="16"/>
          <w:szCs w:val="16"/>
          <w:i w:val="1"/>
          <w:iCs w:val="1"/>
          <w:color w:val="auto"/>
        </w:rPr>
        <w:t>Import-export</w:t>
      </w:r>
      <w:r>
        <w:rPr>
          <w:rFonts w:ascii="Arial" w:cs="Arial" w:eastAsia="Arial" w:hAnsi="Arial"/>
          <w:sz w:val="16"/>
          <w:szCs w:val="16"/>
          <w:color w:val="auto"/>
        </w:rPr>
        <w:t>. 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Data Privacy and Cybersecurity Laws and Regulations</w:t>
      </w:r>
      <w:r>
        <w:rPr>
          <w:rFonts w:ascii="Arial" w:cs="Arial" w:eastAsia="Arial" w:hAnsi="Arial"/>
          <w:sz w:val="16"/>
          <w:szCs w:val="16"/>
          <w:color w:val="auto"/>
        </w:rPr>
        <w:t>. As a business with a significant global footprint, compliance with evolving regulations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for example, we are subject to the EU data protection regulations, including the current EU Directive on Data Protection, which requires member states to impose minimum restrictions on the collection, use and transfer of personal data. A new EU General Data Protection Regulation ("GDPR") which became enforceable in May 2018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59"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AccuDrain</w:t>
      </w:r>
      <w:r>
        <w:rPr>
          <w:rFonts w:ascii="Arial" w:cs="Arial" w:eastAsia="Arial" w:hAnsi="Arial"/>
          <w:sz w:val="22"/>
          <w:szCs w:val="22"/>
          <w:color w:val="auto"/>
          <w:vertAlign w:val="superscript"/>
        </w:rPr>
        <w:t>®</w:t>
      </w:r>
      <w:r>
        <w:rPr>
          <w:rFonts w:ascii="Arial" w:cs="Arial" w:eastAsia="Arial" w:hAnsi="Arial"/>
          <w:sz w:val="16"/>
          <w:szCs w:val="16"/>
          <w:color w:val="auto"/>
        </w:rPr>
        <w:t>, AmnioExcel</w:t>
      </w:r>
      <w:r>
        <w:rPr>
          <w:rFonts w:ascii="Arial" w:cs="Arial" w:eastAsia="Arial" w:hAnsi="Arial"/>
          <w:sz w:val="22"/>
          <w:szCs w:val="22"/>
          <w:color w:val="auto"/>
          <w:vertAlign w:val="superscript"/>
        </w:rPr>
        <w:t>®</w:t>
      </w:r>
      <w:r>
        <w:rPr>
          <w:rFonts w:ascii="Arial" w:cs="Arial" w:eastAsia="Arial" w:hAnsi="Arial"/>
          <w:sz w:val="16"/>
          <w:szCs w:val="16"/>
          <w:color w:val="auto"/>
        </w:rPr>
        <w:t>, AmnioMatrix</w:t>
      </w:r>
      <w:r>
        <w:rPr>
          <w:rFonts w:ascii="Arial" w:cs="Arial" w:eastAsia="Arial" w:hAnsi="Arial"/>
          <w:sz w:val="22"/>
          <w:szCs w:val="22"/>
          <w:color w:val="auto"/>
          <w:vertAlign w:val="superscript"/>
        </w:rPr>
        <w:t>®</w:t>
      </w:r>
      <w:r>
        <w:rPr>
          <w:rFonts w:ascii="Arial" w:cs="Arial" w:eastAsia="Arial" w:hAnsi="Arial"/>
          <w:sz w:val="16"/>
          <w:szCs w:val="16"/>
          <w:color w:val="auto"/>
        </w:rPr>
        <w:t>, BioDFactor</w:t>
      </w:r>
      <w:r>
        <w:rPr>
          <w:rFonts w:ascii="Arial" w:cs="Arial" w:eastAsia="Arial" w:hAnsi="Arial"/>
          <w:sz w:val="22"/>
          <w:szCs w:val="22"/>
          <w:color w:val="auto"/>
          <w:vertAlign w:val="superscript"/>
        </w:rPr>
        <w:t>®</w:t>
      </w:r>
      <w:r>
        <w:rPr>
          <w:rFonts w:ascii="Arial" w:cs="Arial" w:eastAsia="Arial" w:hAnsi="Arial"/>
          <w:sz w:val="16"/>
          <w:szCs w:val="16"/>
          <w:color w:val="auto"/>
        </w:rPr>
        <w:t>, BioDFence</w:t>
      </w:r>
      <w:r>
        <w:rPr>
          <w:rFonts w:ascii="Arial" w:cs="Arial" w:eastAsia="Arial" w:hAnsi="Arial"/>
          <w:sz w:val="22"/>
          <w:szCs w:val="22"/>
          <w:color w:val="auto"/>
          <w:vertAlign w:val="superscript"/>
        </w:rPr>
        <w:t>®</w:t>
      </w:r>
      <w:r>
        <w:rPr>
          <w:rFonts w:ascii="Arial" w:cs="Arial" w:eastAsia="Arial" w:hAnsi="Arial"/>
          <w:sz w:val="16"/>
          <w:szCs w:val="16"/>
          <w:color w:val="auto"/>
        </w:rPr>
        <w:t>, BioDOptix</w:t>
      </w:r>
      <w:r>
        <w:rPr>
          <w:rFonts w:ascii="Arial" w:cs="Arial" w:eastAsia="Arial" w:hAnsi="Arial"/>
          <w:sz w:val="22"/>
          <w:szCs w:val="22"/>
          <w:color w:val="auto"/>
          <w:vertAlign w:val="superscript"/>
        </w:rPr>
        <w:t>®</w:t>
      </w:r>
      <w:r>
        <w:rPr>
          <w:rFonts w:ascii="Arial" w:cs="Arial" w:eastAsia="Arial" w:hAnsi="Arial"/>
          <w:sz w:val="16"/>
          <w:szCs w:val="16"/>
          <w:color w:val="auto"/>
        </w:rPr>
        <w:t>, BioDRestore™, Bioguard</w:t>
      </w:r>
      <w:r>
        <w:rPr>
          <w:rFonts w:ascii="Arial" w:cs="Arial" w:eastAsia="Arial" w:hAnsi="Arial"/>
          <w:sz w:val="22"/>
          <w:szCs w:val="22"/>
          <w:color w:val="auto"/>
          <w:vertAlign w:val="superscript"/>
        </w:rPr>
        <w:t>®</w:t>
      </w:r>
      <w:r>
        <w:rPr>
          <w:rFonts w:ascii="Arial" w:cs="Arial" w:eastAsia="Arial" w:hAnsi="Arial"/>
          <w:sz w:val="16"/>
          <w:szCs w:val="16"/>
          <w:color w:val="auto"/>
        </w:rPr>
        <w:t>, BioMotion</w:t>
      </w:r>
      <w:r>
        <w:rPr>
          <w:rFonts w:ascii="Arial" w:cs="Arial" w:eastAsia="Arial" w:hAnsi="Arial"/>
          <w:sz w:val="22"/>
          <w:szCs w:val="22"/>
          <w:color w:val="auto"/>
          <w:vertAlign w:val="superscript"/>
        </w:rPr>
        <w:t>®</w:t>
      </w:r>
      <w:r>
        <w:rPr>
          <w:rFonts w:ascii="Arial" w:cs="Arial" w:eastAsia="Arial" w:hAnsi="Arial"/>
          <w:sz w:val="16"/>
          <w:szCs w:val="16"/>
          <w:color w:val="auto"/>
        </w:rPr>
        <w:t>, Bold</w:t>
      </w:r>
      <w:r>
        <w:rPr>
          <w:rFonts w:ascii="Arial" w:cs="Arial" w:eastAsia="Arial" w:hAnsi="Arial"/>
          <w:sz w:val="22"/>
          <w:szCs w:val="22"/>
          <w:color w:val="auto"/>
          <w:vertAlign w:val="superscript"/>
        </w:rPr>
        <w:t>®</w:t>
      </w:r>
      <w:r>
        <w:rPr>
          <w:rFonts w:ascii="Arial" w:cs="Arial" w:eastAsia="Arial" w:hAnsi="Arial"/>
          <w:sz w:val="16"/>
          <w:szCs w:val="16"/>
          <w:color w:val="auto"/>
        </w:rPr>
        <w:t>, Budde</w:t>
      </w:r>
      <w:r>
        <w:rPr>
          <w:rFonts w:ascii="Arial" w:cs="Arial" w:eastAsia="Arial" w:hAnsi="Arial"/>
          <w:sz w:val="22"/>
          <w:szCs w:val="22"/>
          <w:color w:val="auto"/>
          <w:vertAlign w:val="superscript"/>
        </w:rPr>
        <w:t>®</w:t>
      </w:r>
      <w:r>
        <w:rPr>
          <w:rFonts w:ascii="Arial" w:cs="Arial" w:eastAsia="Arial" w:hAnsi="Arial"/>
          <w:sz w:val="16"/>
          <w:szCs w:val="16"/>
          <w:color w:val="auto"/>
        </w:rPr>
        <w:t>, Buzz™, Cadence</w:t>
      </w:r>
      <w:r>
        <w:rPr>
          <w:rFonts w:ascii="Arial" w:cs="Arial" w:eastAsia="Arial" w:hAnsi="Arial"/>
          <w:sz w:val="22"/>
          <w:szCs w:val="22"/>
          <w:color w:val="auto"/>
          <w:vertAlign w:val="superscript"/>
        </w:rPr>
        <w:t>®</w:t>
      </w:r>
      <w:r>
        <w:rPr>
          <w:rFonts w:ascii="Arial" w:cs="Arial" w:eastAsia="Arial" w:hAnsi="Arial"/>
          <w:sz w:val="16"/>
          <w:szCs w:val="16"/>
          <w:color w:val="auto"/>
        </w:rPr>
        <w:t>, Capture™, Codman</w:t>
      </w:r>
      <w:r>
        <w:rPr>
          <w:rFonts w:ascii="Arial" w:cs="Arial" w:eastAsia="Arial" w:hAnsi="Arial"/>
          <w:sz w:val="22"/>
          <w:szCs w:val="22"/>
          <w:color w:val="auto"/>
          <w:vertAlign w:val="superscript"/>
        </w:rPr>
        <w:t>®</w:t>
      </w:r>
      <w:r>
        <w:rPr>
          <w:rFonts w:ascii="Arial" w:cs="Arial" w:eastAsia="Arial" w:hAnsi="Arial"/>
          <w:sz w:val="16"/>
          <w:szCs w:val="16"/>
          <w:color w:val="auto"/>
        </w:rPr>
        <w:t>, Codman Certas</w:t>
      </w:r>
      <w:r>
        <w:rPr>
          <w:rFonts w:ascii="Arial" w:cs="Arial" w:eastAsia="Arial" w:hAnsi="Arial"/>
          <w:sz w:val="22"/>
          <w:szCs w:val="22"/>
          <w:color w:val="auto"/>
          <w:vertAlign w:val="superscript"/>
        </w:rPr>
        <w:t>®</w:t>
      </w:r>
      <w:r>
        <w:rPr>
          <w:rFonts w:ascii="Arial" w:cs="Arial" w:eastAsia="Arial" w:hAnsi="Arial"/>
          <w:sz w:val="16"/>
          <w:szCs w:val="16"/>
          <w:color w:val="auto"/>
        </w:rPr>
        <w:t>, Codman VersaTru</w:t>
      </w:r>
      <w:r>
        <w:rPr>
          <w:rFonts w:ascii="Arial" w:cs="Arial" w:eastAsia="Arial" w:hAnsi="Arial"/>
          <w:sz w:val="22"/>
          <w:szCs w:val="22"/>
          <w:color w:val="auto"/>
          <w:vertAlign w:val="superscript"/>
        </w:rPr>
        <w:t>®</w:t>
      </w:r>
      <w:r>
        <w:rPr>
          <w:rFonts w:ascii="Arial" w:cs="Arial" w:eastAsia="Arial" w:hAnsi="Arial"/>
          <w:sz w:val="16"/>
          <w:szCs w:val="16"/>
          <w:color w:val="auto"/>
        </w:rPr>
        <w:t>, CRW</w:t>
      </w:r>
      <w:r>
        <w:rPr>
          <w:rFonts w:ascii="Arial" w:cs="Arial" w:eastAsia="Arial" w:hAnsi="Arial"/>
          <w:sz w:val="22"/>
          <w:szCs w:val="22"/>
          <w:color w:val="auto"/>
          <w:vertAlign w:val="superscript"/>
        </w:rPr>
        <w:t>®</w:t>
      </w:r>
      <w:r>
        <w:rPr>
          <w:rFonts w:ascii="Arial" w:cs="Arial" w:eastAsia="Arial" w:hAnsi="Arial"/>
          <w:sz w:val="16"/>
          <w:szCs w:val="16"/>
          <w:color w:val="auto"/>
        </w:rPr>
        <w:t>, CUSA</w:t>
      </w:r>
      <w:r>
        <w:rPr>
          <w:rFonts w:ascii="Arial" w:cs="Arial" w:eastAsia="Arial" w:hAnsi="Arial"/>
          <w:sz w:val="22"/>
          <w:szCs w:val="22"/>
          <w:color w:val="auto"/>
          <w:vertAlign w:val="superscript"/>
        </w:rPr>
        <w:t>®</w:t>
      </w:r>
      <w:r>
        <w:rPr>
          <w:rFonts w:ascii="Arial" w:cs="Arial" w:eastAsia="Arial" w:hAnsi="Arial"/>
          <w:sz w:val="16"/>
          <w:szCs w:val="16"/>
          <w:color w:val="auto"/>
        </w:rPr>
        <w:t>, DigiFuse</w:t>
      </w:r>
      <w:r>
        <w:rPr>
          <w:rFonts w:ascii="Arial" w:cs="Arial" w:eastAsia="Arial" w:hAnsi="Arial"/>
          <w:sz w:val="22"/>
          <w:szCs w:val="22"/>
          <w:color w:val="auto"/>
          <w:vertAlign w:val="superscript"/>
        </w:rPr>
        <w:t>®</w:t>
      </w:r>
      <w:r>
        <w:rPr>
          <w:rFonts w:ascii="Arial" w:cs="Arial" w:eastAsia="Arial" w:hAnsi="Arial"/>
          <w:sz w:val="16"/>
          <w:szCs w:val="16"/>
          <w:color w:val="auto"/>
        </w:rPr>
        <w:t>, DirectLink</w:t>
      </w:r>
      <w:r>
        <w:rPr>
          <w:rFonts w:ascii="Arial" w:cs="Arial" w:eastAsia="Arial" w:hAnsi="Arial"/>
          <w:sz w:val="22"/>
          <w:szCs w:val="22"/>
          <w:color w:val="auto"/>
          <w:vertAlign w:val="superscript"/>
        </w:rPr>
        <w:t>®</w:t>
      </w:r>
      <w:r>
        <w:rPr>
          <w:rFonts w:ascii="Arial" w:cs="Arial" w:eastAsia="Arial" w:hAnsi="Arial"/>
          <w:sz w:val="16"/>
          <w:szCs w:val="16"/>
          <w:color w:val="auto"/>
        </w:rPr>
        <w:t>, DuraGen</w:t>
      </w:r>
      <w:r>
        <w:rPr>
          <w:rFonts w:ascii="Arial" w:cs="Arial" w:eastAsia="Arial" w:hAnsi="Arial"/>
          <w:sz w:val="22"/>
          <w:szCs w:val="22"/>
          <w:color w:val="auto"/>
          <w:vertAlign w:val="superscript"/>
        </w:rPr>
        <w:t>®</w:t>
      </w:r>
      <w:r>
        <w:rPr>
          <w:rFonts w:ascii="Arial" w:cs="Arial" w:eastAsia="Arial" w:hAnsi="Arial"/>
          <w:sz w:val="16"/>
          <w:szCs w:val="16"/>
          <w:color w:val="auto"/>
        </w:rPr>
        <w:t>, DuraSeal</w:t>
      </w:r>
      <w:r>
        <w:rPr>
          <w:rFonts w:ascii="Arial" w:cs="Arial" w:eastAsia="Arial" w:hAnsi="Arial"/>
          <w:sz w:val="22"/>
          <w:szCs w:val="22"/>
          <w:color w:val="auto"/>
          <w:vertAlign w:val="superscript"/>
        </w:rPr>
        <w:t>®</w:t>
      </w:r>
      <w:r>
        <w:rPr>
          <w:rFonts w:ascii="Arial" w:cs="Arial" w:eastAsia="Arial" w:hAnsi="Arial"/>
          <w:sz w:val="16"/>
          <w:szCs w:val="16"/>
          <w:color w:val="auto"/>
        </w:rPr>
        <w:t>, First Choice</w:t>
      </w:r>
      <w:r>
        <w:rPr>
          <w:rFonts w:ascii="Arial" w:cs="Arial" w:eastAsia="Arial" w:hAnsi="Arial"/>
          <w:sz w:val="22"/>
          <w:szCs w:val="22"/>
          <w:color w:val="auto"/>
          <w:vertAlign w:val="superscript"/>
        </w:rPr>
        <w:t>®</w:t>
      </w:r>
      <w:r>
        <w:rPr>
          <w:rFonts w:ascii="Arial" w:cs="Arial" w:eastAsia="Arial" w:hAnsi="Arial"/>
          <w:sz w:val="16"/>
          <w:szCs w:val="16"/>
          <w:color w:val="auto"/>
        </w:rPr>
        <w:t>, Hallu</w:t>
      </w:r>
      <w:r>
        <w:rPr>
          <w:rFonts w:ascii="Arial" w:cs="Arial" w:eastAsia="Arial" w:hAnsi="Arial"/>
          <w:sz w:val="22"/>
          <w:szCs w:val="22"/>
          <w:color w:val="auto"/>
          <w:vertAlign w:val="superscript"/>
        </w:rPr>
        <w:t>®</w:t>
      </w:r>
      <w:r>
        <w:rPr>
          <w:rFonts w:ascii="Arial" w:cs="Arial" w:eastAsia="Arial" w:hAnsi="Arial"/>
          <w:sz w:val="16"/>
          <w:szCs w:val="16"/>
          <w:color w:val="auto"/>
        </w:rPr>
        <w:t>, HeliCote</w:t>
      </w:r>
      <w:r>
        <w:rPr>
          <w:rFonts w:ascii="Arial" w:cs="Arial" w:eastAsia="Arial" w:hAnsi="Arial"/>
          <w:sz w:val="22"/>
          <w:szCs w:val="22"/>
          <w:color w:val="auto"/>
          <w:vertAlign w:val="superscript"/>
        </w:rPr>
        <w:t>®</w:t>
      </w:r>
      <w:r>
        <w:rPr>
          <w:rFonts w:ascii="Arial" w:cs="Arial" w:eastAsia="Arial" w:hAnsi="Arial"/>
          <w:sz w:val="16"/>
          <w:szCs w:val="16"/>
          <w:color w:val="auto"/>
        </w:rPr>
        <w:t>, HeliPlug</w:t>
      </w:r>
      <w:r>
        <w:rPr>
          <w:rFonts w:ascii="Arial" w:cs="Arial" w:eastAsia="Arial" w:hAnsi="Arial"/>
          <w:sz w:val="22"/>
          <w:szCs w:val="22"/>
          <w:color w:val="auto"/>
          <w:vertAlign w:val="superscript"/>
        </w:rPr>
        <w:t>®</w:t>
      </w:r>
      <w:r>
        <w:rPr>
          <w:rFonts w:ascii="Arial" w:cs="Arial" w:eastAsia="Arial" w:hAnsi="Arial"/>
          <w:sz w:val="16"/>
          <w:szCs w:val="16"/>
          <w:color w:val="auto"/>
        </w:rPr>
        <w:t>, HeliTape</w:t>
      </w:r>
      <w:r>
        <w:rPr>
          <w:rFonts w:ascii="Arial" w:cs="Arial" w:eastAsia="Arial" w:hAnsi="Arial"/>
          <w:sz w:val="22"/>
          <w:szCs w:val="22"/>
          <w:color w:val="auto"/>
          <w:vertAlign w:val="superscript"/>
        </w:rPr>
        <w:t>®</w:t>
      </w:r>
      <w:r>
        <w:rPr>
          <w:rFonts w:ascii="Arial" w:cs="Arial" w:eastAsia="Arial" w:hAnsi="Arial"/>
          <w:sz w:val="16"/>
          <w:szCs w:val="16"/>
          <w:color w:val="auto"/>
        </w:rPr>
        <w:t>, HeliMend</w:t>
      </w:r>
      <w:r>
        <w:rPr>
          <w:rFonts w:ascii="Arial" w:cs="Arial" w:eastAsia="Arial" w:hAnsi="Arial"/>
          <w:sz w:val="22"/>
          <w:szCs w:val="22"/>
          <w:color w:val="auto"/>
          <w:vertAlign w:val="superscript"/>
        </w:rPr>
        <w:t>®</w:t>
      </w:r>
      <w:r>
        <w:rPr>
          <w:rFonts w:ascii="Arial" w:cs="Arial" w:eastAsia="Arial" w:hAnsi="Arial"/>
          <w:sz w:val="16"/>
          <w:szCs w:val="16"/>
          <w:color w:val="auto"/>
        </w:rPr>
        <w:t>, Helistat</w:t>
      </w:r>
      <w:r>
        <w:rPr>
          <w:rFonts w:ascii="Arial" w:cs="Arial" w:eastAsia="Arial" w:hAnsi="Arial"/>
          <w:sz w:val="22"/>
          <w:szCs w:val="22"/>
          <w:color w:val="auto"/>
          <w:vertAlign w:val="superscript"/>
        </w:rPr>
        <w:t>®</w:t>
      </w:r>
      <w:r>
        <w:rPr>
          <w:rFonts w:ascii="Arial" w:cs="Arial" w:eastAsia="Arial" w:hAnsi="Arial"/>
          <w:sz w:val="16"/>
          <w:szCs w:val="16"/>
          <w:color w:val="auto"/>
        </w:rPr>
        <w:t>, Helitene</w:t>
      </w:r>
      <w:r>
        <w:rPr>
          <w:rFonts w:ascii="Arial" w:cs="Arial" w:eastAsia="Arial" w:hAnsi="Arial"/>
          <w:sz w:val="22"/>
          <w:szCs w:val="22"/>
          <w:color w:val="auto"/>
          <w:vertAlign w:val="superscript"/>
        </w:rPr>
        <w:t>®</w:t>
      </w:r>
      <w:r>
        <w:rPr>
          <w:rFonts w:ascii="Arial" w:cs="Arial" w:eastAsia="Arial" w:hAnsi="Arial"/>
          <w:sz w:val="16"/>
          <w:szCs w:val="16"/>
          <w:color w:val="auto"/>
        </w:rPr>
        <w:t>, Integra</w:t>
      </w:r>
      <w:r>
        <w:rPr>
          <w:rFonts w:ascii="Arial" w:cs="Arial" w:eastAsia="Arial" w:hAnsi="Arial"/>
          <w:sz w:val="22"/>
          <w:szCs w:val="22"/>
          <w:color w:val="auto"/>
          <w:vertAlign w:val="superscript"/>
        </w:rPr>
        <w:t>®</w:t>
      </w:r>
      <w:r>
        <w:rPr>
          <w:rFonts w:ascii="Arial" w:cs="Arial" w:eastAsia="Arial" w:hAnsi="Arial"/>
          <w:sz w:val="16"/>
          <w:szCs w:val="16"/>
          <w:color w:val="auto"/>
        </w:rPr>
        <w:t>, IntegraLink</w:t>
      </w:r>
      <w:r>
        <w:rPr>
          <w:rFonts w:ascii="Arial" w:cs="Arial" w:eastAsia="Arial" w:hAnsi="Arial"/>
          <w:sz w:val="22"/>
          <w:szCs w:val="22"/>
          <w:color w:val="auto"/>
          <w:vertAlign w:val="superscript"/>
        </w:rPr>
        <w:t>®</w:t>
      </w:r>
      <w:r>
        <w:rPr>
          <w:rFonts w:ascii="Arial" w:cs="Arial" w:eastAsia="Arial" w:hAnsi="Arial"/>
          <w:sz w:val="16"/>
          <w:szCs w:val="16"/>
          <w:color w:val="auto"/>
        </w:rPr>
        <w:t>, IPP-ON</w:t>
      </w:r>
      <w:r>
        <w:rPr>
          <w:rFonts w:ascii="Arial" w:cs="Arial" w:eastAsia="Arial" w:hAnsi="Arial"/>
          <w:sz w:val="22"/>
          <w:szCs w:val="22"/>
          <w:color w:val="auto"/>
          <w:vertAlign w:val="superscript"/>
        </w:rPr>
        <w:t>®</w:t>
      </w:r>
      <w:r>
        <w:rPr>
          <w:rFonts w:ascii="Arial" w:cs="Arial" w:eastAsia="Arial" w:hAnsi="Arial"/>
          <w:sz w:val="16"/>
          <w:szCs w:val="16"/>
          <w:color w:val="auto"/>
        </w:rPr>
        <w:t>, Isocool</w:t>
      </w:r>
      <w:r>
        <w:rPr>
          <w:rFonts w:ascii="Arial" w:cs="Arial" w:eastAsia="Arial" w:hAnsi="Arial"/>
          <w:sz w:val="22"/>
          <w:szCs w:val="22"/>
          <w:color w:val="auto"/>
          <w:vertAlign w:val="superscript"/>
        </w:rPr>
        <w:t>®</w:t>
      </w:r>
      <w:r>
        <w:rPr>
          <w:rFonts w:ascii="Arial" w:cs="Arial" w:eastAsia="Arial" w:hAnsi="Arial"/>
          <w:sz w:val="16"/>
          <w:szCs w:val="16"/>
          <w:color w:val="auto"/>
        </w:rPr>
        <w:t>, Jarit</w:t>
      </w:r>
      <w:r>
        <w:rPr>
          <w:rFonts w:ascii="Arial" w:cs="Arial" w:eastAsia="Arial" w:hAnsi="Arial"/>
          <w:sz w:val="22"/>
          <w:szCs w:val="22"/>
          <w:color w:val="auto"/>
          <w:vertAlign w:val="superscript"/>
        </w:rPr>
        <w:t>®</w:t>
      </w:r>
      <w:r>
        <w:rPr>
          <w:rFonts w:ascii="Arial" w:cs="Arial" w:eastAsia="Arial" w:hAnsi="Arial"/>
          <w:sz w:val="16"/>
          <w:szCs w:val="16"/>
          <w:color w:val="auto"/>
        </w:rPr>
        <w:t>, Licox</w:t>
      </w:r>
      <w:r>
        <w:rPr>
          <w:rFonts w:ascii="Arial" w:cs="Arial" w:eastAsia="Arial" w:hAnsi="Arial"/>
          <w:sz w:val="22"/>
          <w:szCs w:val="22"/>
          <w:color w:val="auto"/>
          <w:vertAlign w:val="superscript"/>
        </w:rPr>
        <w:t>®</w:t>
      </w:r>
      <w:r>
        <w:rPr>
          <w:rFonts w:ascii="Arial" w:cs="Arial" w:eastAsia="Arial" w:hAnsi="Arial"/>
          <w:sz w:val="16"/>
          <w:szCs w:val="16"/>
          <w:color w:val="auto"/>
        </w:rPr>
        <w:t>, LimiTorr™, Luxtec</w:t>
      </w:r>
      <w:r>
        <w:rPr>
          <w:rFonts w:ascii="Arial" w:cs="Arial" w:eastAsia="Arial" w:hAnsi="Arial"/>
          <w:sz w:val="22"/>
          <w:szCs w:val="22"/>
          <w:color w:val="auto"/>
          <w:vertAlign w:val="superscript"/>
        </w:rPr>
        <w:t>®</w:t>
      </w:r>
      <w:r>
        <w:rPr>
          <w:rFonts w:ascii="Arial" w:cs="Arial" w:eastAsia="Arial" w:hAnsi="Arial"/>
          <w:sz w:val="16"/>
          <w:szCs w:val="16"/>
          <w:color w:val="auto"/>
        </w:rPr>
        <w:t>, MediHoney</w:t>
      </w:r>
      <w:r>
        <w:rPr>
          <w:rFonts w:ascii="Arial" w:cs="Arial" w:eastAsia="Arial" w:hAnsi="Arial"/>
          <w:sz w:val="22"/>
          <w:szCs w:val="22"/>
          <w:color w:val="auto"/>
          <w:vertAlign w:val="superscript"/>
        </w:rPr>
        <w:t>®</w:t>
      </w:r>
      <w:r>
        <w:rPr>
          <w:rFonts w:ascii="Arial" w:cs="Arial" w:eastAsia="Arial" w:hAnsi="Arial"/>
          <w:sz w:val="16"/>
          <w:szCs w:val="16"/>
          <w:color w:val="auto"/>
        </w:rPr>
        <w:t>, MemoFix</w:t>
      </w:r>
      <w:r>
        <w:rPr>
          <w:rFonts w:ascii="Arial" w:cs="Arial" w:eastAsia="Arial" w:hAnsi="Arial"/>
          <w:sz w:val="22"/>
          <w:szCs w:val="22"/>
          <w:color w:val="auto"/>
          <w:vertAlign w:val="superscript"/>
        </w:rPr>
        <w:t>®</w:t>
      </w:r>
      <w:r>
        <w:rPr>
          <w:rFonts w:ascii="Arial" w:cs="Arial" w:eastAsia="Arial" w:hAnsi="Arial"/>
          <w:sz w:val="16"/>
          <w:szCs w:val="16"/>
          <w:color w:val="auto"/>
        </w:rPr>
        <w:t>, MicroFrance</w:t>
      </w:r>
      <w:r>
        <w:rPr>
          <w:rFonts w:ascii="Arial" w:cs="Arial" w:eastAsia="Arial" w:hAnsi="Arial"/>
          <w:sz w:val="22"/>
          <w:szCs w:val="22"/>
          <w:color w:val="auto"/>
          <w:vertAlign w:val="superscript"/>
        </w:rPr>
        <w:t>®</w:t>
      </w:r>
      <w:r>
        <w:rPr>
          <w:rFonts w:ascii="Arial" w:cs="Arial" w:eastAsia="Arial" w:hAnsi="Arial"/>
          <w:sz w:val="16"/>
          <w:szCs w:val="16"/>
          <w:color w:val="auto"/>
        </w:rPr>
        <w:t>, Miltex</w:t>
      </w:r>
      <w:r>
        <w:rPr>
          <w:rFonts w:ascii="Arial" w:cs="Arial" w:eastAsia="Arial" w:hAnsi="Arial"/>
          <w:sz w:val="22"/>
          <w:szCs w:val="22"/>
          <w:color w:val="auto"/>
          <w:vertAlign w:val="superscript"/>
        </w:rPr>
        <w:t>®</w:t>
      </w:r>
      <w:r>
        <w:rPr>
          <w:rFonts w:ascii="Arial" w:cs="Arial" w:eastAsia="Arial" w:hAnsi="Arial"/>
          <w:sz w:val="16"/>
          <w:szCs w:val="16"/>
          <w:color w:val="auto"/>
        </w:rPr>
        <w:t>, Movement</w:t>
      </w:r>
      <w:r>
        <w:rPr>
          <w:rFonts w:ascii="Arial" w:cs="Arial" w:eastAsia="Arial" w:hAnsi="Arial"/>
          <w:sz w:val="22"/>
          <w:szCs w:val="22"/>
          <w:color w:val="auto"/>
          <w:vertAlign w:val="superscript"/>
        </w:rPr>
        <w:t>®</w:t>
      </w:r>
      <w:r>
        <w:rPr>
          <w:rFonts w:ascii="Arial" w:cs="Arial" w:eastAsia="Arial" w:hAnsi="Arial"/>
          <w:sz w:val="16"/>
          <w:szCs w:val="16"/>
          <w:color w:val="auto"/>
        </w:rPr>
        <w:t>, NeuraGen</w:t>
      </w:r>
      <w:r>
        <w:rPr>
          <w:rFonts w:ascii="Arial" w:cs="Arial" w:eastAsia="Arial" w:hAnsi="Arial"/>
          <w:sz w:val="22"/>
          <w:szCs w:val="22"/>
          <w:color w:val="auto"/>
          <w:vertAlign w:val="superscript"/>
        </w:rPr>
        <w:t>®</w:t>
      </w:r>
      <w:r>
        <w:rPr>
          <w:rFonts w:ascii="Arial" w:cs="Arial" w:eastAsia="Arial" w:hAnsi="Arial"/>
          <w:sz w:val="16"/>
          <w:szCs w:val="16"/>
          <w:color w:val="auto"/>
        </w:rPr>
        <w:t>, NeuraWrap™, NuGrip</w:t>
      </w:r>
      <w:r>
        <w:rPr>
          <w:rFonts w:ascii="Arial" w:cs="Arial" w:eastAsia="Arial" w:hAnsi="Arial"/>
          <w:sz w:val="22"/>
          <w:szCs w:val="22"/>
          <w:color w:val="auto"/>
          <w:vertAlign w:val="superscript"/>
        </w:rPr>
        <w:t>®</w:t>
      </w:r>
      <w:r>
        <w:rPr>
          <w:rFonts w:ascii="Arial" w:cs="Arial" w:eastAsia="Arial" w:hAnsi="Arial"/>
          <w:sz w:val="16"/>
          <w:szCs w:val="16"/>
          <w:color w:val="auto"/>
        </w:rPr>
        <w:t>, Omnigraft</w:t>
      </w:r>
      <w:r>
        <w:rPr>
          <w:rFonts w:ascii="Arial" w:cs="Arial" w:eastAsia="Arial" w:hAnsi="Arial"/>
          <w:sz w:val="22"/>
          <w:szCs w:val="22"/>
          <w:color w:val="auto"/>
          <w:vertAlign w:val="superscript"/>
        </w:rPr>
        <w:t>®</w:t>
      </w:r>
      <w:r>
        <w:rPr>
          <w:rFonts w:ascii="Arial" w:cs="Arial" w:eastAsia="Arial" w:hAnsi="Arial"/>
          <w:sz w:val="16"/>
          <w:szCs w:val="16"/>
          <w:color w:val="auto"/>
        </w:rPr>
        <w:t>, Omni-Tract</w:t>
      </w:r>
      <w:r>
        <w:rPr>
          <w:rFonts w:ascii="Arial" w:cs="Arial" w:eastAsia="Arial" w:hAnsi="Arial"/>
          <w:sz w:val="22"/>
          <w:szCs w:val="22"/>
          <w:color w:val="auto"/>
          <w:vertAlign w:val="superscript"/>
        </w:rPr>
        <w:t>®</w:t>
      </w:r>
      <w:r>
        <w:rPr>
          <w:rFonts w:ascii="Arial" w:cs="Arial" w:eastAsia="Arial" w:hAnsi="Arial"/>
          <w:sz w:val="16"/>
          <w:szCs w:val="16"/>
          <w:color w:val="auto"/>
        </w:rPr>
        <w:t>, OSV II</w:t>
      </w:r>
      <w:r>
        <w:rPr>
          <w:rFonts w:ascii="Arial" w:cs="Arial" w:eastAsia="Arial" w:hAnsi="Arial"/>
          <w:sz w:val="22"/>
          <w:szCs w:val="22"/>
          <w:color w:val="auto"/>
          <w:vertAlign w:val="superscript"/>
        </w:rPr>
        <w:t>®</w:t>
      </w:r>
      <w:r>
        <w:rPr>
          <w:rFonts w:ascii="Arial" w:cs="Arial" w:eastAsia="Arial" w:hAnsi="Arial"/>
          <w:sz w:val="16"/>
          <w:szCs w:val="16"/>
          <w:color w:val="auto"/>
        </w:rPr>
        <w:t>, Qwix</w:t>
      </w:r>
      <w:r>
        <w:rPr>
          <w:rFonts w:ascii="Arial" w:cs="Arial" w:eastAsia="Arial" w:hAnsi="Arial"/>
          <w:sz w:val="22"/>
          <w:szCs w:val="22"/>
          <w:color w:val="auto"/>
          <w:vertAlign w:val="superscript"/>
        </w:rPr>
        <w:t>®</w:t>
      </w:r>
      <w:r>
        <w:rPr>
          <w:rFonts w:ascii="Arial" w:cs="Arial" w:eastAsia="Arial" w:hAnsi="Arial"/>
          <w:sz w:val="16"/>
          <w:szCs w:val="16"/>
          <w:color w:val="auto"/>
        </w:rPr>
        <w:t>, Padgett</w:t>
      </w:r>
      <w:r>
        <w:rPr>
          <w:rFonts w:ascii="Arial" w:cs="Arial" w:eastAsia="Arial" w:hAnsi="Arial"/>
          <w:sz w:val="22"/>
          <w:szCs w:val="22"/>
          <w:color w:val="auto"/>
          <w:vertAlign w:val="superscript"/>
        </w:rPr>
        <w:t>®</w:t>
      </w:r>
      <w:r>
        <w:rPr>
          <w:rFonts w:ascii="Arial" w:cs="Arial" w:eastAsia="Arial" w:hAnsi="Arial"/>
          <w:sz w:val="16"/>
          <w:szCs w:val="16"/>
          <w:color w:val="auto"/>
        </w:rPr>
        <w:t>, Panta</w:t>
      </w:r>
      <w:r>
        <w:rPr>
          <w:rFonts w:ascii="Arial" w:cs="Arial" w:eastAsia="Arial" w:hAnsi="Arial"/>
          <w:sz w:val="22"/>
          <w:szCs w:val="22"/>
          <w:color w:val="auto"/>
          <w:vertAlign w:val="superscript"/>
        </w:rPr>
        <w:t>®</w:t>
      </w:r>
      <w:r>
        <w:rPr>
          <w:rFonts w:ascii="Arial" w:cs="Arial" w:eastAsia="Arial" w:hAnsi="Arial"/>
          <w:sz w:val="16"/>
          <w:szCs w:val="16"/>
          <w:color w:val="auto"/>
        </w:rPr>
        <w:t>, PriMatrix</w:t>
      </w:r>
      <w:r>
        <w:rPr>
          <w:rFonts w:ascii="Arial" w:cs="Arial" w:eastAsia="Arial" w:hAnsi="Arial"/>
          <w:sz w:val="22"/>
          <w:szCs w:val="22"/>
          <w:color w:val="auto"/>
          <w:vertAlign w:val="superscript"/>
        </w:rPr>
        <w:t>®</w:t>
      </w:r>
      <w:r>
        <w:rPr>
          <w:rFonts w:ascii="Arial" w:cs="Arial" w:eastAsia="Arial" w:hAnsi="Arial"/>
          <w:sz w:val="16"/>
          <w:szCs w:val="16"/>
          <w:color w:val="auto"/>
        </w:rPr>
        <w:t>, PyroSphere</w:t>
      </w:r>
      <w:r>
        <w:rPr>
          <w:rFonts w:ascii="Arial" w:cs="Arial" w:eastAsia="Arial" w:hAnsi="Arial"/>
          <w:sz w:val="22"/>
          <w:szCs w:val="22"/>
          <w:color w:val="auto"/>
          <w:vertAlign w:val="superscript"/>
        </w:rPr>
        <w:t>®</w:t>
      </w:r>
      <w:r>
        <w:rPr>
          <w:rFonts w:ascii="Arial" w:cs="Arial" w:eastAsia="Arial" w:hAnsi="Arial"/>
          <w:sz w:val="16"/>
          <w:szCs w:val="16"/>
          <w:color w:val="auto"/>
        </w:rPr>
        <w:t>, Redmond™, Ruggles</w:t>
      </w:r>
      <w:r>
        <w:rPr>
          <w:rFonts w:ascii="Arial" w:cs="Arial" w:eastAsia="Arial" w:hAnsi="Arial"/>
          <w:sz w:val="22"/>
          <w:szCs w:val="22"/>
          <w:color w:val="auto"/>
          <w:vertAlign w:val="superscript"/>
        </w:rPr>
        <w:t>®</w:t>
      </w:r>
      <w:r>
        <w:rPr>
          <w:rFonts w:ascii="Arial" w:cs="Arial" w:eastAsia="Arial" w:hAnsi="Arial"/>
          <w:sz w:val="16"/>
          <w:szCs w:val="16"/>
          <w:color w:val="auto"/>
        </w:rPr>
        <w:t>, SafeGuard</w:t>
      </w:r>
      <w:r>
        <w:rPr>
          <w:rFonts w:ascii="Arial" w:cs="Arial" w:eastAsia="Arial" w:hAnsi="Arial"/>
          <w:sz w:val="22"/>
          <w:szCs w:val="22"/>
          <w:color w:val="auto"/>
          <w:vertAlign w:val="superscript"/>
        </w:rPr>
        <w:t>®</w:t>
      </w:r>
      <w:r>
        <w:rPr>
          <w:rFonts w:ascii="Arial" w:cs="Arial" w:eastAsia="Arial" w:hAnsi="Arial"/>
          <w:sz w:val="16"/>
          <w:szCs w:val="16"/>
          <w:color w:val="auto"/>
        </w:rPr>
        <w:t>, Salto Talaris</w:t>
      </w:r>
      <w:r>
        <w:rPr>
          <w:rFonts w:ascii="Arial" w:cs="Arial" w:eastAsia="Arial" w:hAnsi="Arial"/>
          <w:sz w:val="22"/>
          <w:szCs w:val="22"/>
          <w:color w:val="auto"/>
          <w:vertAlign w:val="superscript"/>
        </w:rPr>
        <w:t>®</w:t>
      </w:r>
      <w:r>
        <w:rPr>
          <w:rFonts w:ascii="Arial" w:cs="Arial" w:eastAsia="Arial" w:hAnsi="Arial"/>
          <w:sz w:val="16"/>
          <w:szCs w:val="16"/>
          <w:color w:val="auto"/>
        </w:rPr>
        <w:t>, Subtalar MBA</w:t>
      </w:r>
      <w:r>
        <w:rPr>
          <w:rFonts w:ascii="Arial" w:cs="Arial" w:eastAsia="Arial" w:hAnsi="Arial"/>
          <w:sz w:val="22"/>
          <w:szCs w:val="22"/>
          <w:color w:val="auto"/>
          <w:vertAlign w:val="superscript"/>
        </w:rPr>
        <w:t>®</w:t>
      </w:r>
      <w:r>
        <w:rPr>
          <w:rFonts w:ascii="Arial" w:cs="Arial" w:eastAsia="Arial" w:hAnsi="Arial"/>
          <w:sz w:val="16"/>
          <w:szCs w:val="16"/>
          <w:color w:val="auto"/>
        </w:rPr>
        <w:t>, SurgiMend</w:t>
      </w:r>
      <w:r>
        <w:rPr>
          <w:rFonts w:ascii="Arial" w:cs="Arial" w:eastAsia="Arial" w:hAnsi="Arial"/>
          <w:sz w:val="22"/>
          <w:szCs w:val="22"/>
          <w:color w:val="auto"/>
          <w:vertAlign w:val="superscript"/>
        </w:rPr>
        <w:t>®</w:t>
      </w:r>
      <w:r>
        <w:rPr>
          <w:rFonts w:ascii="Arial" w:cs="Arial" w:eastAsia="Arial" w:hAnsi="Arial"/>
          <w:sz w:val="16"/>
          <w:szCs w:val="16"/>
          <w:color w:val="auto"/>
        </w:rPr>
        <w:t>, TCC-EZ</w:t>
      </w:r>
      <w:r>
        <w:rPr>
          <w:rFonts w:ascii="Arial" w:cs="Arial" w:eastAsia="Arial" w:hAnsi="Arial"/>
          <w:sz w:val="22"/>
          <w:szCs w:val="22"/>
          <w:color w:val="auto"/>
          <w:vertAlign w:val="superscript"/>
        </w:rPr>
        <w:t>®</w:t>
      </w:r>
      <w:r>
        <w:rPr>
          <w:rFonts w:ascii="Arial" w:cs="Arial" w:eastAsia="Arial" w:hAnsi="Arial"/>
          <w:sz w:val="16"/>
          <w:szCs w:val="16"/>
          <w:color w:val="auto"/>
        </w:rPr>
        <w:t>, TenoGlide</w:t>
      </w:r>
      <w:r>
        <w:rPr>
          <w:rFonts w:ascii="Arial" w:cs="Arial" w:eastAsia="Arial" w:hAnsi="Arial"/>
          <w:sz w:val="22"/>
          <w:szCs w:val="22"/>
          <w:color w:val="auto"/>
          <w:vertAlign w:val="superscript"/>
        </w:rPr>
        <w:t>®</w:t>
      </w:r>
      <w:r>
        <w:rPr>
          <w:rFonts w:ascii="Arial" w:cs="Arial" w:eastAsia="Arial" w:hAnsi="Arial"/>
          <w:sz w:val="16"/>
          <w:szCs w:val="16"/>
          <w:color w:val="auto"/>
        </w:rPr>
        <w:t>, Ti6</w:t>
      </w:r>
      <w:r>
        <w:rPr>
          <w:rFonts w:ascii="Arial" w:cs="Arial" w:eastAsia="Arial" w:hAnsi="Arial"/>
          <w:sz w:val="22"/>
          <w:szCs w:val="22"/>
          <w:color w:val="auto"/>
          <w:vertAlign w:val="superscript"/>
        </w:rPr>
        <w:t>®</w:t>
      </w:r>
      <w:r>
        <w:rPr>
          <w:rFonts w:ascii="Arial" w:cs="Arial" w:eastAsia="Arial" w:hAnsi="Arial"/>
          <w:sz w:val="16"/>
          <w:szCs w:val="16"/>
          <w:color w:val="auto"/>
        </w:rPr>
        <w:t>, Tibiaxys</w:t>
      </w:r>
      <w:r>
        <w:rPr>
          <w:rFonts w:ascii="Arial" w:cs="Arial" w:eastAsia="Arial" w:hAnsi="Arial"/>
          <w:sz w:val="22"/>
          <w:szCs w:val="22"/>
          <w:color w:val="auto"/>
          <w:vertAlign w:val="superscript"/>
        </w:rPr>
        <w:t>®</w:t>
      </w:r>
      <w:r>
        <w:rPr>
          <w:rFonts w:ascii="Arial" w:cs="Arial" w:eastAsia="Arial" w:hAnsi="Arial"/>
          <w:sz w:val="16"/>
          <w:szCs w:val="16"/>
          <w:color w:val="auto"/>
        </w:rPr>
        <w:t>, TissueMend</w:t>
      </w:r>
      <w:r>
        <w:rPr>
          <w:rFonts w:ascii="Arial" w:cs="Arial" w:eastAsia="Arial" w:hAnsi="Arial"/>
          <w:sz w:val="22"/>
          <w:szCs w:val="22"/>
          <w:color w:val="auto"/>
          <w:vertAlign w:val="superscript"/>
        </w:rPr>
        <w:t>®</w:t>
      </w:r>
      <w:r>
        <w:rPr>
          <w:rFonts w:ascii="Arial" w:cs="Arial" w:eastAsia="Arial" w:hAnsi="Arial"/>
          <w:sz w:val="16"/>
          <w:szCs w:val="16"/>
          <w:color w:val="auto"/>
        </w:rPr>
        <w:t>, Titan™ , TruArch</w:t>
      </w:r>
      <w:r>
        <w:rPr>
          <w:rFonts w:ascii="Arial" w:cs="Arial" w:eastAsia="Arial" w:hAnsi="Arial"/>
          <w:sz w:val="22"/>
          <w:szCs w:val="22"/>
          <w:color w:val="auto"/>
          <w:vertAlign w:val="superscript"/>
        </w:rPr>
        <w:t>®</w:t>
      </w:r>
      <w:r>
        <w:rPr>
          <w:rFonts w:ascii="Arial" w:cs="Arial" w:eastAsia="Arial" w:hAnsi="Arial"/>
          <w:sz w:val="16"/>
          <w:szCs w:val="16"/>
          <w:color w:val="auto"/>
        </w:rPr>
        <w:t>, Uni-CP</w:t>
      </w:r>
      <w:r>
        <w:rPr>
          <w:rFonts w:ascii="Arial" w:cs="Arial" w:eastAsia="Arial" w:hAnsi="Arial"/>
          <w:sz w:val="22"/>
          <w:szCs w:val="22"/>
          <w:color w:val="auto"/>
          <w:vertAlign w:val="superscript"/>
        </w:rPr>
        <w:t>®</w:t>
      </w:r>
      <w:r>
        <w:rPr>
          <w:rFonts w:ascii="Arial" w:cs="Arial" w:eastAsia="Arial" w:hAnsi="Arial"/>
          <w:sz w:val="16"/>
          <w:szCs w:val="16"/>
          <w:color w:val="auto"/>
        </w:rPr>
        <w:t>, Uni-Clip</w:t>
      </w:r>
      <w:r>
        <w:rPr>
          <w:rFonts w:ascii="Arial" w:cs="Arial" w:eastAsia="Arial" w:hAnsi="Arial"/>
          <w:sz w:val="22"/>
          <w:szCs w:val="22"/>
          <w:color w:val="auto"/>
          <w:vertAlign w:val="superscript"/>
        </w:rPr>
        <w:t>®</w:t>
      </w:r>
      <w:r>
        <w:rPr>
          <w:rFonts w:ascii="Arial" w:cs="Arial" w:eastAsia="Arial" w:hAnsi="Arial"/>
          <w:sz w:val="16"/>
          <w:szCs w:val="16"/>
          <w:color w:val="auto"/>
        </w:rPr>
        <w:t>, Xtrasorb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Integra logo are some of the material trademarks of Integra LifeSciences Corporation and its subsidiaries. MAYFIELD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we had approximately 4,500 employees engaged in production and production support for warehouse, engineering and facilities, quality assurance, quality control, research and development, regulatory and clinical affairs, sales, marketing, administration and finance. Except for certain employees at our facilities in Austria, Belgium, Brazil, France, Germany, Italy and Mexico, none of our employees are subject to a collective bargaining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Financial information about our geographical areas is set forth under “Item 7. Management's Discussion and Analysis of Financial Condition and Results of Operations - Geographic Product Revenues and Operations” and in our financial statements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either from the deep flexor tendon of cattle less than 24 months old from New Zealand, a country that has never had a reported case of bovine spongiform encephalopathy, or from the U.S. or from fetal bovine dermis. The World Health Organization classifies different types of cattle tissue for relative risk of BSE transmission. Deep flexor tendon and fetal bovine skin are in the lowest-risk category for BSE transmission, and is therefore considered to have a negligible risk of containing the agent that causes BSE.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regenerative-based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73"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acquisitions and our ability to integrate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for a wide range of customers across all our product lines in the markets our products are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variable interest rates of our debt instruments which could impact debt service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of our operations and sales resulting from extreme weather conditions or natural disasters that damage our manufacturing or distribution facilities, the suppliers and service providers for those facilities, or the infrastructure in the locations of those facilities;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0" w:right="239" w:bottom="1440" w:gutter="0" w:footer="0" w:header="0"/>
        </w:sectPr>
      </w:pPr>
    </w:p>
    <w:bookmarkStart w:id="12" w:name="page13"/>
    <w:bookmarkEnd w:id="12"/>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steel, pyrocarbon and honey;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new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changes to our sales organization, including channel expansion in the U.S. and increased specialization;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or involve field corrective actions that could affect the marketability of our products;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enforcement or defense of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or their interpretations;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from third-party payors, such as Medicare, Medicaid, private and public health insurers and foreign governmental health systems.</w:t>
      </w:r>
    </w:p>
    <w:p>
      <w:pPr>
        <w:spacing w:after="0" w:line="4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competitive position depends on our ability to achieve market acceptance for our products, develop new products, implement production and marketing plans, secure regulatory approval for products under development, obtain and maintain reimbursement coverage under Medicare, Medicaid, private and public health insurers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private and public health insurers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changes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have been developing products to compete with our dural repair products, extremity reconstruction implants, regenerative skin, neuro critical care monitors and ultrasonic tissue ablation devices, among others. Further,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of SeaSpine is taxable for U.S. federal income tax purposes, then we and our stockholders that are subject to U.S. federal income tax could incur significant U.S. federal income tax liabilities and, in certain circumstances, we could be required to indemnify SeaSpine for material taxes pursuant to indemnification obligations under the tax matters agreement.</w:t>
      </w:r>
    </w:p>
    <w:p>
      <w:pPr>
        <w:spacing w:after="0" w:line="5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July 1, 2015, we completed the separation (the “Separation”) of our orthobiologics and spinal fusion hardware business, now known as SeaSpine Holdings Corporation (“SeaSpine”), from the Company. We received an opinion of Latham &amp; Watkins LLP, tax counsel to us (the “Tax Opinion”), substantially to the effect that (i) the contribution of the stock of SeaSpine Orthopedics Corporation to SeaSpine, together with the internal distribution of the stock of SeaSpine to Integra (collectively, the “internal distribution”), will constitute a reorganization under Sections 355 and 368(a)(1)(D) of the Internal Revenue Code of 1986, as amended (the “Code”) and (ii) the contribution of cash from us to SeaSpine (the “cash contribution”), together with the distribution of the stock of SeaSpine to our shareholders (the “distribution”), will constitute a reorganization under Sections 355 and 368(a)(1)(D) of the Code. Based on this tax treatment, the distribution will be tax-free to Integra and its stockholders for U.S. federal income tax purposes (except for any cash received in lieu of fractional shares). The Tax Opinion relied on certain facts, assumptions, representations and undertakings from us and SeaSpine regarding the past and future conduct of the companies’ respective businesses and other matters. The Tax Opinion is not binding on the U.S. Internal Revenue Service (the “IRS”) or the courts. Notwithstanding the opinion, the IRS could determine on audit that the internal distribution, the cash contribution and the distribution should be treated as taxable transactions if it determines that any of the facts, assumptions, representations or undertakings we or SeaSpine have made is not correct or has been violated, or that the internal distribution, the cash contribution and the distribution should be taxable for other reasons, including as a result of a significant change in stock or asset ownership after the distribution. If the distribution ultimately is determined to be taxable, the distribution could be treated as a taxable dividend or capital gain to our stockholders for U.S. federal income tax purposes, and our stockholders could incur significant U.S. federal income tax liabilities. In addition, we would recognize gain in an amount equal to the excess of the fair market value of shares of SeaSpine common stock distributed to our stockholders on the distribution date over our tax basis in such shares of SeaSpine common stock. Moreover, we could incur significant U.S. federal income tax liabilities if it is ultimately determined that the internal distribution does not qualify as a transaction that is tax-free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continuing contingent liabilities of SeaSpine following the spin-off.</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Separation, there are several significant areas where the liabilities of SeaSpine may become our obligations. For example, under the Code and the related rules and regulations, each corporation that was a member of our consolidated U.S. federal income tax reporting group during any taxable period or portion of any taxable period ending on or before the effective time of the spin-off is jointly and severally liable for the U.S. federal income tax liability of the entire consolidated tax reporting group for that taxable period. If SeaSpine is unable to pay any prior period taxes for which it is responsible, we could be required to pay the entire amount of such taxes.</w:t>
      </w:r>
    </w:p>
    <w:p>
      <w:pPr>
        <w:spacing w:after="0" w:line="18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2016 and December 31, 2018, we have acquired 3 businesses at a total cost of approximately $1.2 billion.</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If we cannot integrate acquired businesses and operations, manage the cost of providing our products or price our products appropriately, our profitability could suffer.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Further,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 We may not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$926.4 million of goodwill and $163.1 million of indefinite-lived intangible assets as of December 31, 2018.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2018, we had $916.4 million and $300.1 million of finite-lived intangible assets and property, plant and equipment, respectively.</w:t>
      </w:r>
    </w:p>
    <w:p>
      <w:pPr>
        <w:spacing w:after="0" w:line="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2018, our trade names had a carrying value of $241.4 million and decisions relating to our trade names may occur over time.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3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2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Patient Protection and Affordable Care Act (the “ACA”), signed into law in March 2010, includes several provisions that impact our businesses in the U.S. The ACA includes provisions that, among other things, reduce and/or limit Medicare reimbursement, require all individuals to have health insurance (with limited exceptions), require detailed disclosure of gifts and other remuneration made to healthcare professionals. Specifically, commencing on January 1, 2013, the ACA requires the medical device industry to subsidize healthcare reform by implementing a 2.3% excise tax on the sale of certain medical devices by a manufacturer, producer or importer of such devices in the U.S. In December 2015, President Obama signed into law The Consolidated Appropriations Act, which included a two-year moratorium on the excise tax for 2016 and 2017. On January 22, 2018, President Trump signed into law a funding bill, which extended the moratorium on the excise tax through December 31, 2019. Unless there is further legislative action during that period, the medical device excise tax will be reinstated on or after January 1, 2020. While this two-year moratorium on the medical device excise tax could provide a short-term benefit to the Company in terms of providing additional monies available to spend on various projects in 2018 and 2019, we are unable to predict what the long-term impact will have on our financial statements and financial performance.</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the adoption of the ACA, the law has been challenged before the U.S. Supreme Court, and several bills have been and may continue to be introduced in Congress to delay, defund or repeal implementation of or amend significant provisions of the ACA. In addition, there continues to be ongoing litigation over the interpretation and implementation of certain provisions of the law. Furthermore, on January 20, 2017, an executive order was issued that, among other things, stated the intention of the administration to repeal the ACA and, pending that repeal, instructed the executive branch of the Federal government to defer or delay the implementation of any provision or requirement of the ACA that would impose a fiscal burden on any state or a cost,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fee, tax or penalty on any individual, family, health care provider, health insurer, or manufacturer of pharmaceuticals or medical devices. On December 22, 2017, President Trump signed into law the Tax Cuts and Jobs Act, which eliminates the penalty for individuals who fail to purchase acceptable health insurance starting in 2019 and will most likely result in the reduction in the number of insured people in the U.S. We cannot predict whether the ACA will be repealed, replaced, or further modified, what impact the President’s executive order will have on the implementation and enforcement of the provisions of the ACA, or what impact the elimination of the penalty and resulting reduction in the number of insured people in the U.S. will have on the demand and pricing for our products. In addition, if the ACA is replaced or modified, we cannot predict what the replacement plan or modifications would be, when the replacement plan or modifications would become effective, or whether any of the existing provisions of the ACA would remain in place. As a result, while we are unable to predict the effect of the ACA and the various activities surrounding it on our business, financial condition or results of operations, changes to this law, or a new law that replaces it, could materially and adversely affect our business and results of operations.</w:t>
      </w:r>
    </w:p>
    <w:p>
      <w:pPr>
        <w:spacing w:after="0" w:line="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ACA, the Medicare Access and CHIP Reauthorization Act of 2015 (“MACRA”) repealed the Sustainable Growth Rate formula used to calculate Medicare payment updates for physicians providing services to Medicare beneficiaries. In its place, MACRA introduced the Quality Payment Program (“QPP”),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While the full impact of QPP on physicians’ practices and product selection decisions will not be fully known until payment adjustments go into effect in 2019, 2017 represented the first performance measurement year. The program’s increased emphasis on quality and cost of care may encourage physicians to merge practices or seek direct employment with hospitals. In addition, the ACA encourages hospitals and physicians to work collaboratively through shared savings programs as well as other bundled payment initiatives. These shifts could lead to a consolidation of hospital providers into larger delivery networks with increased price negotiation strength resulting in downward pressure on our selling prices. Although we believe that we are well positioned to minimize any such impact on our business, our inability to address the consolidation trend could materially and adversely affect our business and results of operations.</w:t>
      </w:r>
    </w:p>
    <w:p>
      <w:pPr>
        <w:spacing w:after="0" w:line="1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initiatives sponsored by government agencies, legislative bodies and the private sector to limit the growth of healthcare costs, including price regulation and competitive pricing, are ongoing in the markets where we do business. We cannot predict what healthcare programs and regulations will ultimately be implemented at the U.S. federal or state level or elsewhere, or the effect of any future legislation or regulation in the U.S.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consider implementing or implement programs in response.</w:t>
      </w:r>
    </w:p>
    <w:p>
      <w:pPr>
        <w:spacing w:after="0" w:line="178"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73"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several foreign countries have implemented reforms of their respective healthcare sectors in an effort to reduce healthcare spending, including restricting funding to only those medical technologies and procedures with proven effectiveness, and increasing patient co-payments.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pricing pressure on our products;</w:t>
      </w:r>
    </w:p>
    <w:p>
      <w:pPr>
        <w:jc w:val="both"/>
        <w:ind w:left="66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U.S., Medicare and Medicaid coverage as well as commercial payor coverage determinations could reduce or eliminate reimbursement or coverage for certain of our wound matrix, amniotic,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11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adversely affect our financial condition and business operations.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Both before and after a product is commercially released, we have ongoing responsibilities under FDA and foreign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or equivalent foreign agency were to conclude that we are not in compliance with applicable laws or regulations, or that any of our medical devices are ineffective or pose an unreasonable health risk, the FDA or equivalent foreign agency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Governments are expected to continue to scrutinize the industry closely with inspections, and possibly enforcement actions, by the FDA or equivalent foreign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adverse regulatory action, depending on its magnitude, may restrict us from effectively manufacturing, marketing and selling our products and could have a material, adverse effect on our financial condition and results of operations. In addition, negative publicity and product liability claims resulting from any adverse regulatory action could have a material, adverse effect on our financial condition and results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taken measures to enhance our Quality System, we cannot assure you that future inspections by the FDA and the standards they apply will not result in warning letters for any facility in the future. We are also subject to inspections of our Quality System by regulatory agencies outside the U.S. which could result in the issuance of nonconformance or significant requirements to our Quality System.</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FDA Reauthorization Act of 2017 (“FDARA”), which includes the reauthorization of the Medical Device User Fee Amendments of 2012, as well as other medical device provisions, went into effect October 1, 2017. This includes performance goals and user fees paid to the FDA by medical device companies when they register and list with the FDA and when they submit an application to market a device in the U.S. Under FDARA, this user fee program has been reauthorized through fiscal year 2022. Under the Medical Device User Fee Amendments, or MDUFA III,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 and our business could be adversely affected.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the </w:t>
      </w:r>
      <w:r>
        <w:rPr>
          <w:rFonts w:ascii="Arial" w:cs="Arial" w:eastAsia="Arial" w:hAnsi="Arial"/>
          <w:sz w:val="18"/>
          <w:szCs w:val="18"/>
          <w:color w:val="222222"/>
        </w:rPr>
        <w:t>United States Federal Food, Drug, and Cosmetic Act (“</w:t>
      </w:r>
      <w:r>
        <w:rPr>
          <w:rFonts w:ascii="Arial" w:cs="Arial" w:eastAsia="Arial" w:hAnsi="Arial"/>
          <w:sz w:val="18"/>
          <w:szCs w:val="18"/>
          <w:color w:val="auto"/>
        </w:rPr>
        <w:t>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Foreign governmental regulations have become more stringent and we may become subject to even more rigorous regulation by foreign governmental authorities in the future, which could have a material, adverse effect on our business, financial condition and results of operations. Penalties for a company's noncompliance with foreign governmental regulation could be severe, including revocation or suspension of a company's business license and criminal sanctions. For example, we are subject to Good Manufacturing Practice regulations for Pharmaceuticals in the EU for certain of our products. These regulations also mandate that manufacturers of medical devices (or those that are considered pharmaceuticals) adhere to certain quality assurance requirements pertaining to, among other things, validation of manufacturing processes, controls for purchasing product components, and documentation practices. There may be additional regulations if such products are considered pharmaceuticals outside the U.S.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the new European Medical Device Regulation (“EU MDR”) passed in the European Parliament on April 5, 2017 and went into effect on May 25, 2017, replacing the Medical Device Directive. The EU MDR is an extensive reform of the rules that govern the medical device industry in Europe. Under this regulation, manufacturers will have three (3) years to comply with a broad set of new rules for almost every kind of medical device. The EU MDR will require changes in the clinical evidence required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new EU MDR rules, medical device companies will have to, among other things. do the following: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significantly more clinical evidence to get new products to market and even to keep existing products on the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changes to product labeling and make certain product data available to the public;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product portfolio assessments to determine the impact of the EU MDR on the Company's margins.</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Overall, medical device companies can expect longer lead times to obtain product registrations (CE Mark Certification) in the EU and a substantially costlier pathway to compliance in the EU. We are not yet able to determine the costs of complying with these regulations, how the EU will interpret and enforce them, what the timelines for approvals of products will be and the overall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effect of the EU MDR on the marketplace. Given the significant additional pre-market and post-market requirements imposed by the EU MDR, the overall impact of these new rules could have a material, adverse effect on the Company’s revenues and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In 2018, approximately 37%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("OIE") recognizes the U.S. as having a negligible risk for BSE, which is the highest status available.</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manufacture and distribute products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amniotic tissue and cornea. HCT/Ps that meet the criteria for regulation solely under Section 361 of the Public Health Service Act (“Section 361”) are not subject to any premarket clearance or approval requirements but are subject to post-market regulatory requirements.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FDCA. These biologic, device or drug HCT/Ps must comply both with the requirements exclusively applicable to Section 361 HCT/Ps and, in addition, with requirements applicable to biologics, devices or drugs, including premarket clearance or approval.</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22, 2015, the FDA issued an Untitled Letter alleging that BioD’s morselized amniotic membrane tissue 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tissue-based products fall into the high risk-category. Nonetheless, we can make no assurances that the FDA will continue to exercise its enforcement discretion with respect to the Company’s amniotic membrane tissue-based products, and any potential action of the FDA could have a financial impact regarding the sales of such products. The Company has been considering and continues to consider regulatory approval pathways for its amniotic membrane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tissue-based products. Revenues from BioD morselized amniotic material-based products for the year ended December 31, 2018 was less than 1% of consolidated revenues.</w:t>
      </w:r>
    </w:p>
    <w:p>
      <w:pPr>
        <w:spacing w:after="0" w:line="3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w:t>
      </w:r>
    </w:p>
    <w:p>
      <w:pPr>
        <w:spacing w:after="0" w:line="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materially and adversely affected.</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could vary unpredictably, and such variations could have a material, adverse effect on our competitive position. We may not be able to adjust our contemplated plan of development to meet changing market demands.</w:t>
      </w:r>
    </w:p>
    <w:p>
      <w:pPr>
        <w:spacing w:after="0" w:line="18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 from our historical income tax provisions and accruals. The results of an audit or litigation could have a material, adverse effect on our financial statements in the period or periods for which that determination is made.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leverage and debt service obligations could adversely affect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ind w:firstLine="324"/>
        <w:spacing w:after="0" w:line="342" w:lineRule="auto"/>
        <w:rPr>
          <w:sz w:val="20"/>
          <w:szCs w:val="20"/>
          <w:color w:val="auto"/>
        </w:rPr>
      </w:pPr>
      <w:r>
        <w:rPr>
          <w:rFonts w:ascii="Arial" w:cs="Arial" w:eastAsia="Arial" w:hAnsi="Arial"/>
          <w:sz w:val="16"/>
          <w:szCs w:val="16"/>
          <w:color w:val="auto"/>
        </w:rPr>
        <w:t>As of December 31, 2018, our total consolidated external debt was approximately $1.4 billion. (See Item 7 for a discussion of our consolidated external debt.) We may also incur additional indebtedness in the future. Our substantial indebtedness could have material, adverse consequences, including:</w:t>
      </w:r>
    </w:p>
    <w:p>
      <w:pPr>
        <w:spacing w:after="0" w:line="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23"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the Company may attempt to refinance or extend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89" w:lineRule="exact"/>
        <w:rPr>
          <w:sz w:val="20"/>
          <w:szCs w:val="20"/>
          <w:color w:val="auto"/>
        </w:rPr>
      </w:pPr>
    </w:p>
    <w:p>
      <w:pPr>
        <w:ind w:left="980" w:hanging="648"/>
        <w:spacing w:after="0" w:line="258"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 family of products, our Absorbable Collagen Sponges, Primatrix and SurgiMend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products which use many different specialty parts from numerous suppliers, such as our intracranial monitors, catheters and headlights;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which are amniotic tissue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TCC-EZ</w:t>
      </w:r>
      <w:r>
        <w:rPr>
          <w:rFonts w:ascii="Arial" w:cs="Arial" w:eastAsia="Arial" w:hAnsi="Arial"/>
          <w:sz w:val="18"/>
          <w:szCs w:val="18"/>
          <w:color w:val="auto"/>
          <w:vertAlign w:val="superscript"/>
        </w:rPr>
        <w:t>®</w:t>
      </w:r>
      <w:r>
        <w:rPr>
          <w:rFonts w:ascii="Arial" w:cs="Arial" w:eastAsia="Arial" w:hAnsi="Arial"/>
          <w:sz w:val="18"/>
          <w:szCs w:val="18"/>
          <w:color w:val="auto"/>
        </w:rPr>
        <w:t xml:space="preserve"> total contact cast system products.</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Pursuant to a contract we entered in 2015, we transferred manufacturing of these product lines to a third party in 2018.</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were suddenly unable to purchase products or services from one or more of the companies identified above, we would need a significant period of time to qualify a replacement, and the production of any affected products could be disrupted, which could have a material, adverse effect on our financial condition and business operations.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jc w:val="both"/>
        <w:ind w:firstLine="324"/>
        <w:spacing w:after="0" w:line="25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5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newly acquired businesses into our business operations, including Codman Neurosurgery, our business could be materially and adversely affected.</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will need to successfully integrate the operations of recently and pending acquired businesses, including our acquisition of Codman Neurosurgery, with our business operations. The failure to integrate the business operations of the acquired businesses successfully would have a material, adverse effect on our business, financial condition and results of operations. As a result of these acquisitions, we will undergo substantial changes in a short period of time and our business will change and broaden in size and the scope of products we offer. Integrating the operations of multiple new businesses with that of our own is a complex, costly and time-consuming process, which requires significant management attention and resources, including the coordination of information technologies, sales and marketing, research and development, operations, manufacturing and finance functions. The integration process could disrupt the businesses and, if implemented ineffectively, could preclude realization of the full benefits that we expect from these transactions. Our failure to meet the challenges involved in integrating the businesses in order to realize the anticipated benefits of the acquisitions could cause an interruption of, or a loss of momentum in, our activities and could materially and adversely affect our results of operations. Prior to each acquisition, the acquired business operated independently, with its own business, corporate culture, locations, employees and systems. There may be substantial difficulties, costs and delays involved in any integration of other businesses with that of our own. These may include:</w:t>
      </w:r>
    </w:p>
    <w:p>
      <w:pPr>
        <w:spacing w:after="0" w:line="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distracting management from day-to-day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incompatibility of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achieve synergies as planned;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assumption of contingent or other liabilities of acquisition targets;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or customers, including failure to retain key customers and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key employees of our company and of the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inheriting and uncovering previously unknown issues, problems and costs from the acquired company;</w:t>
      </w:r>
    </w:p>
    <w:p>
      <w:pPr>
        <w:spacing w:after="0" w:line="9"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between our expenditures to acquire new products, technologies or businesses and the generation of revenues from those acquired products, technologies or businesses;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realization of assets and settlement of liabilities at amounts equal to estimated fair value as of the acquisition date of any acquisition or disposition;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integrate information technology systems of acquired businesses in a secure and reliable manner;</w:t>
      </w:r>
    </w:p>
    <w:p>
      <w:pPr>
        <w:spacing w:after="0" w:line="9"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delays in implementing common systems and procedures (including technology, compliance programs, financial systems, distribution and general business operations, among others);</w:t>
      </w:r>
    </w:p>
    <w:p>
      <w:pPr>
        <w:ind w:left="980" w:hanging="648"/>
        <w:spacing w:after="0" w:line="250"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liabilities that are significantly larger than we currently anticipate and unforeseen increased expenses or delays associated with the acquisitions, including transition costs to integrate the businesses that may exceed the costs that we currently anticipate;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involved with the increased scale of our operations resulting from the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difficulties in managing our business due to the addition of international locations.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acquisition of the Codman Neurosurgery business from Johnson &amp; Johnson, we entered into certain transition services agreements with Johnson &amp; Johnson under which they are providing certain manufacturing, distribution and other services to the Company. While we have transitioned off of certain of the transition services, any interruption in, or inability of Johnson &amp; Johnson to provide, these services for any reason could have a material, adverse effect on our business, financial condition and results of operations.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ordinary shares.</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Damage to our manufacturing, distribution, development and/or research facilities because of fire, extreme weather conditions, natural disaster, power loss, communications failure, unauthorized entry or other events, such as a flu or other health epidemic,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earthquakes and other natural disasters. We believe the risk associated with operating a manufacturing plant in Puerto Rico, post Hurricane Maria, has returned to historical levels. While there are still some challenges with the energy system and service is occasionally disrupted for short periods, it has not impacted operations primarily due to the generator capacity at the plant.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and we purchase a much smaller amount of instruments directly from vendors there. Pakistan is subject to political instability and unrest.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we manufacture certain products in Europe and our European headquarters is located in France, which has experienced labor strikes and acts of terrorism. Thus far, strikes and acts of terrorism have not had a material impact on our business; however, if either were to occur, there is no assurance that they would not disrupt our business, and any such disruption could have a material, adverse effect on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jc w:val="both"/>
        <w:ind w:firstLine="324"/>
        <w:spacing w:after="0" w:line="255" w:lineRule="auto"/>
        <w:rPr>
          <w:sz w:val="20"/>
          <w:szCs w:val="20"/>
          <w:color w:val="auto"/>
        </w:rPr>
      </w:pPr>
      <w:r>
        <w:rPr>
          <w:rFonts w:ascii="Arial" w:cs="Arial" w:eastAsia="Arial" w:hAnsi="Arial"/>
          <w:sz w:val="18"/>
          <w:szCs w:val="18"/>
          <w:color w:val="auto"/>
        </w:rPr>
        <w:t>An experienced third-party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consolidated several facilities in recent years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23, 2016, the United Kingdom (UK) held a referendum in which voters approved an exit from the EU, commonly referred to as “Brexit.” As a result of the referendum, the British government began negotiating the terms of the UK’s future relationship with the EU. Until the terms of the UK’s exit from the EU on March 29, 2019 are determined, including any transition period, it is difficult to predict its impact. It is possible that the withdrawal could, among other things, affect the legal and regulatory environments to which our business is subject, impose greater restrictions on imports and exports between the UK and the EU and other parties, and create economic and political uncertainty in the region.</w:t>
      </w:r>
    </w:p>
    <w:p>
      <w:pPr>
        <w:spacing w:after="0" w:line="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From time to time, proposals are made to significantly change existing trade agreements and relationships between the U.S. and other countries. Recently, the U.S. and China have imposed tariffs on products imported into their respective countries. While we currently do not anticipate that these tariffs will have a material impact on our business, the list of items subject to these tariffs could change and it is possible that they could adversely impact our supply chain costs or our ability to sell certain of our products in China. More generally, additional tariffs or other trade barriers imposed by the U.S. or other countries could materially and adversely affect our operations and financial results.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8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Correspondingly, federal and state laws are also sometimes open to interpretation, and from time to time we may find ourselves at a competitive disadvantage if our interpretation differs from that of our competitors. AdvaMed (for the U.S. and China), MedTech Europe (Europe), Mecomed (Middle East), and APACMed (Asia Pacific), some of the principal trade associations for the medical device industry, promulgate model codes of ethics that set forth standards by which its members should (and non-member companies may) abide in the promotion of their products. We have in place policies and procedures for compliance that we believe are at least as stringent as those set forth in the AdvaMed Code, and we regularly train our sales and marketing personnel on our policies regarding sales and marketing practices. Pursuant to the AdvaMed Code, we have certified our adoption of the AdvaMed Code. Nevertheless,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private-label business depends in part on our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the Environmental Health, Safety and Transportation Laws may be amended in ways that increase our cost of compliance, perhaps materially.</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adversely affect our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our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and customer information, and changing customer patterns. Any significant breakdown, intrusion, interruption, corruption, or destruction of these systems, as well as any data breaches, could have a material, adverse effect on our business.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programs, processes and technologies in place to prevent, detect, contain, respond to and mitigate security related threats and potential incidents. We undertake considerable ongoing improvements to our systems, connected devices and information-sharing products in order to minimize vulnerabilities, in accordance with industry and regulatory standards. Because the techniques used to obtain unauthorized access change frequently and can be difficult to detect, anticipating, identifying or preventing these intrusions or mitigating them if and when they occur, may be challenging.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rely on third party vendors to supply and/or support certain aspects of our information technology systems. Third party systems may contain defects in design or manufacture or other problems that could result in system disruption or unexpectedly compromise the information security of our own systems, and we are dependent on these third parties to provide reliable systems and software and to deploy appropriate security programs to protect their systems.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w:t>
      </w:r>
    </w:p>
    <w:p>
      <w:pPr>
        <w:spacing w:after="0" w:line="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are unable to maintain reliable information technology systems and prevent disruptions, outages, or data breaches, we may suffer regulatory consequences in addition to business consequences. Our worldwide operations mean that we are subject to laws and regulations, including data protection and cyber security laws and regulations, in many jurisdictions. The variety of 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cyber-attacks. While Integra has not been named in any such suits, if a substantial breach or loss of data were to occur, we could become a target of such litigation.</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the calculation and or complete replacement of LIBOR could have an impact on our business.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United Kingdom’s Financial Conduct Authority, which regulates LIBOR, announced in July 2017 that it will no longer persuade or require banks to submit rates for LIBOR after 2021. This announcement and global financial benchmark reforms generally have resulted in the future of certain interest rate benchmarks being more uncertain. There is a chance that LIBOR may be disrupted, materially change, or no longer be published in the future. Currently, there is no definitive information regarding the future of LIBOR or a replacement rate. We have multiple debt facilities which bear interest at a variable rate equal to the Eurodollar LIBOR rate in effect from time to time. A change or transition away from LIBOR as a common reference rate in the global financial market could have a material, adverse effect on our business. Management continues to monitor the status and discussions regarding LIBOR.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2018 fiscal year.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6" w:name="page27"/>
    <w:bookmarkEnd w:id="26"/>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executive offices are located in Plainsboro, New Jersey. Our principal manufacturing and research facilities are located in New Jersey, Ohio, Pennsylvania, Massachusetts, Tennessee, Canada, France, Germany, Ireland, Switzerland, and Puerto Rico. Our instrument procurement operations are located in Germany. Our primary distribution centers are located in Nevada, Ohio, Pennsylvania, Kentucky, Australia, Belgium, Canada and France. In addition, we lease several smaller facilities to support additional administrative, assembly, and distribution operations. Third parties own and operate the facilities in Nevada, Kentucky and Belgium. We own our facilities in Biot, France, Saint Aubin Le Monial, France, Rietheim-Weilheim, Germany, Ohio, and Pennsylvania and we lease all of our other facilities. We also have repair centers in California, Massachusetts, Ohio, Australia and Germany.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0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January 14, 2019, only one active case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December 31, 2018, no indemnification payments were received nor owed in relation to the lawsuits.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Note 4 - </w:t>
      </w:r>
      <w:r>
        <w:rPr>
          <w:rFonts w:ascii="Arial" w:cs="Arial" w:eastAsia="Arial" w:hAnsi="Arial"/>
          <w:sz w:val="17"/>
          <w:szCs w:val="17"/>
          <w:i w:val="1"/>
          <w:iCs w:val="1"/>
          <w:color w:val="auto"/>
        </w:rPr>
        <w:t>Acquisitions and Pro Forma Results</w:t>
      </w:r>
      <w:r>
        <w:rPr>
          <w:rFonts w:ascii="Arial" w:cs="Arial" w:eastAsia="Arial" w:hAnsi="Arial"/>
          <w:sz w:val="17"/>
          <w:szCs w:val="17"/>
          <w:color w:val="auto"/>
        </w:rPr>
        <w:t>, Integra assumed this contingent liability in connection with its acquisition of Derma Sciences. The action for a</w:t>
      </w:r>
      <w:r>
        <w:rPr>
          <w:rFonts w:ascii="Arial" w:cs="Arial" w:eastAsia="Arial" w:hAnsi="Arial"/>
          <w:sz w:val="17"/>
          <w:szCs w:val="17"/>
          <w:i w:val="1"/>
          <w:iCs w:val="1"/>
          <w:color w:val="auto"/>
        </w:rPr>
        <w:t xml:space="preserve"> </w:t>
      </w:r>
      <w:r>
        <w:rPr>
          <w:rFonts w:ascii="Arial" w:cs="Arial" w:eastAsia="Arial" w:hAnsi="Arial"/>
          <w:sz w:val="17"/>
          <w:szCs w:val="17"/>
          <w:color w:val="auto"/>
        </w:rPr>
        <w:t>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6" w:right="23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closing sales prices for our common stock for each quarter for the last two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2018</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High</w:t>
            </w:r>
          </w:p>
        </w:tc>
        <w:tc>
          <w:tcPr>
            <w:tcW w:w="3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65.87</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57.63</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47.80</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57.38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46.55</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41.09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jc w:val="both"/>
        <w:ind w:firstLine="8"/>
        <w:spacing w:after="0" w:line="302" w:lineRule="auto"/>
        <w:tabs>
          <w:tab w:leader="none" w:pos="192"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stockholders of record as of February 22, 2019 was approximately 971,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2018, 2017 or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shares of common stock repurchased by the Company for the years ended December 31, 2018, 2017 or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Treasury Stock</w:t>
      </w:r>
      <w:r>
        <w:rPr>
          <w:rFonts w:ascii="Arial" w:cs="Arial" w:eastAsia="Arial" w:hAnsi="Arial"/>
          <w:sz w:val="18"/>
          <w:szCs w:val="18"/>
          <w:color w:val="auto"/>
        </w:rPr>
        <w:t>, in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28" w:name="page29"/>
    <w:bookmarkEnd w:id="28"/>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All results and data in the tables below reflect continuing operations, unless otherwise noted. As a result, the data presented below will not necessarily agree to previously issued financial statements.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for additional information regarding the impact of 2018, 2017 and 2016 acquisitions in Item 15 of this Form 10-K.</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ind w:left="141"/>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8"/>
        </w:trPr>
        <w:tc>
          <w:tcPr>
            <w:tcW w:w="5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2014</w:t>
            </w:r>
          </w:p>
        </w:tc>
      </w:tr>
      <w:tr>
        <w:trPr>
          <w:trHeight w:val="276"/>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9"/>
          </w:tcPr>
          <w:p>
            <w:pPr>
              <w:jc w:val="center"/>
              <w:ind w:right="9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Results:</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Total revenues, net</w:t>
            </w:r>
          </w:p>
        </w:tc>
        <w:tc>
          <w:tcPr>
            <w:tcW w:w="200" w:type="dxa"/>
            <w:vAlign w:val="bottom"/>
          </w:tcPr>
          <w:p>
            <w:pPr>
              <w:spacing w:after="0"/>
              <w:rPr>
                <w:sz w:val="20"/>
                <w:szCs w:val="20"/>
                <w:color w:val="auto"/>
              </w:rPr>
            </w:pPr>
          </w:p>
        </w:tc>
        <w:tc>
          <w:tcPr>
            <w:tcW w:w="540" w:type="dxa"/>
            <w:vAlign w:val="bottom"/>
            <w:gridSpan w:val="2"/>
          </w:tcPr>
          <w:p>
            <w:pPr>
              <w:jc w:val="center"/>
              <w:ind w:left="134"/>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7"/>
              <w:spacing w:after="0"/>
              <w:rPr>
                <w:sz w:val="20"/>
                <w:szCs w:val="20"/>
                <w:color w:val="auto"/>
              </w:rPr>
            </w:pPr>
            <w:r>
              <w:rPr>
                <w:rFonts w:ascii="Arial" w:cs="Arial" w:eastAsia="Arial" w:hAnsi="Arial"/>
                <w:sz w:val="16"/>
                <w:szCs w:val="16"/>
                <w:color w:val="auto"/>
                <w:w w:val="92"/>
              </w:rPr>
              <w:t>1,472,441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1"/>
              <w:spacing w:after="0"/>
              <w:rPr>
                <w:sz w:val="20"/>
                <w:szCs w:val="20"/>
                <w:color w:val="auto"/>
              </w:rPr>
            </w:pPr>
            <w:r>
              <w:rPr>
                <w:rFonts w:ascii="Arial" w:cs="Arial" w:eastAsia="Arial" w:hAnsi="Arial"/>
                <w:sz w:val="16"/>
                <w:szCs w:val="16"/>
                <w:color w:val="auto"/>
                <w:w w:val="98"/>
              </w:rPr>
              <w:t>1,188,236</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992,075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882,734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796,717</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w w:val="92"/>
              </w:rPr>
              <w:t>1,361,443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8"/>
              </w:rPr>
              <w:t>1,143,432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876,735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803,147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728,860</w:t>
            </w:r>
          </w:p>
        </w:tc>
      </w:tr>
      <w:tr>
        <w:trPr>
          <w:trHeight w:val="318"/>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110,998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44,804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79,587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67,857</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Interest expense, net (1)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(61,883)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(34,764)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(25,779)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(21,799)</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 (7)</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w w:val="89"/>
              </w:rPr>
              <w:t>8,288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1,345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4,588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57,403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11,385</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90,406</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60,671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45,566</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 (4) (6)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53,820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9,271</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60,801</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64,743</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74,564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6,851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36,295</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60,801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64,743</w:t>
            </w: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74,564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34,004</w:t>
            </w:r>
          </w:p>
        </w:tc>
      </w:tr>
      <w:tr>
        <w:trPr>
          <w:trHeight w:val="311"/>
        </w:trPr>
        <w:tc>
          <w:tcPr>
            <w:tcW w:w="5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Diluted net income per common share from continuing operations</w:t>
            </w:r>
          </w:p>
        </w:tc>
        <w:tc>
          <w:tcPr>
            <w:tcW w:w="200" w:type="dxa"/>
            <w:vAlign w:val="bottom"/>
          </w:tcPr>
          <w:p>
            <w:pPr>
              <w:spacing w:after="0"/>
              <w:rPr>
                <w:sz w:val="20"/>
                <w:szCs w:val="20"/>
                <w:color w:val="auto"/>
              </w:rPr>
            </w:pPr>
          </w:p>
        </w:tc>
        <w:tc>
          <w:tcPr>
            <w:tcW w:w="540" w:type="dxa"/>
            <w:vAlign w:val="bottom"/>
            <w:gridSpan w:val="2"/>
          </w:tcPr>
          <w:p>
            <w:pPr>
              <w:jc w:val="center"/>
              <w:ind w:left="134"/>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6"/>
                <w:szCs w:val="16"/>
                <w:color w:val="auto"/>
              </w:rPr>
              <w:t>0.72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w w:val="89"/>
              </w:rPr>
              <w:t>0.82</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0.10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0.55</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common share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0.72</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0.82</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0.52</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Weighted average common shares outstanding for diluted 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83,999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79,121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71,354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65,920</w:t>
            </w:r>
          </w:p>
        </w:tc>
      </w:tr>
      <w:tr>
        <w:trPr>
          <w:trHeight w:val="615"/>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gridSpan w:val="4"/>
          </w:tcPr>
          <w:p>
            <w:pPr>
              <w:jc w:val="center"/>
              <w:ind w:left="2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Position:</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Cash,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138,838</w:t>
            </w: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174,935</w:t>
            </w:r>
          </w:p>
        </w:tc>
        <w:tc>
          <w:tcPr>
            <w:tcW w:w="4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58"/>
              <w:spacing w:after="0"/>
              <w:rPr>
                <w:sz w:val="20"/>
                <w:szCs w:val="20"/>
                <w:color w:val="auto"/>
              </w:rPr>
            </w:pPr>
            <w:r>
              <w:rPr>
                <w:rFonts w:ascii="Arial" w:cs="Arial" w:eastAsia="Arial" w:hAnsi="Arial"/>
                <w:sz w:val="18"/>
                <w:szCs w:val="18"/>
                <w:color w:val="auto"/>
              </w:rPr>
              <w:t>102,055</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48,132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71,734</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(5) (8)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3,107,887</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3,211,257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w w:val="99"/>
              </w:rPr>
              <w:t>1,807,954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w w:val="97"/>
              </w:rPr>
              <w:t>1,774,224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1,412,402</w:t>
            </w:r>
          </w:p>
        </w:tc>
      </w:tr>
      <w:tr>
        <w:trPr>
          <w:trHeight w:val="229"/>
        </w:trPr>
        <w:tc>
          <w:tcPr>
            <w:tcW w:w="5320" w:type="dxa"/>
            <w:vAlign w:val="bottom"/>
          </w:tcPr>
          <w:p>
            <w:pPr>
              <w:ind w:left="40"/>
              <w:spacing w:after="0"/>
              <w:rPr>
                <w:sz w:val="20"/>
                <w:szCs w:val="20"/>
                <w:color w:val="auto"/>
              </w:rPr>
            </w:pPr>
            <w:r>
              <w:rPr>
                <w:rFonts w:ascii="Arial" w:cs="Arial" w:eastAsia="Arial" w:hAnsi="Arial"/>
                <w:sz w:val="18"/>
                <w:szCs w:val="18"/>
                <w:color w:val="auto"/>
              </w:rPr>
              <w:t>Short-term borrowings under the term loan of the Senior Credit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20" w:type="dxa"/>
            <w:vAlign w:val="bottom"/>
          </w:tcPr>
          <w:p>
            <w:pPr>
              <w:ind w:left="20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22,500</w:t>
            </w:r>
          </w:p>
        </w:tc>
        <w:tc>
          <w:tcPr>
            <w:tcW w:w="5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14,375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3,750</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borrowings including the revolving portion of the Senior</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Credit Facility (1)</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1,210,513</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1,781,142</w:t>
            </w: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665,000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481,875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413,125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Long-term debt (2) (5) (9)</w:t>
            </w: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121,200</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218,240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211,623</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348,373</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285,186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220,443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145,879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314,960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Stockholders’ equity (3)</w:t>
            </w: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1,375,796</w:t>
            </w:r>
          </w:p>
        </w:tc>
        <w:tc>
          <w:tcPr>
            <w:tcW w:w="5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962,306</w:t>
            </w:r>
          </w:p>
        </w:tc>
        <w:tc>
          <w:tcPr>
            <w:tcW w:w="400" w:type="dxa"/>
            <w:vAlign w:val="bottom"/>
          </w:tcPr>
          <w:p>
            <w:pPr>
              <w:spacing w:after="0"/>
              <w:rPr>
                <w:sz w:val="21"/>
                <w:szCs w:val="21"/>
                <w:color w:val="auto"/>
              </w:rPr>
            </w:pPr>
          </w:p>
        </w:tc>
        <w:tc>
          <w:tcPr>
            <w:tcW w:w="1060" w:type="dxa"/>
            <w:vAlign w:val="bottom"/>
            <w:gridSpan w:val="3"/>
          </w:tcPr>
          <w:p>
            <w:pPr>
              <w:jc w:val="right"/>
              <w:ind w:right="158"/>
              <w:spacing w:after="0"/>
              <w:rPr>
                <w:sz w:val="20"/>
                <w:szCs w:val="20"/>
                <w:color w:val="auto"/>
              </w:rPr>
            </w:pPr>
            <w:r>
              <w:rPr>
                <w:rFonts w:ascii="Arial" w:cs="Arial" w:eastAsia="Arial" w:hAnsi="Arial"/>
                <w:sz w:val="18"/>
                <w:szCs w:val="18"/>
                <w:color w:val="auto"/>
              </w:rPr>
              <w:t>839,667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751,443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704,322</w:t>
            </w:r>
          </w:p>
        </w:tc>
      </w:tr>
    </w:tbl>
    <w:p>
      <w:pPr>
        <w:spacing w:after="0" w:line="391" w:lineRule="exact"/>
        <w:rPr>
          <w:sz w:val="20"/>
          <w:szCs w:val="20"/>
          <w:color w:val="auto"/>
        </w:rPr>
      </w:pPr>
    </w:p>
    <w:p>
      <w:pPr>
        <w:jc w:val="both"/>
        <w:ind w:left="500" w:right="60" w:hanging="367"/>
        <w:spacing w:after="0" w:line="30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years ended December 31, 2018, 2017, 2016, 2015 and 2014, we reported the borrowings outstanding under the revolving portion of our Senior Credit Facility as long-term debt as well as the 1.625% convertible senior notes due in 2016 ("2016 Convertible Notes"). We also reported the term loan as long-term debt with the exception of current principal payments due within 12 months, which are classified as short-term. At December 31, 2018, we have a total of $1.2 billion outstanding under our Senior Credit Facility and $954.4 million available for future borrowings.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6" w:right="239" w:bottom="1440" w:gutter="0" w:footer="0" w:header="0"/>
        </w:sectPr>
      </w:pPr>
    </w:p>
    <w:bookmarkStart w:id="29" w:name="page30"/>
    <w:bookmarkEnd w:id="29"/>
    <w:p>
      <w:pPr>
        <w:ind w:left="500" w:right="40" w:hanging="29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2011, we issued $230.0 million of the 2016 Convertible Notes. The 2016 Convertible Notes were repaid in December 2016 in accordance with their terms.</w:t>
      </w:r>
    </w:p>
    <w:p>
      <w:pPr>
        <w:spacing w:after="0" w:line="237" w:lineRule="exact"/>
        <w:rPr>
          <w:rFonts w:ascii="Arial" w:cs="Arial" w:eastAsia="Arial" w:hAnsi="Arial"/>
          <w:sz w:val="18"/>
          <w:szCs w:val="18"/>
          <w:color w:val="auto"/>
        </w:rPr>
      </w:pPr>
    </w:p>
    <w:p>
      <w:pPr>
        <w:ind w:left="500" w:right="40" w:hanging="29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2018, we closed on a public offering of common stock. We issued 6.0 million shares of common stock and received total proceeds, net of underwriting fees and offering expenses, of approximately $349.6 million.</w:t>
      </w:r>
    </w:p>
    <w:p>
      <w:pPr>
        <w:spacing w:after="0" w:line="170" w:lineRule="exact"/>
        <w:rPr>
          <w:rFonts w:ascii="Arial" w:cs="Arial" w:eastAsia="Arial" w:hAnsi="Arial"/>
          <w:sz w:val="18"/>
          <w:szCs w:val="18"/>
          <w:color w:val="auto"/>
        </w:rPr>
      </w:pPr>
    </w:p>
    <w:p>
      <w:pPr>
        <w:ind w:left="500" w:right="40"/>
        <w:spacing w:after="0" w:line="277" w:lineRule="auto"/>
        <w:rPr>
          <w:rFonts w:ascii="Arial" w:cs="Arial" w:eastAsia="Arial" w:hAnsi="Arial"/>
          <w:sz w:val="18"/>
          <w:szCs w:val="18"/>
          <w:color w:val="auto"/>
        </w:rPr>
      </w:pPr>
      <w:r>
        <w:rPr>
          <w:rFonts w:ascii="Arial" w:cs="Arial" w:eastAsia="Arial" w:hAnsi="Arial"/>
          <w:sz w:val="18"/>
          <w:szCs w:val="18"/>
          <w:color w:val="auto"/>
        </w:rPr>
        <w:t>In 2015, we closed on a public offering of common stock. We issued 8.0 million shares of common stock and received total proceeds, net of underwriting fees and offering expenses, of approximately $219.7 million.</w:t>
      </w:r>
    </w:p>
    <w:p>
      <w:pPr>
        <w:spacing w:after="0" w:line="319" w:lineRule="exact"/>
        <w:rPr>
          <w:rFonts w:ascii="Arial" w:cs="Arial" w:eastAsia="Arial" w:hAnsi="Arial"/>
          <w:sz w:val="18"/>
          <w:szCs w:val="18"/>
          <w:color w:val="auto"/>
        </w:rPr>
      </w:pPr>
    </w:p>
    <w:p>
      <w:pPr>
        <w:jc w:val="both"/>
        <w:ind w:left="500" w:right="20" w:hanging="291"/>
        <w:spacing w:after="0" w:line="229" w:lineRule="auto"/>
        <w:tabs>
          <w:tab w:leader="none" w:pos="500" w:val="left"/>
        </w:tabs>
        <w:numPr>
          <w:ilvl w:val="0"/>
          <w:numId w:val="18"/>
        </w:numPr>
        <w:rPr>
          <w:rFonts w:ascii="Arial" w:cs="Arial" w:eastAsia="Arial" w:hAnsi="Arial"/>
          <w:sz w:val="34"/>
          <w:szCs w:val="34"/>
          <w:color w:val="auto"/>
          <w:vertAlign w:val="superscript"/>
        </w:rPr>
      </w:pPr>
      <w:r>
        <w:rPr>
          <w:rFonts w:ascii="Arial" w:cs="Arial" w:eastAsia="Arial" w:hAnsi="Arial"/>
          <w:sz w:val="17"/>
          <w:szCs w:val="17"/>
          <w:color w:val="auto"/>
        </w:rPr>
        <w:t xml:space="preserve">On January 1, 2018, we adopted Topic 606 using the modified retrospective method.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adoption of Topic 606 resulted in an increase to the opening retained earnings of $1.9 million, which was recorded net of taxes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Total assets and liabilities increased by $7.1 million and $5.2 million, respectively, as of January 1, 2018.</w:t>
      </w:r>
    </w:p>
    <w:p>
      <w:pPr>
        <w:spacing w:after="0" w:line="71" w:lineRule="exact"/>
        <w:rPr>
          <w:rFonts w:ascii="Arial" w:cs="Arial" w:eastAsia="Arial" w:hAnsi="Arial"/>
          <w:sz w:val="34"/>
          <w:szCs w:val="34"/>
          <w:color w:val="auto"/>
          <w:vertAlign w:val="superscript"/>
        </w:rPr>
      </w:pPr>
    </w:p>
    <w:p>
      <w:pPr>
        <w:jc w:val="both"/>
        <w:ind w:left="500" w:right="20"/>
        <w:spacing w:after="0" w:line="302" w:lineRule="auto"/>
        <w:rPr>
          <w:rFonts w:ascii="Arial" w:cs="Arial" w:eastAsia="Arial" w:hAnsi="Arial"/>
          <w:sz w:val="34"/>
          <w:szCs w:val="34"/>
          <w:color w:val="auto"/>
          <w:vertAlign w:val="superscript"/>
        </w:rPr>
      </w:pPr>
      <w:r>
        <w:rPr>
          <w:rFonts w:ascii="Arial" w:cs="Arial" w:eastAsia="Arial" w:hAnsi="Arial"/>
          <w:sz w:val="16"/>
          <w:szCs w:val="16"/>
          <w:color w:val="auto"/>
        </w:rPr>
        <w:t>In 2016, the Company elected to adopt Accounting Standard Update 2016-09</w:t>
      </w:r>
      <w:r>
        <w:rPr>
          <w:rFonts w:ascii="Arial" w:cs="Arial" w:eastAsia="Arial" w:hAnsi="Arial"/>
          <w:sz w:val="16"/>
          <w:szCs w:val="16"/>
          <w:i w:val="1"/>
          <w:iCs w:val="1"/>
          <w:color w:val="auto"/>
        </w:rPr>
        <w:t>, Improvements to Employee Share-Based Payment Accounting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w:t>
      </w:r>
      <w:r>
        <w:rPr>
          <w:rFonts w:ascii="Arial" w:cs="Arial" w:eastAsia="Arial" w:hAnsi="Arial"/>
          <w:sz w:val="16"/>
          <w:szCs w:val="16"/>
          <w:color w:val="auto"/>
        </w:rPr>
        <w:t>The Company elected to account for forfeitures as they occur. The impact in retained earnings as of December 31, 2015 from this provision was</w:t>
      </w:r>
      <w:r>
        <w:rPr>
          <w:rFonts w:ascii="Arial" w:cs="Arial" w:eastAsia="Arial" w:hAnsi="Arial"/>
          <w:sz w:val="16"/>
          <w:szCs w:val="16"/>
          <w:i w:val="1"/>
          <w:iCs w:val="1"/>
          <w:color w:val="auto"/>
        </w:rPr>
        <w:t xml:space="preserve"> </w:t>
      </w:r>
      <w:r>
        <w:rPr>
          <w:rFonts w:ascii="Arial" w:cs="Arial" w:eastAsia="Arial" w:hAnsi="Arial"/>
          <w:sz w:val="16"/>
          <w:szCs w:val="16"/>
          <w:color w:val="auto"/>
        </w:rPr>
        <w:t>not significant. Amendments related to accounting for excess tax benefits have been adopted prospectively, resulting in recognition of excess tax benefits against income tax expenses rather than additional paid-in capital of $3.8 million for the year ended December 31, 2016.</w:t>
      </w:r>
    </w:p>
    <w:p>
      <w:pPr>
        <w:spacing w:after="0" w:line="316" w:lineRule="exact"/>
        <w:rPr>
          <w:rFonts w:ascii="Arial" w:cs="Arial" w:eastAsia="Arial" w:hAnsi="Arial"/>
          <w:sz w:val="34"/>
          <w:szCs w:val="34"/>
          <w:color w:val="auto"/>
          <w:vertAlign w:val="superscript"/>
        </w:rPr>
      </w:pPr>
    </w:p>
    <w:p>
      <w:pPr>
        <w:jc w:val="both"/>
        <w:ind w:left="500" w:right="20" w:hanging="291"/>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2016, the Company adopted Accounting Standard Update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adopted this guidance effective January 1, 2016 on a retrospective basis. The Company reclassified a portion of the debt issuance costs from other assets to long-term debt as of December 31, 2015, 2014 and 2013.</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500" w:right="20" w:hanging="291"/>
        <w:spacing w:after="0" w:line="194" w:lineRule="auto"/>
        <w:tabs>
          <w:tab w:leader="none" w:pos="500" w:val="left"/>
        </w:tabs>
        <w:numPr>
          <w:ilvl w:val="0"/>
          <w:numId w:val="18"/>
        </w:numPr>
        <w:rPr>
          <w:rFonts w:ascii="Arial" w:cs="Arial" w:eastAsia="Arial" w:hAnsi="Arial"/>
          <w:sz w:val="35"/>
          <w:szCs w:val="35"/>
          <w:color w:val="auto"/>
          <w:vertAlign w:val="superscript"/>
        </w:rPr>
      </w:pPr>
      <w:r>
        <w:rPr>
          <w:rFonts w:ascii="Arial" w:cs="Arial" w:eastAsia="Arial" w:hAnsi="Arial"/>
          <w:sz w:val="18"/>
          <w:szCs w:val="18"/>
          <w:color w:val="auto"/>
        </w:rPr>
        <w:t xml:space="preserve">The benefit from income taxes in 2017 includes $43.4 million related to the re-measurement of our deferred taxes resulting from a reduction of the federal statutory rate from 35% to 21% from the Tax Cuts and Jobs Act (the "2017 Tax Act"), enacted in December 2017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of the consolidated financial statements).</w:t>
      </w:r>
    </w:p>
    <w:p>
      <w:pPr>
        <w:spacing w:after="0" w:line="200" w:lineRule="exact"/>
        <w:rPr>
          <w:rFonts w:ascii="Arial" w:cs="Arial" w:eastAsia="Arial" w:hAnsi="Arial"/>
          <w:sz w:val="35"/>
          <w:szCs w:val="35"/>
          <w:color w:val="auto"/>
          <w:vertAlign w:val="superscript"/>
        </w:rPr>
      </w:pPr>
    </w:p>
    <w:p>
      <w:pPr>
        <w:spacing w:after="0" w:line="247" w:lineRule="exact"/>
        <w:rPr>
          <w:rFonts w:ascii="Arial" w:cs="Arial" w:eastAsia="Arial" w:hAnsi="Arial"/>
          <w:sz w:val="35"/>
          <w:szCs w:val="35"/>
          <w:color w:val="auto"/>
          <w:vertAlign w:val="superscript"/>
        </w:rPr>
      </w:pPr>
    </w:p>
    <w:p>
      <w:pPr>
        <w:ind w:left="500" w:right="40" w:hanging="291"/>
        <w:spacing w:after="0" w:line="182" w:lineRule="auto"/>
        <w:tabs>
          <w:tab w:leader="none" w:pos="500" w:val="left"/>
        </w:tabs>
        <w:numPr>
          <w:ilvl w:val="0"/>
          <w:numId w:val="18"/>
        </w:numPr>
        <w:rPr>
          <w:rFonts w:ascii="Arial" w:cs="Arial" w:eastAsia="Arial" w:hAnsi="Arial"/>
          <w:sz w:val="34"/>
          <w:szCs w:val="34"/>
          <w:color w:val="auto"/>
          <w:vertAlign w:val="superscript"/>
        </w:rPr>
      </w:pPr>
      <w:r>
        <w:rPr>
          <w:rFonts w:ascii="Arial" w:cs="Arial" w:eastAsia="Arial" w:hAnsi="Arial"/>
          <w:sz w:val="17"/>
          <w:szCs w:val="17"/>
          <w:color w:val="auto"/>
        </w:rPr>
        <w:t xml:space="preserve">In 2017, other income (expense), net, includes gain on sale of business of $2.6 million related to the Divestiture to Natus (as defined in Item 7.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w:t>
      </w:r>
    </w:p>
    <w:p>
      <w:pPr>
        <w:spacing w:after="0" w:line="365" w:lineRule="exact"/>
        <w:rPr>
          <w:rFonts w:ascii="Arial" w:cs="Arial" w:eastAsia="Arial" w:hAnsi="Arial"/>
          <w:sz w:val="34"/>
          <w:szCs w:val="34"/>
          <w:color w:val="auto"/>
          <w:vertAlign w:val="superscript"/>
        </w:rPr>
      </w:pPr>
    </w:p>
    <w:p>
      <w:pPr>
        <w:ind w:left="500" w:hanging="29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Presented for continuing operations only.</w:t>
      </w:r>
    </w:p>
    <w:p>
      <w:pPr>
        <w:spacing w:after="0" w:line="387" w:lineRule="exact"/>
        <w:rPr>
          <w:rFonts w:ascii="Arial" w:cs="Arial" w:eastAsia="Arial" w:hAnsi="Arial"/>
          <w:sz w:val="18"/>
          <w:szCs w:val="18"/>
          <w:color w:val="auto"/>
        </w:rPr>
      </w:pPr>
    </w:p>
    <w:p>
      <w:pPr>
        <w:jc w:val="both"/>
        <w:ind w:left="500" w:right="20" w:hanging="291"/>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During the fourth quarter of 2018, the Company entered into an accounts receivable securitization facility (the "Securitization Facility"). As of December 31, 2018, the Company had $121.2 million of outstanding borrowings under its Securitization Facility. Refer to Note 5,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on the Securitization Facility.</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the repair of nerves and tendons. The Company has expanded its base regenerative technology business to include surgical instruments, neurosurgical products, advanced wound care, and orthopedic hardware through a combination of several global acquisitions and by developing products internally to further meet the needs of its customers.</w:t>
      </w:r>
    </w:p>
    <w:p>
      <w:pPr>
        <w:sectPr>
          <w:pgSz w:w="11900" w:h="16838" w:orient="portrait"/>
          <w:cols w:equalWidth="0" w:num="1">
            <w:col w:w="11420"/>
          </w:cols>
          <w:pgMar w:left="240" w:top="530"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30" w:right="239" w:bottom="1440" w:gutter="0" w:footer="0" w:header="0"/>
          <w:type w:val="continuous"/>
        </w:sectPr>
      </w:pPr>
    </w:p>
    <w:bookmarkStart w:id="30" w:name="page31"/>
    <w:bookmarkEnd w:id="30"/>
    <w:p>
      <w:pPr>
        <w:ind w:right="140"/>
        <w:spacing w:after="0" w:line="272" w:lineRule="auto"/>
        <w:rPr>
          <w:sz w:val="20"/>
          <w:szCs w:val="20"/>
          <w:color w:val="auto"/>
        </w:rPr>
      </w:pPr>
      <w:r>
        <w:rPr>
          <w:rFonts w:ascii="Arial" w:cs="Arial" w:eastAsia="Arial" w:hAnsi="Arial"/>
          <w:sz w:val="17"/>
          <w:szCs w:val="17"/>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product category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products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(the "U.S."), Canada, France, Germany, Ireland, Switzerland, and Puerto Rico. We also source most of our handheld surgical instruments, specialty metal and pyrocarbon implants, and dural sealant products through specialized third-party vendors.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 In 2018, we fully integrated the commercial teams from the acquired Codman Neurosurgery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 During 2018, we completed the expansion of our sales channels by establishing dedicated teams for the extremity orthopedics, acute wound reconstruction, outpatient wound care and surgical reconstruction markets.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 is committed to delivering high quality products that positively impact the lives of millions of patients and their families. We focus on four key pillars:</w:t>
      </w:r>
    </w:p>
    <w:p>
      <w:pPr>
        <w:spacing w:after="0" w:line="46" w:lineRule="exact"/>
        <w:rPr>
          <w:sz w:val="20"/>
          <w:szCs w:val="20"/>
          <w:color w:val="auto"/>
        </w:rPr>
      </w:pPr>
    </w:p>
    <w:p>
      <w:pPr>
        <w:jc w:val="both"/>
        <w:ind w:firstLine="8"/>
        <w:spacing w:after="0" w:line="255"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an execution-focused culture, 2) achieving relevant scale, 3) improving agility and innovation, and 4) leading in customer excellence.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To this end, our executive leadership team has established the following key priorities aligned to this strategy:</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An important part of our strategy is pursuing strategic transactions and licensing agreements that increase relevant scale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areas in which we compete. In 2018, integrating the Codman Neurosurgery business, which was acquired from Johnson and Johnson in the previous year, remained a top priority and we will continue to transition the business throughout 2019. This acquisition expanded our portfolio of neurosurgery products and established us as the world leader in neurosurgery. It has also enabled us to bring our entire Integra portfolio to a global market.</w:t>
      </w:r>
    </w:p>
    <w:p>
      <w:pPr>
        <w:spacing w:after="0" w:line="18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Portfolio Optimization and New Product Introductions</w:t>
      </w:r>
      <w:r>
        <w:rPr>
          <w:rFonts w:ascii="Arial" w:cs="Arial" w:eastAsia="Arial" w:hAnsi="Arial"/>
          <w:sz w:val="18"/>
          <w:szCs w:val="18"/>
          <w:color w:val="auto"/>
        </w:rPr>
        <w:t>. 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focus on regenerative technologies and other projects with the potential for significant returns on investment. In 2018, we achieved significant milestones in research and development by successfully launching nine new products.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9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 is a</w:t>
      </w:r>
      <w:r>
        <w:rPr>
          <w:rFonts w:ascii="Arial" w:cs="Arial" w:eastAsia="Arial" w:hAnsi="Arial"/>
          <w:sz w:val="18"/>
          <w:szCs w:val="18"/>
          <w:i w:val="1"/>
          <w:iCs w:val="1"/>
          <w:color w:val="auto"/>
        </w:rPr>
        <w:t xml:space="preserve"> </w:t>
      </w:r>
      <w:r>
        <w:rPr>
          <w:rFonts w:ascii="Arial" w:cs="Arial" w:eastAsia="Arial" w:hAnsi="Arial"/>
          <w:sz w:val="18"/>
          <w:szCs w:val="18"/>
          <w:color w:val="auto"/>
        </w:rPr>
        <w:t>core part of our strategy to create specialization and greater focus on reaching our customers and addressing their needs. Internationally, we have increased our commercial resources significantly in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Customer Excellence. </w:t>
      </w:r>
      <w:r>
        <w:rPr>
          <w:rFonts w:ascii="Arial" w:cs="Arial" w:eastAsia="Arial" w:hAnsi="Arial"/>
          <w:sz w:val="18"/>
          <w:szCs w:val="18"/>
          <w:color w:val="auto"/>
        </w:rPr>
        <w:t>We aspire to be ranked as a best-in-class provider and are committed to strengthen our relationships with all customers. We strive</w:t>
      </w:r>
      <w:r>
        <w:rPr>
          <w:rFonts w:ascii="Arial" w:cs="Arial" w:eastAsia="Arial" w:hAnsi="Arial"/>
          <w:sz w:val="18"/>
          <w:szCs w:val="18"/>
          <w:i w:val="1"/>
          <w:iCs w:val="1"/>
          <w:color w:val="auto"/>
        </w:rPr>
        <w:t xml:space="preserve"> </w:t>
      </w:r>
      <w:r>
        <w:rPr>
          <w:rFonts w:ascii="Arial" w:cs="Arial" w:eastAsia="Arial" w:hAnsi="Arial"/>
          <w:sz w:val="18"/>
          <w:szCs w:val="18"/>
          <w:color w:val="auto"/>
        </w:rPr>
        <w:t>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Equity Offering</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continue to invest in collecting clinical evidence to support our existing products and new product launches, and to ensure that we obtain market access for broader and more cost-effective solutions. In 2017, we introduced seven new regenerative technology products, including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w:t>
      </w:r>
      <w:r>
        <w:rPr>
          <w:rFonts w:ascii="Arial" w:cs="Arial" w:eastAsia="Arial" w:hAnsi="Arial"/>
          <w:sz w:val="24"/>
          <w:szCs w:val="24"/>
          <w:color w:val="auto"/>
          <w:vertAlign w:val="superscript"/>
        </w:rPr>
        <w:t>®</w:t>
      </w:r>
      <w:r>
        <w:rPr>
          <w:rFonts w:ascii="Arial" w:cs="Arial" w:eastAsia="Arial" w:hAnsi="Arial"/>
          <w:sz w:val="17"/>
          <w:szCs w:val="17"/>
          <w:color w:val="auto"/>
        </w:rPr>
        <w:t>, and our largest electromechanical product,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In 2018, we launched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platform in Japan, AmnioExcel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Plus,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XT ankle revision system and Panta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in the U.S. We continue to work on advanced shoulder products and are developing a pyrocarbon hemi shoulder product to add to our orthopedic reconstruction portfolio. We launched Panta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outside the U.S. during the first quarter of 2019. Panta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is a new fusion nail used in ankle fixation. In our electromechanical technologies portfolio, we are focused on the development of core clinical applications and anticipate a steady flow of product launches in early 2019, including the introduction of a new electrosurgery generator, a next generation ICP monitor platform and an innovative customer-centric toolkit for our Certas</w:t>
      </w:r>
      <w:r>
        <w:rPr>
          <w:rFonts w:ascii="Arial" w:cs="Arial" w:eastAsia="Arial" w:hAnsi="Arial"/>
          <w:sz w:val="18"/>
          <w:szCs w:val="18"/>
          <w:color w:val="auto"/>
        </w:rPr>
        <w:t>™</w:t>
      </w:r>
      <w:r>
        <w:rPr>
          <w:rFonts w:ascii="Arial" w:cs="Arial" w:eastAsia="Arial" w:hAnsi="Arial"/>
          <w:sz w:val="17"/>
          <w:szCs w:val="17"/>
          <w:color w:val="auto"/>
        </w:rPr>
        <w:t xml:space="preserve"> valve along with additional shunt configurations. We continue to work with several instrument partners to bring new surgical instrument patterns to the market, enabling us to add new instruments with minimal expense and invest in ongoing development, such as in LED technology.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February 26, 2019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material-based products for the year ended December 31, 2018 were less than 1.0% of consolidated revenues.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reach of our product portfolios and drive relevant scale to our customers. As a result of several recent acquisitions, our financial results for the year ended December 31, 2018 may not be directly comparable to those of the corresponding prior-year periods. See Note 4 -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to our consolidated financial statements for a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were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Note 4 -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the Divestiture was completed and Natus paid an aggregate purchase price of $46.4 million. Revenues related to the Divestiture included in the Company's financial results for the period ended December 31, 2017 was $27.0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income from continuing operations in 2018 was $60.8 million, or $0.72 per diluted share, as compared to $64.7 million, or $0.82 per diluted share in 2017, and $74.6 million, or $0.94 per diluted share, in 2016.</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2016 to 2018 increased $480.4 million, generating $258.0 million of additional gross margin over that time period resulting primarily from the businesses that we acquired and organic growth. Costs and expenses increased sequentially as new employees, especially in selling, general and administrative functions, joined the Company as a result of acquisitions. In addition, integration expenses in 2018 and 2017 increased from 2016 as a result of the businesses we acquired.</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from income taxes in 2017 was primarily driven by a re-measurement of our deferred taxes resulting from a reduction of the federal statutory rate from 35% to 21% from the 2017 Tax Act and a decrease in income before income taxes in 2017 resulting from acquisition and integration costs related to the Derma Sciences and the Codman Neurosurgery acquisitions.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93,926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Hurricane Maria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8,075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123,063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51,798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4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amounts have been reduced by $2.6 million in 2017, representing gain on sale of business to Natus. See Note 4, </w:t>
      </w:r>
      <w:r>
        <w:rPr>
          <w:rFonts w:ascii="Arial" w:cs="Arial" w:eastAsia="Arial" w:hAnsi="Arial"/>
          <w:sz w:val="18"/>
          <w:szCs w:val="18"/>
          <w:i w:val="1"/>
          <w:iCs w:val="1"/>
          <w:color w:val="auto"/>
        </w:rPr>
        <w:t>Acquisitions and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r>
        <w:rPr>
          <w:rFonts w:ascii="Arial" w:cs="Arial" w:eastAsia="Arial" w:hAnsi="Arial"/>
          <w:sz w:val="18"/>
          <w:szCs w:val="18"/>
          <w:color w:val="auto"/>
        </w:rPr>
        <w:t>, of our consolidated financial statements for more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34,563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123,063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135,392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51,798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45"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Revenues and Gross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1"/>
        </w:trPr>
        <w:tc>
          <w:tcPr>
            <w:tcW w:w="6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963,929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720,301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632,524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508,512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467,935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359,551</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1,472,441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1,188,236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992,075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571,496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435,511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349,089</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900,945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752,725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642,986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3180" w:type="dxa"/>
            <w:vAlign w:val="bottom"/>
          </w:tcPr>
          <w:p>
            <w:pPr>
              <w:jc w:val="right"/>
              <w:ind w:right="510"/>
              <w:spacing w:after="0"/>
              <w:rPr>
                <w:sz w:val="20"/>
                <w:szCs w:val="20"/>
                <w:color w:val="auto"/>
              </w:rPr>
            </w:pPr>
            <w:r>
              <w:rPr>
                <w:rFonts w:ascii="Arial" w:cs="Arial" w:eastAsia="Arial" w:hAnsi="Arial"/>
                <w:sz w:val="18"/>
                <w:szCs w:val="18"/>
                <w:color w:val="auto"/>
              </w:rPr>
              <w:t>61.2%</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63.3%</w:t>
            </w: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2018, total revenues increased by $284.2 million, or 23.9%, to $1,472.4 million from $1,188.2 million during the prior year. Domestic revenues increased $151.6 million, or 17.0%, to $1,045.9 million and were 71.0% of total revenues for the year ended December 31, 2018. International revenues increased to $426.6 million, compared to $293.9 million during 2017. The increase compared to the prior year primarily resulted from the full-year sales impact of products acquired as part of the Codman Neurosurgery acquisition, which resulted in incremental revenue of $235.6 million, a $3.8 million favorable impact of foreign exchange as well as growth in both segments of $71.8 million, which includes twelve months of Derma Sciences revenue in 2018, offset by $27.0 million of revenue from divested products in 2017.</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Codman Specialty Surgical revenues were $963.9 million, an increase of 33.8% from the prior-year period. The increase primarily resulted from incremental revenues from Codman Neurosurgery of $235.6 million. Growth in our legacy Neurosurgery portfolio was primarily driven by our CUSA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capital and disposables portfolio and dural repair. Revenues for Precision Tools and Instruments increased by low-single digits over the prior period due to increased volume in the business.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Orthopedics and Tissue Technologies revenues were $508.5 million, an increase of 8.7% from the prior-year period. In our Wound Reconstruction portfolio used in inpatient and outpatient procedures, sales of our Integra skin products including PriMatrix, and amniotic tissue products, increased mid-double digits. Revenues for Private Label increased by mid-single digits over the prior period due to increased volume in the business. In our Extremity Orthopedics business, sales declined low-single digits driven by a decline in our lower fixation portfolio offset by growth in our shoulder and ankle portfolios.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will experience currency exchange risk with respect to those foreign currency denominated revenues.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year ended December 31, 2017, total revenues increased by $196.2 million, or 20%, to $1,188.2 million from $992.1 million during the prior year. Domestic revenues increased by $128.7 million, or 17%, to $894.3 million and were 75% of total revenues for the year ended December 31, 2017. International revenues increased to $293.9 million, compared to $226.5 million during 2016. Foreign exchange fluctuations had a positive impact of $2.4 million on revenues for the year.</w:t>
      </w:r>
    </w:p>
    <w:p>
      <w:pPr>
        <w:spacing w:after="0" w:line="187"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Codman Specialty Surgical revenues were $720.3 million, an increase of 14% from the prior year. The increase primarily resulted from one quarter of revenues from Codman Neurosurgery of $76.9 million. Growth in our legacy Neurosurgery portfolio was also driven by our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capital and disposables. Precision Tools and Instruments increased by low-single digits over the prior period due to increased volume in the business.</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Orthopedics and Tissue Technologies revenues were $467.9 million, an increase of 30% from the prior year. The increase largely resulted from the impact of the 2017 acquisition of Derma Sciences, which added $84.6 million incremental revenue in the period. We also saw increases in our Wound Reconstruction portfolio, Extremity Orthopedics business and Private Label business driven by strong demand for our skin products and continued relationships with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experience currency exchange risk with respect to those foreign currency denominated revenues.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as a percentage of revenues was 61.2% in 2018, 63.3% in 2017, and 64.8% in 2016. The decrease in gross margin percentage of total revenue from 2017 to 2018 resulted primarily from dilution related to full-year product sales from the Codman Neurosurgery acquisition at lower margins than the Company's historical average. Additionally, there were higher net costs associated with amortization for technology-based intangible assets recorded in connection with the Codman Neurosurgery acquisition.</w:t>
      </w:r>
    </w:p>
    <w:p>
      <w:pPr>
        <w:spacing w:after="0" w:line="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gross margin percentage of total revenue from 2016 to 2017 resulted primarily from dilution related to product sales from the Codman Neurosurgery acquisition at lower margins than the Company's average. Additionally, there were higher net costs associated with fair value inventory purchase accounting adjustments from the Codman Neurosurgery and Derma Sciences acquisitions and amortization for technology-based intangible assets recorded in connection with the acquisitions.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46.9%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intangible asset amortization expense, increased $82.0 million or 12% to $789.9 million in 2018, compared to $707.9 million in the prior year.</w:t>
      </w:r>
    </w:p>
    <w:p>
      <w:pPr>
        <w:spacing w:after="0" w:line="3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totaled $78.0 million in 2018, compared to $63.5 million in 2017 and $58.2 million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to the prior year, the increase in research and development costs from 2017 to 2018 primarily resulted from the full-year impact of the acquisitions of Derma Sciences and Codman Neurosurgery and additional spending on new product development and clinical studies.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 the year ended December 31, 2018 increased by $66.7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10.7% to $690.7 million, compared to $624.1 million in the same period in the prior year. Selling and marketing expenses increased by $72.3 million, primarily resulting from the full-year impact of the Derma Sciences and Codman Neurosurgery acquisitions, higher headcount in our sales force compared to the prior year, higher commission costs resulting from increases in revenue and channel expansion. General and administrative costs decreased by $5.6 million, primarily resulting from one-time costs for the year ended December 31, 2017 related to acquiring and integrating the Derma Sciences and Codman Neurosurgery businesses in the year of acquisition.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2017 increased by $168.5 million or 37.0% to $624.1 million, compared to $455.6 million in 2016. Selling and marketing expenses increased by $63.9 million, primarily resulting from the Derma Sciences and Codman Neurosurgery acquisitions, higher headcount in our sales force compared to the prior year, and higher commission costs resulting from increases in revenue. General and administrative costs increased by $104.6 million,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primarily resulting from the costs related to acquiring and integrating the Derma Sciences and Codman Neurosurgery businesses and increased compensation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in the year ended December 31, 2018 was $21.2 million, compared to $20.4 million in 2017. The increase primarily resulted from the full-year impact of amortization on the intangible assets added as part of the Derma Sciences acquisition.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amortization expense (excluding amounts reported in cost of product revenues for technology-based intangible assets) in the year ended December 31, 2017 was $20.4 million, compared to $13.9 million in 2016. The increase primarily resulted from amortization on the intangible assets added as part of our Derma Sciences acquisition.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$66.2 million in 2019, $65.9 million in 2020, $64.8 million in 2021, $61.3 million in 2022, $60.4 million in 2023 and $596.6 million thereafter.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(64,683)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(25,803)</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(53,595)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(24,934)</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increased in 2018 as compared to 2017 primarily due to the interest rate differential on cross-currency swaps designated as net investment hedges. These cross-currency swaps were consummated during the fourth quarter of 2018. Interest income was minimal in 2017 and 2016.</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$64.7 million, $35.0 million and $25.8 million in 2018, 2017 and 2016, respectively. Interest expense increased in 2018 as compared to 2017 and 2016 primarily resulting from an increase in our weighted average interest rate and the full-year impact of increased borrowings under our Senior Credit Facility to fund the acquisitions of Derma Sciences and Codman Neurosurgery in 2017. As of December 31, 2018 and 2017, our weighted average interest rate was 3.9% and 3.6%,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increased in 2017 as compared to 2016 primarily because of increased borrowings under our Senior Credit Facility to fund the acquisitions of Derma Sciences and Codman Neurosurgery. This increase was offset by non-cash interest in 2016 related to the accounting for convertible securities of $8.1 million.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reported interest expense for the years ended December 31, 2018, 2017 and 2016 included $6.3 million, $2.7 million and $2.5 million, respectively, of non-cash amortization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of $8.3 million in 2018 was primarily due to the full-year impact of the interest rate differential on cross-currency swaps designated as cash flow hedges. These cross-currency swaps were consummated during the fourth quarter of 2017. Other income increased in 2017, as compared to 2016, primarily due to the gain on sale of Natus in 2017 offset by losses on sales of short-term investments acquired from Derma Sciences and transactional foreign exchange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income tax rate was (5.9)%, (468.7)% and 17.5% of income before income taxes in 2018, 2017 and 2016, respectively. See Note 12, “Income Taxes,” in our consolidated financial statements for a reconciliation of the United States federal statutory rate to our effective tax rate.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the Company's higher worldwide effective tax rate, as compared to 2017, was primarily attributable to an increase in the Company's income before taxes and the continuing impact of complying with the 2017 Tax Act. The Company recorded a $2.0</w:t>
      </w:r>
    </w:p>
    <w:p>
      <w:pPr>
        <w:sectPr>
          <w:pgSz w:w="11900" w:h="16838" w:orient="portrait"/>
          <w:cols w:equalWidth="0" w:num="1">
            <w:col w:w="11420"/>
          </w:cols>
          <w:pgMar w:left="240" w:top="44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49" w:right="239" w:bottom="1440" w:gutter="0" w:footer="0" w:header="0"/>
          <w:type w:val="continuous"/>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million expense related to GILTI and a $0.9 million expense related to nondeductible executive compensation; both resulting from changes made by the 2017 Tax Act.</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2017 Tax Act included numerous changes to existing U.S. tax laws that have and will continue to impact the Company. The most notable change was a reduction in the federal statutory tax rate from 35% to 21%. In 2017, the lower effective tax rate was primarily driven by a tax benefit of $43.4 million as a result of the re-measurement of deferred taxes using this reduced federal tax rate. In addition, the Company's income before taxes decreased in 2017 compared to 2016, primarily resulting from the acquisition and integration costs related to the 2017 acquisitions of Derma Sciences and Codman Neurosurgery.</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our lower worldwide effective tax rate, as compared to 2015, was primarily attributable to an excess tax benefit of $3.8 million as a result of early adoption of the new share-based compensation accounting guidance (</w:t>
      </w:r>
      <w:r>
        <w:rPr>
          <w:rFonts w:ascii="Arial" w:cs="Arial" w:eastAsia="Arial" w:hAnsi="Arial"/>
          <w:sz w:val="18"/>
          <w:szCs w:val="18"/>
          <w:i w:val="1"/>
          <w:iCs w:val="1"/>
          <w:color w:val="auto"/>
        </w:rPr>
        <w:t>ASU 2016-09</w:t>
      </w:r>
      <w:r>
        <w:rPr>
          <w:rFonts w:ascii="Arial" w:cs="Arial" w:eastAsia="Arial" w:hAnsi="Arial"/>
          <w:sz w:val="18"/>
          <w:szCs w:val="18"/>
          <w:color w:val="auto"/>
        </w:rPr>
        <w:t>), a favorable jurisdictional income mix, significantly lower non-deductible acquisition costs versus the prior year, and a benefit of $0.5 million for a Federal research credit study.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the range of our worldwide effective income tax rate for 2019 to be approximately 18.5% to 19.0%.</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 cumulative valuation allowance of $7.0 million against the remaining $104.9 million of gross deferred tax assets recorded at December 31, 2018. Our deferred tax asset valuation allowance decreased by $1.0 million in 2018 and increased by $4.4 million in 2017. This valuation allowance relates to deferred tax assets for which the Company does not believe it has satisfied the more likely than not threshold for realization. The decrease in valuation allowance in 2018 primarily results from the realization of certain deferred tax assets related to acquisition of Derma Sciences and the impact of current year activity. If we determine that we would be able to realize more or less than the recorded amount of net deferred tax assets, we will record an adjustment to the deferred tax asset valuation allowance in the period such a determination is made.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we had net operating loss carryforwards of $118.4 million for federal income tax purposes, $34.5 million for foreign income tax purposes and $25.6 million for state income tax purposes to offset future taxable income. The federal net operating loss carryforwards expire through 2035, $0.9 million of the foreign net operating loss carryforwards expire through 2025 with the remaining $33.6 million having an indefinite carry forward period. The state net operating loss carryforwards expire through 2037.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Tax Act imposed a one-time repatriation tax on accumulated foreign subsidiaries’ untaxed foreign earnings (“Toll Tax”). As of December 31, 2017, we recorded income tax expense of approximately $5.5 million as an estimate of the Toll Tax on certain foreign earnings. The calculation of the Toll Tax allows for the ability to offset positive foreign earnings with existing foreign deficits and use of foreign tax credits. We finalized our tax filings for 2017 and recorded a benefit of $1.0 million as an adjustment to the 2017 Toll Tax liability; resulting in a total Toll Tax liability of $4.5 million. The Company asserts that it has the ability and intent to indefinitely reinvest the undistributed earnings from its foreign operations unless there is a tax-free manner under which to remit the earnings.</w:t>
      </w:r>
    </w:p>
    <w:p>
      <w:pPr>
        <w:spacing w:after="0" w:line="19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2018,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2018.</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year ended December 31, 2017. The Company finalized its calculations and completed its accounting for the income tax effects of the 2017 Tax Act in December 2018. The Company adjusted its provisional estimate of the Toll Tax, reducing the total liability by $1.0 million, which decreased the Company's effective tax rate by 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Tax Act subjects the Company to tax on GILTI earned by certain foreign subsidiaries. The Company can make an accounting policy election to either recognize deferred taxes related to GILTI or to provide for the tax expense related to GILTI in the year the tax is incurred as a period expense. The Company has elected to account for the GILTI tax in the year the tax is incurred.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1,045,887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894,260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765,608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201,354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150,147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120,588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63,193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45,894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1,472,441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1,188,236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992,075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2018, sales to our U.S. customers increased 17.0% from the prior year. We saw increases in our Wound Reconstruction portfolio, Private Label business, Precision Tools and Instruments business and our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capital and disposables portfolio which benefited from organic growth as well as the full-year impact of the Derma Sciences and Codman Neurosurgery acquisitions consummated in 2017. European sales increased 34.1% in 2018 compared to the prior year, resulting primarily from the full-year impact of the Derma Sciences and Codman Neurosurgery acquisitions as well as increases in our Wound Reconstruction portfolio. Sales to customers in Asia Pacific and Rest of World increased 78.9% and 28.1% in 2018, respectively, compared to the prior year, primarily driven by the full-year impact of the Derma Sciences and Codman Neurosurgery acquisitions.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sales to our U.S. customers increased 16.8% from the prior year. We saw increases in our regenerative technologies, private label, dural access and repair, advanced energy, precision tools and instruments and extremities businesses, which benefited from organic growth as well as contributions from the Derma Sciences and Codman Neurosurgery acquisitions. European sales increased 24.5% in 2017 compared to the prior year, resulting primarily from increases in sales in our Codman Specialty Surgical portfolio as well as regenerative technologies. Both areas included contributions from the Codman Neurosurgery and Derma Sciences acquisitions. Sales to customers in Asia Pacific and Rest of World increased by 34.4% and 37.7% in 2017, respectively, compared to the prior year, primarily driven by the Derma Sciences and Codman Neurosurgery acquisitions.</w:t>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our global reach, we generate revenues and incur operating expenses in multiple foreign currencies. Accordingly, we will experience currencies exchange risk with respect to those foreign currency denominated revenues and operating expenses. The Company generated revenues denominated in foreign currencies of $332.8 million, $185.9 million and $163.3 million during the years ended December 31, 2018, 2017 and 2016, respectively.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Relationships with customers and effective terms of sale frequently vary by country, often with longer-term receivables than are typical in the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$138.8 million and $174.9 million at December 31, 2018 and 2017, respectively.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2019, we anticipate that our principal uses of cash will be for support and maintenance of our existing plants for facility automation and developments of our new Mansfield, Massachusetts manufacturing facility.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$954.4 million of borrowing capacity under our senior secured revolving credit facility at December 31, 2018, if needed, will satisfy our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2" w:right="239" w:bottom="1440" w:gutter="0" w:footer="0" w:header="0"/>
        </w:sectPr>
      </w:pPr>
    </w:p>
    <w:bookmarkStart w:id="39" w:name="page40"/>
    <w:bookmarkEnd w:id="39"/>
    <w:p>
      <w:pPr>
        <w:ind w:right="260"/>
        <w:spacing w:after="0" w:line="277" w:lineRule="auto"/>
        <w:rPr>
          <w:sz w:val="20"/>
          <w:szCs w:val="20"/>
          <w:color w:val="auto"/>
        </w:rPr>
      </w:pPr>
      <w:r>
        <w:rPr>
          <w:rFonts w:ascii="Arial" w:cs="Arial" w:eastAsia="Arial" w:hAnsi="Arial"/>
          <w:sz w:val="18"/>
          <w:szCs w:val="18"/>
          <w:color w:val="auto"/>
        </w:rPr>
        <w:t>foreseeable working capital, debt repayment and capital expenditure requirements for at least the next twelve months after the date the financial statements are issued or are available to be issued.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our non-U.S. subsidiaries held approximately $110.5 million of cash and cash equivalents that are available for use by all of our operations around the world. The Company asserts that it has the ability and intent to indefinitely reinvest the undistributed earnings from its foreign operations unless there is a tax-free manner under which to remit the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7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199,683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(49,705)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(1,221,335)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in)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(180,872)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1,168,947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10,724</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generated operating cash flows of $199.7 million, $114.5 million and $116.4 million for years ended December 31, 2018, 2017 and 2016, respectively.</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cash flows in 2018 increased compared to the same period in 2017. Net income for the year, adjusted for items included in net income which did not result in a change to our cash balance, amounted to cash inflows of $197.9 million, compared to $115.9 million in 2017. The increase to net income, adjusted for items included in net income year over year is primarily attributed to the full-year operating impact of the Derma and Codman acquisitions consummated during 2017 and organic growth of the Company during 2018. Changes in working capital in 2018 increased cash flows by approximately $0.3 million. Among the changes in working capital, accounts receivable used $17.0 million of cash, inventory provided $8.3 million of cash, prepaid expenses and other current assets provided $3.9 million of cash, accounts payable, accrued expenses and other current liabilities provided $3.6 million of cash and deferred revenue provided $1.5 million of cash.</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Operating cash flows in 2017 decreased compared to the same period in 2016. Net income in 2017 decreased compared to 2016 due to an increase in expenses related to the acquisitions and integrations of Codman Neurosurgery and Derma Sciences. Net income for the year, adjusted for items included in net income which did not result in a change to our cash balance, amounted to cash inflows of $115.9 million, compared to $170.4 million in 2016. Changes in working capital in 2017 decreased cash flows by approximately $24.2 million. Among the changes in working capital, accounts receivable used $89.7 million of cash, inventory provided $0.1 million of cash, prepaid expenses and other current assets used $33.8 million of cash, and accounts payable, accrued expenses and other current liabilities provided $95.3 million of cash.</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cash flows in 2016 decreased compared to the same period in 2015. Net income in 2016 increased compared to 2015 due to an increase in income from continuing operations before income taxes and because of the impact of the tax valuation allowance recorded in 2015 in conjunction with the SeaSpine spin-off, which was a non-cash adjustment. In 2016, we also made payments of accreted interest of $42.8 million compared to $0.4 million paid in 2015, which are included in operating activities. Net income for the year, adjusted for items included in net income which did not result in a change to our cash balance, amounted to cash inflows of $170.4 million, compared to $127.8 million in 2015. Changes in working capital in 2016 decreased cash flows by approximately $11.3 million. Among the changes in working capital, accounts receivable used $17.5 million of cash, inventory used $9.6 million of cash, prepaid expenses and other current assets provided $14.9 million of cash, and accounts payable, accrued expenses and other current liabilities used $0.4 million of cash.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we paid $77.7 million for capital expenditures, most of which were directed to the expansion of our new Mansfield, Massachusetts facility and commercial expansion. We received $26.7 million from the Codman Neurosurgery acquisition for a working capital adjustment.</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During the year ended December 31, 2017, we paid an aggregate of $1.2 billion for the acquisitions of Codman Neurosurgery and Derma Sciences. The payment for Derma Sciences included a $210.5 million payment of the purchase price plus a $26.6 million payment for the BioD Product Payment in May 2017 (see Note 4, </w:t>
      </w:r>
      <w:r>
        <w:rPr>
          <w:rFonts w:ascii="Arial" w:cs="Arial" w:eastAsia="Arial" w:hAnsi="Arial"/>
          <w:sz w:val="17"/>
          <w:szCs w:val="17"/>
          <w:i w:val="1"/>
          <w:iCs w:val="1"/>
          <w:color w:val="auto"/>
        </w:rPr>
        <w:t>Acquisitions and Pro Forma Results</w:t>
      </w:r>
      <w:r>
        <w:rPr>
          <w:rFonts w:ascii="Arial" w:cs="Arial" w:eastAsia="Arial" w:hAnsi="Arial"/>
          <w:sz w:val="17"/>
          <w:szCs w:val="17"/>
          <w:color w:val="auto"/>
        </w:rPr>
        <w:t>). We received $17.0 million from the sale of short-term investments acquired from Derma Sciences. We also received $46.4 million from the Divestiture to Natus in October 2017. We paid $43.5 million in cash for capital expenditures, most of which was directed towards the expansion of our manufacturing facilities and commercial expansion.</w:t>
      </w:r>
    </w:p>
    <w:p>
      <w:pPr>
        <w:spacing w:after="0" w:line="173"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During the year ended December 31, 2016, we paid $47.3 million in cash for capital expenditures, most of which was directed to the expansion of our collagen manufacturing center, new instruments for several product launches, facility improvements and enterprise resource planning implementation.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2018 were $349.6 million from the issuance of common stock and $171.2 million in borrowings under our Senior Credit Facility and Securitization Facility. These were offset by repayments of $660.0 million on the revolving portion of our Senior Credit Facility, payments of $15.9 million for inventory that was included in the initial purchase accounting for Codman Neurosurgery and $22.3 million of payments relating to contingent consideration.</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principal sources of cash from financing activities in the year ended December 31, 2017 were $700.0 million under the Term Loan component of our Senior Credit Facility, and $607.0 million of borrowings under the revolver component of our Senior Credit Facility offset by $117.0 million in repayments under our Senior Credit Facility, and $19.0 million in debt issuance costs related to our Senior Credit Facility.</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principal sources of cash from financing activities in the year ended December 31, 2016 were $500.0 million under the term loan component of our Senior Credit Facility, $180.0 million of borrowings under the revolver component of our Senior Credit Facility, and a $184.3 million repayment of the 2016 Convertible Notes offset by $511.3 million in repayments under our Senior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and December 31, 2017, working capital was $512.5 million and $473.2 million, respectively. Working capital consists of total current assets less total current liabilities as presented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first quarterly installment of the Company's Term Loan component of its Senior Credit Facility is due on September 30, 2019. We recorded a total of $22.5 million of the Term Loan component of the Senior Credit Facility as a current liability in the Company's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11" w:right="239" w:bottom="1440" w:gutter="0" w:footer="0" w:header="0"/>
        </w:sectPr>
      </w:pPr>
    </w:p>
    <w:bookmarkStart w:id="41" w:name="page42"/>
    <w:bookmarkEnd w:id="41"/>
    <w:tbl>
      <w:tblPr>
        <w:tblLayout w:type="fixed"/>
        <w:tblInd w:w="128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6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Execution of May 2018 Amendment through March 31, 2019</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5.50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 through March 31, 2020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June 30, 2020 through March 31, 2021</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4.50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 and thereafter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71" w:lineRule="exact"/>
        <w:rPr>
          <w:sz w:val="20"/>
          <w:szCs w:val="20"/>
          <w:color w:val="auto"/>
        </w:rPr>
      </w:pPr>
    </w:p>
    <w:p>
      <w:pPr>
        <w:ind w:left="660" w:right="5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right="68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 plus the applicable rate (ranging from 0% to 0.75%),</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0.35%),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plan to utilize the Senior Credit Facility for working capital, capital expenditures, acquisitions, debt repayments and other general corporate purposes. At December 31, 2018 and 2017, there was $345.0 million and $655.0 million outstanding, respectively, under the revolving portion of the Senior Credit Facility at a weighted average interest rate of 4.0% and 3.7%, respectively. At December 31, 2018 and 2017, there was $900.0 million and $1.2 billion outstanding under the Term Loan component of the Senior Credit Facility at a weighted average interest rate of 3.9% and 3.6%,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2018 the Company was in compliance with all such covenants. The Company capitalized $4.2 million and $19.1 million of incremental financing costs in 2018 and 2017, respectively, in connection with the modifications of the Senior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December 31, 2018 and 2017 totaled $0.6 million, respectively. There were no amounts drawn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revolving loan facility at any one time is limited to $150.0 million. The Securitization Facility agreement is for an initial three-year term and may be extended. The agreement governing the Securitization Facility contains certain covenants and termination events. An occurrence of an event of default or a termination event under this facility may give rise to the right of its counterparty to terminate this facility. As of December 31, 2018, the Company was in compliance with the covenants and none of the termination events had occurred. As of December 31, 2018, the Company had $121.2 million of outstanding borrowings under its Securitization Facility at a weighted average interest rate of 3.4%.</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 at December 31, 2018 were approximately $322.2 million and $852.1 million, respectively. The fair value of the outstanding borrowing of the Securitization Facility at December 31, 2018 was approximately $116.4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1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15, 2016, the Company extinguished its 2016 Convertible Notes by paying the remaining principal amount of $227.1 million and issued 2.9 million shares of common stock with a fair value of $122.0 million related to excess conversion value. No gain or loss on extinguishment was recognized as a result of the conversion. The Company also received 2.9 million shares of common stock from the exercise of call options with hedge participants (as defined below) with a fair value of $123.1 million at the date of the exercise. The shares of common stock received from the exercise of the call options were held as treasury stock as of December 31, 2016 at a weighted average price of $41.78 per share for a total of $123.1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Convertible Notes were issued on June 15, 2011 with the aggregate principal of $230.0 million and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issuance of the 2016 Convertible Notes, we entered into call transactions and warrant transactions, primarily with affiliates of the initial purchasers of such notes (the “hedge participants”). The initial strike price of the call transaction was approximately $28.72 per share, subject to customary anti-dilution adjustments. The initial strike price of the warrant transaction was approximately $35.03 per share, subject to customary anti-dilution adjustments. The strike price of the call transactions and warrant transactions has been adjusted similar to the 2016 Convertible Notes as a result of the spin-off of the Company's spine business in July 2015 to $26.42 per share and $32.22 per share, respectively. The warrants expired on a series of expiration dates from March 2017 to August 2017. For the year ended December 31, 2017, the hedge participants exercised 8,707,202 warrants, and, as a result, the Company issued 2,839,743 shares of common stock for the year ended December 31, 2017. The Company has no warrants outstanding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 million stock repurchase authorization which was approved by the Board in 2016.</w:t>
      </w:r>
    </w:p>
    <w:p>
      <w:pPr>
        <w:spacing w:after="0" w:line="161" w:lineRule="exact"/>
        <w:rPr>
          <w:sz w:val="20"/>
          <w:szCs w:val="20"/>
          <w:color w:val="auto"/>
        </w:rPr>
      </w:pPr>
    </w:p>
    <w:p>
      <w:pPr>
        <w:ind w:right="180"/>
        <w:spacing w:after="0" w:line="391" w:lineRule="auto"/>
        <w:rPr>
          <w:sz w:val="20"/>
          <w:szCs w:val="20"/>
          <w:color w:val="auto"/>
        </w:rPr>
      </w:pPr>
      <w:r>
        <w:rPr>
          <w:rFonts w:ascii="Arial" w:cs="Arial" w:eastAsia="Arial" w:hAnsi="Arial"/>
          <w:sz w:val="18"/>
          <w:szCs w:val="18"/>
          <w:color w:val="auto"/>
        </w:rPr>
        <w:t xml:space="preserve">There have been no shares of common stock repurchased by the Company under any of these authorizations in the years ended December 31, 2018 or 2017. </w:t>
      </w:r>
      <w:r>
        <w:rPr>
          <w:rFonts w:ascii="Arial" w:cs="Arial" w:eastAsia="Arial" w:hAnsi="Arial"/>
          <w:sz w:val="18"/>
          <w:szCs w:val="18"/>
          <w:b w:val="1"/>
          <w:bCs w:val="1"/>
          <w:i w:val="1"/>
          <w:iCs w:val="1"/>
          <w:color w:val="auto"/>
        </w:rPr>
        <w:t>Dividend Policy</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were obligated to pay the following amounts under the following agreements: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2020-2021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2022-2023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44"/>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 - Revolver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345.0</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Securitization Facility (1)</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 (4)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105.8</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43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43" w:name="page44"/>
    <w:bookmarkEnd w:id="43"/>
    <w:p>
      <w:pPr>
        <w:ind w:left="500" w:right="40" w:hanging="465"/>
        <w:spacing w:after="0" w:line="317"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may borrow and make payments against the Revolving Credit Facility and Securitization Facility from time to time and considers all of the outstanding amounts to be long-term based on its current intent and ability to repay the borrowing outside the next twelve-month period.</w:t>
      </w: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the Revolving Credit Facility and Securitization Facility can be repaid at any time, no interest has been included in the calculation.</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63"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2018, the Company entered into a lease for a new corporate headquarters in Princeton, NJ which will commence during the second quarter of 2019. The Company will make cumulative total payments of approximately $67.0 million over the term of the lease.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Excluded from the contractual obligations table is the liability for uncertain tax benefits, including interest and penalties, totaling $0.7 million. The Company has excluded its contingent consideration obligation and above market supply agreement liability related to prior acquisitions from the contractual obligations table above; these liabilities had a total fair value of $0.4 million at December 31, 2018. The liabilities for uncertain tax benefits, contingent consideration, and the above market supply agreement liability have been excluded because we cannot make a reliable estimate of the period in which the uncertain tax benefits or contingent consideration may be realized.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2018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provision in the future through an increase or decrease in revenues.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Net assets acquired are recorded at fair value at the date of the acquisition. Any purchase price in excess of these net assets is recorded as goodwill. The fair values of net assets acquired may be subject to revision based on the final determination of fair values during the measurement period, which may be up to one year from the acquisition date.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 Refer to Note 7 -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more information on reportable segments.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from time to time, we may enter into derivatives that are not designated as hedging instruments in order to protect the Company from currency volatility due to intercompany balances.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rate in the period such changes are made. The effective tax rate can also be impacted by changes in valuation allowances of deferred tax assets, and tax law changes.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indefinitely reinvest substantially all of our foreign earnings in our foreign subsidiaries unless there is a tax–free manner under which to remit the earnings. The current analysis indicates that we have sufficient U.S. liquidity, including borrowing capacity, to fund foreseeable U.S. cash needs without requiring the repatriation of foreign cash. The 2017 Tax Act imposed a Toll Tax on a deemed repatriation of undistributed earnings of foreign subsidiaries. One time or unusual items that may impact our ability or intent to keep the foreign earnings and cash indefinitely reinvested include significant U.S. acquisitions, loans from a foreign subsidiary, and changes in tax laws.</w:t>
      </w:r>
    </w:p>
    <w:p>
      <w:pPr>
        <w:spacing w:after="0" w:line="16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2018,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2018.</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where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year ended December 31, 2017. The Company applied the guidance of SAB No. 118 when accounting for the enactment date effects of the 2017 Tax Act in 2017 and throughout 2018. The Company finalized its calculations and completed its accounting for the income tax effect of the 2017 Tax Act in December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 Various factors are considered in determining the pension liability, including the number of employees expected to be paid their salary levels and years of service, the expected return on plan assets, the discount rate used to determine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6" w:name="page47"/>
    <w:bookmarkEnd w:id="46"/>
    <w:p>
      <w:pPr>
        <w:jc w:val="both"/>
        <w:ind w:right="240"/>
        <w:spacing w:after="0" w:line="312" w:lineRule="auto"/>
        <w:rPr>
          <w:sz w:val="20"/>
          <w:szCs w:val="20"/>
          <w:color w:val="auto"/>
        </w:rPr>
      </w:pPr>
      <w:r>
        <w:rPr>
          <w:rFonts w:ascii="Arial" w:cs="Arial" w:eastAsia="Arial" w:hAnsi="Arial"/>
          <w:sz w:val="16"/>
          <w:szCs w:val="16"/>
          <w:color w:val="auto"/>
        </w:rPr>
        <w:t>benefit obligations, the timing of benefit payments and other actuarial assumptions. If the actual results and events for the pension plans differ from current assumptions, the benefit obligation may be over or under valued. We recognize the underfunded status of the defined benefit pension plans as an asset or a liability in the balance sheet, with changes in the funded status recorded through other comprehensive income in the year in which those changes occur.</w:t>
      </w:r>
    </w:p>
    <w:p>
      <w:pPr>
        <w:spacing w:after="0" w:line="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discount rates are determined by considering current yield curves representing high quality, long-term fixed income instruments. The resulting discount rates are consistent with the duration of plan liabilities. In 2018, the discount rate was prescribed as the current yield on corporate bonds with an average rating of AA or AAA of equivalent currency and term to the liabilities.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plan assets of the pension plans are invested in common trusts as of December 31, 2018. Common trusts are classified as Level 2 in fair value hierarchy. The fair value of common trusts are valued at net asset value based on the fair values of the underlying investments of the trusts as determined by the sponsor of the trusts.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2018 and 2017, respectively:</w:t>
      </w:r>
    </w:p>
    <w:p>
      <w:pPr>
        <w:spacing w:after="0" w:line="27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A change of plus (minus) 25 basis points on expected rate of return on plan assets, with other assumptions held constant, would have an estimated $0.1 million favorable (unfavorable) impact on pension plan costs. As of December 31, 2018, contributions expected to be paid to the plan in 2019 is $1.9 million.</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corridor approach in the valuation of defined benefit pension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apply the authoritative guidance for stock-based compensation. This guidance requires companies to recognize the expense related to the fair value of their stock-based compensation awards. Stock-based compensation expense for stock option awards is based on the grant date fair value on using the binomial distribution model. The Company recognizes compensation expense for stock option awards, restricted stock awards, performance stock awards and contract stock awards on a ratable basis over the requisite service period of the award. All excess tax benefits and taxes and tax deficiencies from stock-based compensation are included in the provision for income taxes in the consolidated statement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recently adopted accounting pronouncements and recently issued accounting pronouncements not yet adopted as of December 31,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Swiss francs ("CHF"), British pounds ("GBP"), Canadian dollars, Japanese yen, Mexican pesos, Brazilian reais, Australian dollars and Chinese yuan. We manage the foreign currency exposure centrally, on a combined basis, which allows us to net exposures and to take advantage of any natural offsets. To mitigate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2018, the Company entered into cross-currency swap agreements designated as net investment hedges to partially offset the effects of foreign currency translation on foreign subsidiaries. The total notional amount of our instruments designated as net investment hedges at December 31, 2018 was $354.5 million and GBP 128.3 million. Under the terms of these contracts, which have been designated as net investment hedges, we will make interest payments in GBP and receive interest in U.S. dollars and GBP. Upon the maturity of these contracts, the Company will pay the notional amounts in EUR, GBP and CHF and receive U.S. dollars and GBP from the counterparties.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 2017, we entered into cross currency swap agreements to convert a notional amount of $300.0 million equivalent to 291.2 million of Swiss Franc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 The total notional amount of our cross-currency swap agreements designated as cash flow hedges at December 31, 2018 were $300.0 million.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28, 2017, we entered into a foreign currency forward contract, with a notional amount of $8.9 million to mitigate the foreign currency exchange risk related to certain intercompany loans denominated in CHF. The contract was not designated as a hedging instrument. The foreign currency forward contract was settled on September 28,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2018 would increase interest income by approximately $1.4 million on an annual basis.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cash flow exposure to changes in interest rates. These interest rate swaps fix the interest rate on a portion of our expected LIBOR-indexed floating-rate borrowings. The Company held the following interest rate swaps as of December 31, 2018 (dollar amounts in thousands):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48" w:name="page49"/>
    <w:bookmarkEnd w:id="48"/>
    <w:p>
      <w:pPr>
        <w:spacing w:after="0" w:line="285"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Hedged Item</w:t>
      </w:r>
    </w:p>
    <w:p>
      <w:pPr>
        <w:spacing w:after="0" w:line="200" w:lineRule="exact"/>
        <w:rPr>
          <w:sz w:val="20"/>
          <w:szCs w:val="20"/>
          <w:color w:val="auto"/>
        </w:r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Total interested rate</w:t>
      </w:r>
    </w:p>
    <w:p>
      <w:pPr>
        <w:spacing w:after="0" w:line="1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derivatives</w:t>
      </w:r>
    </w:p>
    <w:p>
      <w:pPr>
        <w:ind w:left="1320"/>
        <w:spacing w:after="0"/>
        <w:rPr>
          <w:sz w:val="20"/>
          <w:szCs w:val="20"/>
          <w:color w:val="auto"/>
        </w:rPr>
      </w:pPr>
      <w:r>
        <w:rPr>
          <w:rFonts w:ascii="Arial" w:cs="Arial" w:eastAsia="Arial" w:hAnsi="Arial"/>
          <w:sz w:val="11"/>
          <w:szCs w:val="11"/>
          <w:color w:val="auto"/>
        </w:rPr>
        <w:t>designated as cash</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flow hedge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1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Estimated Fair</w:t>
            </w:r>
          </w:p>
        </w:tc>
      </w:tr>
      <w:tr>
        <w:trPr>
          <w:trHeight w:val="174"/>
        </w:trPr>
        <w:tc>
          <w:tcPr>
            <w:tcW w:w="1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Floating Rate</w:t>
            </w:r>
          </w:p>
        </w:tc>
        <w:tc>
          <w:tcPr>
            <w:tcW w:w="10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86"/>
              </w:rPr>
              <w:t>Value</w:t>
            </w:r>
          </w:p>
        </w:tc>
      </w:tr>
      <w:tr>
        <w:trPr>
          <w:trHeight w:val="163"/>
        </w:trPr>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78"/>
              </w:rPr>
              <w:t>Assets</w:t>
            </w:r>
          </w:p>
        </w:tc>
      </w:tr>
      <w:tr>
        <w:trPr>
          <w:trHeight w:val="182"/>
        </w:trPr>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(Liabilities)</w:t>
            </w:r>
          </w:p>
        </w:tc>
      </w:tr>
      <w:tr>
        <w:trPr>
          <w:trHeight w:val="256"/>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410</w:t>
            </w:r>
          </w:p>
        </w:tc>
      </w:tr>
      <w:tr>
        <w:trPr>
          <w:trHeight w:val="338"/>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415</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July 12,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1.834%</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619</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1,287</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1.971%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1,246</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1,491</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1,460</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162</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2.313%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2,076</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3.220%</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(2,594)</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3.199%</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(2,551)</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3.209%</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2.885%</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2.867%</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w:t>
            </w:r>
          </w:p>
        </w:tc>
      </w:tr>
      <w:tr>
        <w:trPr>
          <w:trHeight w:val="95"/>
        </w:trPr>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8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1,475,000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-3601085</wp:posOffset>
            </wp:positionV>
            <wp:extent cx="583184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-3154680</wp:posOffset>
            </wp:positionV>
            <wp:extent cx="583184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-2708910</wp:posOffset>
            </wp:positionV>
            <wp:extent cx="583184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-2263140</wp:posOffset>
            </wp:positionV>
            <wp:extent cx="583184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-1817370</wp:posOffset>
            </wp:positionV>
            <wp:extent cx="583184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-1370965</wp:posOffset>
            </wp:positionV>
            <wp:extent cx="583184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-925195</wp:posOffset>
            </wp:positionV>
            <wp:extent cx="58318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-479425</wp:posOffset>
            </wp:positionV>
            <wp:extent cx="583184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146050</wp:posOffset>
            </wp:positionV>
            <wp:extent cx="548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163195</wp:posOffset>
            </wp:positionV>
            <wp:extent cx="548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488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88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-4055110</wp:posOffset>
            </wp:positionV>
            <wp:extent cx="583184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231775"/>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2340" w:space="240"/>
            <w:col w:w="8840"/>
          </w:cols>
          <w:pgMar w:left="240" w:top="674" w:right="239" w:bottom="1440" w:gutter="0" w:footer="0" w:header="0"/>
        </w:sectPr>
      </w:pPr>
    </w:p>
    <w:p>
      <w:pPr>
        <w:spacing w:after="0"/>
        <w:rPr>
          <w:sz w:val="20"/>
          <w:szCs w:val="20"/>
          <w:color w:val="auto"/>
        </w:rPr>
      </w:pPr>
      <w:r>
        <w:rPr>
          <w:rFonts w:ascii="Arial" w:cs="Arial" w:eastAsia="Arial" w:hAnsi="Arial"/>
          <w:sz w:val="18"/>
          <w:szCs w:val="18"/>
          <w:color w:val="auto"/>
        </w:rPr>
        <w:t>These interest rate swaps were designated as a cash flow hedges as of December 31,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notional amount of interest rate swaps in effect as of December 31, 2018 was $900 million. Based on our outstanding borrowings at December 31, 2018, a 100 basis points change in interest rates would have impacted interest expense on the unhedged portion of the debt by $4.7 million on an annualized basis.</w:t>
      </w:r>
    </w:p>
    <w:p>
      <w:pPr>
        <w:spacing w:after="0" w:line="33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 specified by this Item, together with the report thereon of PricewaterhouseCoopers LLP, are presented following Item 15 of this report.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17, “Selected Quarterly Information — Unaudited,” to our consolidated financial statements.</w:t>
      </w:r>
    </w:p>
    <w:p>
      <w:pPr>
        <w:spacing w:after="0" w:line="302" w:lineRule="exact"/>
        <w:rPr>
          <w:sz w:val="20"/>
          <w:szCs w:val="20"/>
          <w:color w:val="auto"/>
        </w:rPr>
      </w:pPr>
    </w:p>
    <w:p>
      <w:pPr>
        <w:ind w:right="1080"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74" w:right="239" w:bottom="1440" w:gutter="0" w:footer="0" w:header="0"/>
          <w:type w:val="continuous"/>
        </w:sectPr>
      </w:pPr>
    </w:p>
    <w:bookmarkStart w:id="49" w:name="page50"/>
    <w:bookmarkEnd w:id="49"/>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2018. Based upon this evaluation, our principal executive officer and principal financial officer concluded that our disclosure controls and procedures were effective as of December 31, 2018 to provide such reasonable assurance.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2018.</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2018 that have materially affected, or are reasonably likely to materially affect, our internal control over financial reporting.</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16, 2019,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34" w:right="239" w:bottom="1440" w:gutter="0" w:footer="0" w:header="0"/>
        </w:sectPr>
      </w:pPr>
    </w:p>
    <w:bookmarkStart w:id="50" w:name="page51"/>
    <w:bookmarkEnd w:id="50"/>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w:t>
      </w:r>
    </w:p>
    <w:p>
      <w:pPr>
        <w:spacing w:after="0" w:line="121" w:lineRule="exact"/>
        <w:rPr>
          <w:sz w:val="20"/>
          <w:szCs w:val="20"/>
          <w:color w:val="auto"/>
        </w:rPr>
      </w:pPr>
    </w:p>
    <w:p>
      <w:pPr>
        <w:ind w:right="8300" w:firstLine="8"/>
        <w:spacing w:after="0" w:line="438"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gridSpan w:val="2"/>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Report of Independent Registered Public Accounting Firm</w:t>
              </w:r>
            </w:hyperlink>
          </w:p>
        </w:tc>
        <w:tc>
          <w:tcPr>
            <w:tcW w:w="6520" w:type="dxa"/>
            <w:vAlign w:val="bottom"/>
            <w:gridSpan w:val="7"/>
          </w:tcPr>
          <w:p>
            <w:pPr>
              <w:spacing w:after="0"/>
              <w:rPr>
                <w:sz w:val="17"/>
                <w:szCs w:val="17"/>
                <w:color w:val="auto"/>
              </w:rPr>
            </w:pPr>
          </w:p>
        </w:tc>
        <w:tc>
          <w:tcPr>
            <w:tcW w:w="34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74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years ended December 31, 2018, 2017 and 2016</w:t>
              </w:r>
            </w:hyperlink>
          </w:p>
        </w:tc>
        <w:tc>
          <w:tcPr>
            <w:tcW w:w="34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Comprehensive Income (Loss) for the years ended December 31, 2018, 2017 and 2016</w:t>
              </w:r>
            </w:hyperlink>
          </w:p>
        </w:tc>
        <w:tc>
          <w:tcPr>
            <w:tcW w:w="2460" w:type="dxa"/>
            <w:vAlign w:val="bottom"/>
            <w:gridSpan w:val="2"/>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80" w:type="dxa"/>
            <w:vAlign w:val="bottom"/>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as of December 31, 2018 and 2017</w:t>
              </w:r>
            </w:hyperlink>
          </w:p>
        </w:tc>
        <w:tc>
          <w:tcPr>
            <w:tcW w:w="2460" w:type="dxa"/>
            <w:vAlign w:val="bottom"/>
            <w:gridSpan w:val="2"/>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7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the years ended December 31, 2018, 2017 and 2016</w:t>
              </w:r>
            </w:hyperlink>
          </w:p>
        </w:tc>
        <w:tc>
          <w:tcPr>
            <w:tcW w:w="34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40" w:type="dxa"/>
            <w:vAlign w:val="bottom"/>
            <w:gridSpan w:val="8"/>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Changes in Stockholders’ Equity for the years ended December 31, 2018, 2017 and 2016</w:t>
              </w:r>
            </w:hyperlink>
          </w:p>
        </w:tc>
        <w:tc>
          <w:tcPr>
            <w:tcW w:w="2300" w:type="dxa"/>
            <w:vAlign w:val="bottom"/>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4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2300" w:type="dxa"/>
            <w:vAlign w:val="bottom"/>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F-8</w:t>
              </w:r>
            </w:hyperlink>
          </w:p>
        </w:tc>
      </w:tr>
      <w:tr>
        <w:trPr>
          <w:trHeight w:val="628"/>
        </w:trPr>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2. Financial Statement Schedule</w:t>
            </w:r>
          </w:p>
        </w:tc>
        <w:tc>
          <w:tcPr>
            <w:tcW w:w="7600" w:type="dxa"/>
            <w:vAlign w:val="bottom"/>
            <w:gridSpan w:val="8"/>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76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Schedule II — Valuation and Qualifying Accounts for the years ended December 31, 2018, 2017 and 2016</w:t>
              </w:r>
            </w:hyperlink>
          </w:p>
        </w:tc>
        <w:tc>
          <w:tcPr>
            <w:tcW w:w="3060" w:type="dxa"/>
            <w:vAlign w:val="bottom"/>
            <w:gridSpan w:val="3"/>
          </w:tcPr>
          <w:p>
            <w:pPr>
              <w:spacing w:after="0"/>
              <w:rPr>
                <w:sz w:val="24"/>
                <w:szCs w:val="24"/>
                <w:color w:val="auto"/>
              </w:rPr>
            </w:pPr>
          </w:p>
        </w:tc>
        <w:tc>
          <w:tcPr>
            <w:tcW w:w="3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F-49</w:t>
              </w:r>
            </w:hyperlink>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2.1</w:t>
            </w:r>
          </w:p>
        </w:tc>
        <w:tc>
          <w:tcPr>
            <w:tcW w:w="9980" w:type="dxa"/>
            <w:vAlign w:val="bottom"/>
            <w:gridSpan w:val="10"/>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Stock Purchase Agreement, dated as of October 25, 2013, by and between Covidien Group S.A.R.L. and Integra LifeSciences</w:t>
              </w:r>
            </w:hyperlink>
          </w:p>
        </w:tc>
      </w:tr>
      <w:tr>
        <w:trPr>
          <w:trHeight w:val="196"/>
        </w:trPr>
        <w:tc>
          <w:tcPr>
            <w:tcW w:w="138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Corporation (Incorporated by Reference to Exhibit 10.1 to the Company’s Current Report on Form 8-K filed on January 15, 2014)</w:t>
              </w:r>
            </w:hyperlink>
          </w:p>
        </w:tc>
        <w:tc>
          <w:tcPr>
            <w:tcW w:w="5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2.2</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Stock and Asset Purchase Agreement by and among Medtronic, Inc., Medtronic Xomed Instrumentation, SAS, and Integra LifeSciences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Corporation, dated as of September 12, 2014 (Incorporated by reference to Exhibit 2.1 to the Company's Current Report on Form 8-K</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filed on October 27, 2014)</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Separation and Distribution Agreement between Integra LifeSciences Holdings Corporation and SeaSpine Holdings Corporation, dated as</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of June 30, 2015 (Incorporated by reference to Exhibit 2.1 to the Company’s Current Report on Form 8-K filed on July 7, 2015)</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2.4</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Agreement and Plan of Merger by and among Integra LifeSciences Corporation, Patriot S1, Inc., TEI Biosciences Inc. and Dr. Yiannis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Monovoukas, dated as of June 26, 2015 (Incorporated by reference to Exhibit 2.1 to the Company's Current Report on Form 8-K filed on</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July 20, 2015)</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2.5</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Agreement and Plan of Merger by and among Integra LifeSciences Corporation, Patriot S2, Inc., TEI Medical Inc. and Dr. Yiannis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Monovoukas, dated as of June 26, 2015 (Incorporated by reference to Exhibit 2.2 to the Company's Current Report on Form 8-K filed on</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July 20, 2015)</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2.6</w:t>
            </w:r>
          </w:p>
        </w:tc>
        <w:tc>
          <w:tcPr>
            <w:tcW w:w="9980" w:type="dxa"/>
            <w:vAlign w:val="bottom"/>
            <w:gridSpan w:val="1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Agreement and Plan of Merger by and among Integra LifeSciences Holdings Corporation, Integra Derma, Inc., and Derma Sciences, Inc.</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dated as of January 10, 2017 (Incorporated by reference to Exhibit 2.1 to the Company’s Current Report on Form 8-K filed on January 11,</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8">
              <w:r>
                <w:rPr>
                  <w:rFonts w:ascii="Arial" w:cs="Arial" w:eastAsia="Arial" w:hAnsi="Arial"/>
                  <w:sz w:val="18"/>
                  <w:szCs w:val="18"/>
                  <w:color w:val="0000FF"/>
                  <w:w w:val="86"/>
                </w:rPr>
                <w:t>2017)</w:t>
              </w:r>
            </w:hyperlink>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2.7</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Binding Offer Letter by and among Integra LifeSciences Holdings Corporation and DePuy Synthes, Inc., dated as of February 14, 2017</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by reference to Exhibit 2.1 to the Company’s Current Report on Form 8-K filed on February 15, 2017</w:t>
              </w:r>
            </w:hyperlink>
          </w:p>
        </w:tc>
      </w:tr>
      <w:tr>
        <w:trPr>
          <w:trHeight w:val="20"/>
        </w:trPr>
        <w:tc>
          <w:tcPr>
            <w:tcW w:w="1380" w:type="dxa"/>
            <w:vAlign w:val="bottom"/>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2.7(a)</w:t>
            </w:r>
          </w:p>
        </w:tc>
        <w:tc>
          <w:tcPr>
            <w:tcW w:w="9980" w:type="dxa"/>
            <w:vAlign w:val="bottom"/>
            <w:tcBorders>
              <w:bottom w:val="single" w:sz="8" w:color="0000FF"/>
            </w:tcBorders>
            <w:gridSpan w:val="10"/>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Asset Purchase Agreement accepted and countersigned by DePuy Synthes, dated May 11, 2017 (Incorporated by reference to Exhibit 2.1</w:t>
              </w:r>
            </w:hyperlink>
          </w:p>
        </w:tc>
      </w:tr>
      <w:tr>
        <w:trPr>
          <w:trHeight w:val="196"/>
        </w:trPr>
        <w:tc>
          <w:tcPr>
            <w:tcW w:w="138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to the Company’s Current Report on Form 8-K filed on May 15, 2017)</w:t>
              </w:r>
            </w:hyperlink>
          </w:p>
        </w:tc>
      </w:tr>
      <w:tr>
        <w:trPr>
          <w:trHeight w:val="20"/>
        </w:trPr>
        <w:tc>
          <w:tcPr>
            <w:tcW w:w="1380" w:type="dxa"/>
            <w:vAlign w:val="bottom"/>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2.8</w:t>
            </w:r>
          </w:p>
        </w:tc>
        <w:tc>
          <w:tcPr>
            <w:tcW w:w="9980" w:type="dxa"/>
            <w:vAlign w:val="bottom"/>
            <w:gridSpan w:val="10"/>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Asset Purchase Agreement, dated September 8, 2017, between the Company and certain of its subsidiaries and Natus Medical</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9"/>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Incorporated (Incorporated by reference to Exhibit 2.1 to the Company’s Quarterly Report on Form 10-Q filed on October 26, 2017)</w:t>
              </w:r>
            </w:hyperlink>
          </w:p>
        </w:tc>
        <w:tc>
          <w:tcPr>
            <w:tcW w:w="20" w:type="dxa"/>
            <w:vAlign w:val="bottom"/>
          </w:tcPr>
          <w:p>
            <w:pPr>
              <w:spacing w:after="0"/>
              <w:rPr>
                <w:sz w:val="17"/>
                <w:szCs w:val="17"/>
                <w:color w:val="auto"/>
              </w:rPr>
            </w:pPr>
          </w:p>
        </w:tc>
      </w:tr>
      <w:tr>
        <w:trPr>
          <w:trHeight w:val="669"/>
        </w:trPr>
        <w:tc>
          <w:tcPr>
            <w:tcW w:w="1380" w:type="dxa"/>
            <w:vAlign w:val="bottom"/>
          </w:tcPr>
          <w:p>
            <w:pPr>
              <w:spacing w:after="0"/>
              <w:rPr>
                <w:sz w:val="24"/>
                <w:szCs w:val="24"/>
                <w:color w:val="auto"/>
              </w:rPr>
            </w:pPr>
          </w:p>
        </w:tc>
        <w:tc>
          <w:tcPr>
            <w:tcW w:w="5080" w:type="dxa"/>
            <w:vAlign w:val="bottom"/>
            <w:tcBorders>
              <w:top w:val="single" w:sz="8" w:color="0000FF"/>
            </w:tcBorders>
            <w:gridSpan w:val="4"/>
          </w:tcPr>
          <w:p>
            <w:pPr>
              <w:ind w:left="4200"/>
              <w:spacing w:after="0"/>
              <w:rPr>
                <w:sz w:val="20"/>
                <w:szCs w:val="20"/>
                <w:color w:val="auto"/>
              </w:rPr>
            </w:pPr>
            <w:r>
              <w:rPr>
                <w:rFonts w:ascii="Arial" w:cs="Arial" w:eastAsia="Arial" w:hAnsi="Arial"/>
                <w:sz w:val="18"/>
                <w:szCs w:val="18"/>
                <w:color w:val="auto"/>
              </w:rPr>
              <w:t>51</w:t>
            </w:r>
          </w:p>
        </w:tc>
        <w:tc>
          <w:tcPr>
            <w:tcW w:w="32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3.1(a)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Amended and Restated Certificate of Incorporation of the Company dated February 16, 1993 (Incorporated by reference to Exhibit 3.1(a)</w:t>
              </w:r>
            </w:hyperlink>
          </w:p>
        </w:tc>
      </w:tr>
      <w:tr>
        <w:trPr>
          <w:trHeight w:val="196"/>
        </w:trPr>
        <w:tc>
          <w:tcPr>
            <w:tcW w:w="1380" w:type="dxa"/>
            <w:vAlign w:val="bottom"/>
          </w:tcPr>
          <w:p>
            <w:pPr>
              <w:spacing w:after="0"/>
              <w:rPr>
                <w:sz w:val="17"/>
                <w:szCs w:val="17"/>
                <w:color w:val="auto"/>
              </w:rPr>
            </w:pPr>
          </w:p>
        </w:tc>
        <w:tc>
          <w:tcPr>
            <w:tcW w:w="63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to the Company’s Annual Report on Form 10-K for the year ended December 31, 2005)</w:t>
              </w:r>
            </w:hyperlink>
          </w:p>
        </w:tc>
        <w:tc>
          <w:tcPr>
            <w:tcW w:w="3660" w:type="dxa"/>
            <w:vAlign w:val="bottom"/>
            <w:gridSpan w:val="11"/>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3.1(b)</w:t>
            </w:r>
          </w:p>
        </w:tc>
        <w:tc>
          <w:tcPr>
            <w:tcW w:w="9980" w:type="dxa"/>
            <w:vAlign w:val="bottom"/>
            <w:gridSpan w:val="16"/>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Certificate of Amendment to Amended and Restated Certificate of Incorporation of the Company dated May 22, 1998 (Incorporated by</w:t>
              </w:r>
            </w:hyperlink>
          </w:p>
        </w:tc>
      </w:tr>
      <w:tr>
        <w:trPr>
          <w:trHeight w:val="196"/>
        </w:trPr>
        <w:tc>
          <w:tcPr>
            <w:tcW w:w="138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reference to Exhibit 3.1(b) to the Company’s Annual Report on Form 10-K for the year ended December 31, 1998)</w:t>
              </w:r>
            </w:hyperlink>
          </w:p>
        </w:tc>
        <w:tc>
          <w:tcPr>
            <w:tcW w:w="16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3.1(c)</w:t>
            </w:r>
          </w:p>
        </w:tc>
        <w:tc>
          <w:tcPr>
            <w:tcW w:w="9980" w:type="dxa"/>
            <w:vAlign w:val="bottom"/>
            <w:gridSpan w:val="16"/>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Certificate of Amendment to Amended and Restated Certificate of Incorporation of the Company dated May 17, 1999 (Incorporated by</w:t>
              </w:r>
            </w:hyperlink>
          </w:p>
        </w:tc>
      </w:tr>
      <w:tr>
        <w:trPr>
          <w:trHeight w:val="196"/>
        </w:trPr>
        <w:tc>
          <w:tcPr>
            <w:tcW w:w="138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reference to Exhibit 3.1(c) to the Company’s Annual Report on Form 10-K for the year ended December 31, 2004)</w:t>
              </w:r>
            </w:hyperlink>
          </w:p>
        </w:tc>
        <w:tc>
          <w:tcPr>
            <w:tcW w:w="17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3.1(d)</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Certificate of Amendment to Amended and Restated Certificate of Incorporation of the Company dated December 21, 2016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by reference to Exhibit 3.1 to the Company’s Current Report on Form 8-K filed on December 22, 2016)</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Amended and Restated Bylaws of the Company, effective as of May 17, 2012 (Incorporated by reference to Exhibit 3.2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Current Report on Form 8-K filed on April 13, 2012)</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3.2(b)</w:t>
            </w:r>
          </w:p>
        </w:tc>
        <w:tc>
          <w:tcPr>
            <w:tcW w:w="9980" w:type="dxa"/>
            <w:vAlign w:val="bottom"/>
            <w:gridSpan w:val="16"/>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Second Amended and Restated Bylaws of Integra LifeSciences Holdings Corporation, effective as of December 11, 2018 (Incorporated</w:t>
              </w:r>
            </w:hyperlink>
          </w:p>
        </w:tc>
      </w:tr>
      <w:tr>
        <w:trPr>
          <w:trHeight w:val="196"/>
        </w:trPr>
        <w:tc>
          <w:tcPr>
            <w:tcW w:w="1380" w:type="dxa"/>
            <w:vAlign w:val="bottom"/>
          </w:tcPr>
          <w:p>
            <w:pPr>
              <w:spacing w:after="0"/>
              <w:rPr>
                <w:sz w:val="17"/>
                <w:szCs w:val="17"/>
                <w:color w:val="auto"/>
              </w:rPr>
            </w:pPr>
          </w:p>
        </w:tc>
        <w:tc>
          <w:tcPr>
            <w:tcW w:w="97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by reference to Exhibit 3.2 to the Company’s Current Report on Form 8-k filed on December 12, 2018)</w:t>
              </w:r>
            </w:hyperlink>
          </w:p>
        </w:tc>
        <w:tc>
          <w:tcPr>
            <w:tcW w:w="2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Purchase Agreement, dated June 9, 2011, by and between Integra LifeSciences Holdings Corporation and J.P. Morgan Securities LLC,</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Merrill Lynch, Pierce, Fenner &amp; Smith Incorporated, Morgan Stanley &amp; Co. LLC, Deutsche Bank Securities Inc., RBC Capital Markets,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LLC and Wells Fargo Securities, LLC (Incorporated by reference to Exhibit 4.1 to the Company’s Current Report on Form 8-K filed on</w:t>
              </w:r>
            </w:hyperlink>
          </w:p>
        </w:tc>
      </w:tr>
      <w:tr>
        <w:trPr>
          <w:trHeight w:val="196"/>
        </w:trPr>
        <w:tc>
          <w:tcPr>
            <w:tcW w:w="138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38">
              <w:r>
                <w:rPr>
                  <w:rFonts w:ascii="Arial" w:cs="Arial" w:eastAsia="Arial" w:hAnsi="Arial"/>
                  <w:sz w:val="18"/>
                  <w:szCs w:val="18"/>
                  <w:color w:val="0000FF"/>
                  <w:w w:val="86"/>
                </w:rPr>
                <w:t>June 15, 2011)</w:t>
              </w:r>
            </w:hyperlink>
          </w:p>
        </w:tc>
        <w:tc>
          <w:tcPr>
            <w:tcW w:w="890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9980" w:type="dxa"/>
            <w:vAlign w:val="bottom"/>
            <w:gridSpan w:val="16"/>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Indenture, dated June 15, 2011, by and between Integra LifeSciences Holdings Corporation and Wells Fargo Bank, National Association,</w:t>
              </w:r>
            </w:hyperlink>
          </w:p>
        </w:tc>
      </w:tr>
      <w:tr>
        <w:trPr>
          <w:trHeight w:val="196"/>
        </w:trPr>
        <w:tc>
          <w:tcPr>
            <w:tcW w:w="13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as trustee (Incorporated by reference to Exhibit 4.2 to the Company’s Current Report on Form 8-K filed on June 15, 2011)</w:t>
              </w:r>
            </w:hyperlink>
          </w:p>
        </w:tc>
        <w:tc>
          <w:tcPr>
            <w:tcW w:w="11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Credit Agreement, dated as of December 22, 2005,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Agents, and Royal Bank of Canada and Wachovia Bank, National Association, as Co-Documentation Agents (Incorporated by reference</w:t>
              </w:r>
            </w:hyperlink>
          </w:p>
        </w:tc>
      </w:tr>
      <w:tr>
        <w:trPr>
          <w:trHeight w:val="196"/>
        </w:trPr>
        <w:tc>
          <w:tcPr>
            <w:tcW w:w="1380" w:type="dxa"/>
            <w:vAlign w:val="bottom"/>
          </w:tcPr>
          <w:p>
            <w:pPr>
              <w:spacing w:after="0"/>
              <w:rPr>
                <w:sz w:val="17"/>
                <w:szCs w:val="17"/>
                <w:color w:val="auto"/>
              </w:rPr>
            </w:pPr>
          </w:p>
        </w:tc>
        <w:tc>
          <w:tcPr>
            <w:tcW w:w="66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to Exhibit 10.1 to the Company’s Current Report on Form 8-K filed on December 29, 2005)</w:t>
              </w:r>
            </w:hyperlink>
          </w:p>
        </w:tc>
        <w:tc>
          <w:tcPr>
            <w:tcW w:w="336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First Amendment, dated as of February 15, 2006,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Agents, and Royal Bank of Canada and Wachovia Bank, National Association, as Co-Documentation Agents (Incorporated by reference</w:t>
              </w:r>
            </w:hyperlink>
          </w:p>
        </w:tc>
      </w:tr>
      <w:tr>
        <w:trPr>
          <w:trHeight w:val="196"/>
        </w:trPr>
        <w:tc>
          <w:tcPr>
            <w:tcW w:w="1380" w:type="dxa"/>
            <w:vAlign w:val="bottom"/>
          </w:tcPr>
          <w:p>
            <w:pPr>
              <w:spacing w:after="0"/>
              <w:rPr>
                <w:sz w:val="17"/>
                <w:szCs w:val="17"/>
                <w:color w:val="auto"/>
              </w:rPr>
            </w:pPr>
          </w:p>
        </w:tc>
        <w:tc>
          <w:tcPr>
            <w:tcW w:w="75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to Exhibit 4.3(b) to the Company’s Annual Report on Form 10-K for the year ended December 31, 2005)</w:t>
              </w:r>
            </w:hyperlink>
          </w:p>
        </w:tc>
        <w:tc>
          <w:tcPr>
            <w:tcW w:w="24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4.3(c)</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Second Amendment, dated as of February 23, 2007,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Agents, and Royal Bank of Canada and Wachovia Bank, National Association, as Co-Documentation Agents (Incorporated by reference</w:t>
              </w:r>
            </w:hyperlink>
          </w:p>
        </w:tc>
      </w:tr>
      <w:tr>
        <w:trPr>
          <w:trHeight w:val="196"/>
        </w:trPr>
        <w:tc>
          <w:tcPr>
            <w:tcW w:w="1380" w:type="dxa"/>
            <w:vAlign w:val="bottom"/>
          </w:tcPr>
          <w:p>
            <w:pPr>
              <w:spacing w:after="0"/>
              <w:rPr>
                <w:sz w:val="17"/>
                <w:szCs w:val="17"/>
                <w:color w:val="auto"/>
              </w:rPr>
            </w:pPr>
          </w:p>
        </w:tc>
        <w:tc>
          <w:tcPr>
            <w:tcW w:w="64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to Exhibit 4.1 to the Company’s Current Report on Form 8-K filed on February 27, 2007)</w:t>
              </w:r>
            </w:hyperlink>
          </w:p>
        </w:tc>
        <w:tc>
          <w:tcPr>
            <w:tcW w:w="354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4.3(d)</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Third Amendment, dated as of June 4, 2007,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America, N.A., as Administrative Agent, Swing Line Lender and L/C Issuer, Citibank, N.A., successor by merger to Citibank, FSB,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Syndication Agent and JPMorgan Chase Bank, N.A., Deutsche Bank Trust Company Americas and Royal Bank of Canada, as Co-</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Documentation Agents (Incorporated by reference to Exhibit 4.1 to the Company’s Current Report on Form 8-K filed on June 6, 2007)</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520" w:type="dxa"/>
            <w:vAlign w:val="bottom"/>
            <w:gridSpan w:val="10"/>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4.3(e)</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Fourth Amendment, dated as of September 5, 2007,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America, N.A., as Administrative Agent, Swing Line Lender and L/C Issuer, Citibank, N.A., successor by merger to Citibank FSB,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Syndication Agent and JPMorgan Chase Bank, N.A., Deutsche Bank Trust Company Americas and Royal Bank of Canada, as Co-</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Documentation Agents (Incorporated by reference to Exhibit 4.1 to the Company’s Current Report on Form 8-K filed on September 6,</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44">
              <w:r>
                <w:rPr>
                  <w:rFonts w:ascii="Arial" w:cs="Arial" w:eastAsia="Arial" w:hAnsi="Arial"/>
                  <w:sz w:val="18"/>
                  <w:szCs w:val="18"/>
                  <w:color w:val="0000FF"/>
                  <w:w w:val="86"/>
                </w:rPr>
                <w:t>2007)</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4.3(f)</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Amended and Restated Credit Agreement, dated as of August 10, 2010, among Integra LifeSciences Holdings Corporation, the lenders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party thereto, Bank of America, N.A., as Administrative Agent, Swing Line Lender and L/C Issuer, JP Morgan Chase Bank, as</w:t>
              </w:r>
            </w:hyperlink>
          </w:p>
        </w:tc>
      </w:tr>
      <w:tr>
        <w:trPr>
          <w:trHeight w:val="20"/>
        </w:trPr>
        <w:tc>
          <w:tcPr>
            <w:tcW w:w="138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778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Syndication Agent, and HSBC Bank USA, NA, RBC Capital Markets, Wells Fargo Bank, N.A., Fifth Third Bank, DNB NOR Bank ASA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and TD Bank, N.A., as Co-Documentation Agents (Incorporated by reference to Exhibit 10.1 to the Company’s Current Report on Form</w:t>
              </w:r>
            </w:hyperlink>
          </w:p>
        </w:tc>
      </w:tr>
      <w:tr>
        <w:trPr>
          <w:trHeight w:val="196"/>
        </w:trPr>
        <w:tc>
          <w:tcPr>
            <w:tcW w:w="138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8-K filed on August 10, 2010)</w:t>
              </w:r>
            </w:hyperlink>
          </w:p>
        </w:tc>
        <w:tc>
          <w:tcPr>
            <w:tcW w:w="7800" w:type="dxa"/>
            <w:vAlign w:val="bottom"/>
            <w:gridSpan w:val="13"/>
          </w:tcPr>
          <w:p>
            <w:pPr>
              <w:spacing w:after="0"/>
              <w:rPr>
                <w:sz w:val="17"/>
                <w:szCs w:val="17"/>
                <w:color w:val="auto"/>
              </w:rPr>
            </w:pPr>
          </w:p>
        </w:tc>
      </w:tr>
      <w:tr>
        <w:trPr>
          <w:trHeight w:val="669"/>
        </w:trPr>
        <w:tc>
          <w:tcPr>
            <w:tcW w:w="1380" w:type="dxa"/>
            <w:vAlign w:val="bottom"/>
          </w:tcPr>
          <w:p>
            <w:pPr>
              <w:spacing w:after="0"/>
              <w:rPr>
                <w:sz w:val="24"/>
                <w:szCs w:val="24"/>
                <w:color w:val="auto"/>
              </w:rPr>
            </w:pPr>
          </w:p>
        </w:tc>
        <w:tc>
          <w:tcPr>
            <w:tcW w:w="6320" w:type="dxa"/>
            <w:vAlign w:val="bottom"/>
            <w:gridSpan w:val="5"/>
          </w:tcPr>
          <w:p>
            <w:pPr>
              <w:ind w:left="42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80" w:top="513" w:right="25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4.3(g)</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Second Amended and Restated Credit Agreement, dated as of June 8, 2011, among Integra LifeSciences Holdings Corporation,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lenders party thereto, Bank of America, N.A. as Administrative Agent, Swing Line Lender and L/C Issuer, JPMorgan Chase Bank N.A.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Syndication Agent, and, HSBC Bank USA, NA, Royal Bank of Canada, Wells Fargo Bank, N.A., Fifth Third Bank, DNB NOR Bank</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ASA, and TD Bank, N.A., as Co-Documentation Agents (Incorporated by reference to Exhibit 4.3 to the Company’s Quarterly Report on</w:t>
              </w:r>
            </w:hyperlink>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Form 10-Q filed on July 29, 2011)</w:t>
              </w:r>
            </w:hyperlink>
          </w:p>
        </w:tc>
        <w:tc>
          <w:tcPr>
            <w:tcW w:w="750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4.3(h)</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First Amendment, dated as of May 11, 2012, to Second Amended and Restated Credit Agreement dated as of June 8, 2011, among Integra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LifeSciences Holdings Corporation, the lenders party thereto, Bank of America, N.A., as Administrative Agent, Swing Line Lender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L/C Issuer, JPMorgan Chase Bank, N.A., as Syndication Agent, and HSBC Bank, NA, Royal Bank of Canada, Wells Fargo Bank, NA,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Fifth Third Bank, DNB Nor Bank ASA and TD Bank, N.A., as Co-Documentation Agents (Incorporated by reference to Exhibit 4.1 to the</w:t>
              </w:r>
            </w:hyperlink>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Company’s Current Report on Form 8-K filed on May 14, 2012)</w:t>
              </w:r>
            </w:hyperlink>
          </w:p>
        </w:tc>
        <w:tc>
          <w:tcPr>
            <w:tcW w:w="5340" w:type="dxa"/>
            <w:vAlign w:val="bottom"/>
            <w:gridSpan w:val="1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4.3(i)</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Second Amendment, dated as of June 21, 2013, to Second Amended and Restated Credit Agreement dated as of June 8, 2011, among</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7"/>
              </w:rPr>
            </w:pPr>
            <w:hyperlink r:id="rId48">
              <w:r>
                <w:rPr>
                  <w:rFonts w:ascii="Arial" w:cs="Arial" w:eastAsia="Arial" w:hAnsi="Arial"/>
                  <w:sz w:val="18"/>
                  <w:szCs w:val="18"/>
                  <w:color w:val="0000FF"/>
                  <w:w w:val="97"/>
                </w:rPr>
                <w:t>Integra LifeSciences Holdings Corporation, the lenders party thereto, Bank of America, N.A., as Administrative Agent, Swing Line</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Lender and L/C Issuer, JPMorgan Chase Bank, N.A., as Syndication Agent, and HSBC Bank USA, National Association, Royal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Canada, Wells Fargo Bank, National Association, Fifth Third Bank, DNB Bank ASA and TD Bank, N.A., as Co-Documentation Agents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(Incorporated by reference to Exhibit 4.1 to the Company's Current Report on Form 8-K filed on June 24, 2013)</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4.3(j)</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Third Amended and Restated Credit Agreement, dated as of July 2, 2014, among Integra LifeSciences Holdings Corporation, the other</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lenders party hereto, Bank of America, N.A., as Administrative Agent, Swing Line Lender and L/C Issuer, Wells Fargo Bank, National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r:id="rId49">
              <w:r>
                <w:rPr>
                  <w:rFonts w:ascii="Arial" w:cs="Arial" w:eastAsia="Arial" w:hAnsi="Arial"/>
                  <w:sz w:val="18"/>
                  <w:szCs w:val="18"/>
                  <w:color w:val="0000FF"/>
                  <w:w w:val="98"/>
                </w:rPr>
                <w:t>Association, as Syndication Agent and HSBC Bank USA, National Association, Royal Bank of Canada, Citizens Bank, National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49">
              <w:r>
                <w:rPr>
                  <w:rFonts w:ascii="Arial" w:cs="Arial" w:eastAsia="Arial" w:hAnsi="Arial"/>
                  <w:sz w:val="18"/>
                  <w:szCs w:val="18"/>
                  <w:color w:val="0000FF"/>
                  <w:w w:val="96"/>
                </w:rPr>
                <w:t>Association, DNB Capital LLC, Credit Agricole-Corporate and Investment Bank and TD Bank, N.A., as Co-Documentation Agents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(Incorporated by reference to Exhibit 4.1 to the Company's Current Report on Form 8-K filed on July 9, 2014)</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4.3(k)</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First Amendment, dated as of December 19, 2014, to that Third Amended and Restated Credit Agreement, among Integra LifeSciences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Holdings Corporation, a syndicate of lending banks, Bank of America, N.A., as Administrative Agent, Swing Line Lender and L/C Issuer,</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Wells Fargo Bank, National Association, as Syndication Agent, and HSBC Bank USA, National Association, Royal Bank of Canada,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Citizens Bank, National Association, DNB Capital LLC, Crédit Agricole-Corporate and Investment Bank, and TD Bank, N.A., as Co-</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Documentation Agents (Incorporated by reference to Exhibit 4.1 to the Company's Current Report on Form 8-K filed on December 29,</w:t>
              </w:r>
            </w:hyperlink>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2014)</w:t>
              </w:r>
            </w:hyperlink>
          </w:p>
        </w:tc>
        <w:tc>
          <w:tcPr>
            <w:tcW w:w="18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4.3(l)</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Second Amendment, dated August 28, 2015, to that Third Amended and Restated Credit Agreement, among Integra LifeSciences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Holdings Corporation, a syndicate of lending banks, Bank of America, N.A., as Administrative Agent, Swing Line Lender and L/C Issuer,</w:t>
              </w:r>
            </w:hyperlink>
          </w:p>
        </w:tc>
      </w:tr>
      <w:tr>
        <w:trPr>
          <w:trHeight w:val="20"/>
        </w:trPr>
        <w:tc>
          <w:tcPr>
            <w:tcW w:w="1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Wells Fargo Bank, National Association, as Syndication Agent, and HSBC Bank USA, National Association, Royal Bank of Canada,</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Citizens Bank, National Association, DNB Capital LLC, Crédit Agricole-Corporate and Investment Bank and TD Bank, N.A., as Co-</w:t>
              </w:r>
            </w:hyperlink>
          </w:p>
        </w:tc>
      </w:tr>
      <w:tr>
        <w:trPr>
          <w:trHeight w:val="20"/>
        </w:trPr>
        <w:tc>
          <w:tcPr>
            <w:tcW w:w="1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Documentation Agents (Incorporated by reference to Exhibit 4.1 to the Company’s Current Report on Form 8-K filed on September 1,</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51">
              <w:r>
                <w:rPr>
                  <w:rFonts w:ascii="Arial" w:cs="Arial" w:eastAsia="Arial" w:hAnsi="Arial"/>
                  <w:sz w:val="18"/>
                  <w:szCs w:val="18"/>
                  <w:color w:val="0000FF"/>
                  <w:w w:val="86"/>
                </w:rPr>
                <w:t>2015)</w:t>
              </w:r>
            </w:hyperlink>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4.3(m)</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Fourth Amended and Restated Credit Agreement, dated as of December 7, 2016, among Integra LifeSciences Holdings Corporation,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other lenders party hereto, Bank of America, N.A., as Administrative Agent, Swing Line Lender and L/C Issuer, Securities, LLC, Citizens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Bank, N.A., DNB Capital LLC, HSBC Bank PLC, HSBC Bank USA. N.A., The Bank of Tokyo-Mitsubishi UFJ, LTD., PNC Bank, N.A.,</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Royal Bank of Canada, SunTrust Bank, TD Bank, N.A., JPMorgan and Chase Bank, N.A., Mizuho Bank, LTD., and Bank of Nova Scotia,</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as Co-Documentation Agents (Incorporated by reference to Exhibit 4.1 to the Company’s Current Report on Form 8-K filed on December</w:t>
              </w:r>
            </w:hyperlink>
          </w:p>
        </w:tc>
      </w:tr>
      <w:tr>
        <w:trPr>
          <w:trHeight w:val="196"/>
        </w:trPr>
        <w:tc>
          <w:tcPr>
            <w:tcW w:w="138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52">
              <w:r>
                <w:rPr>
                  <w:rFonts w:ascii="Arial" w:cs="Arial" w:eastAsia="Arial" w:hAnsi="Arial"/>
                  <w:sz w:val="18"/>
                  <w:szCs w:val="18"/>
                  <w:color w:val="0000FF"/>
                  <w:w w:val="87"/>
                </w:rPr>
                <w:t>7, 2016)</w:t>
              </w:r>
            </w:hyperlink>
          </w:p>
        </w:tc>
        <w:tc>
          <w:tcPr>
            <w:tcW w:w="1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4.3(n)</w:t>
            </w:r>
          </w:p>
        </w:tc>
        <w:tc>
          <w:tcPr>
            <w:tcW w:w="9460" w:type="dxa"/>
            <w:vAlign w:val="bottom"/>
            <w:tcBorders>
              <w:bottom w:val="single" w:sz="8" w:color="0000FF"/>
            </w:tcBorders>
            <w:gridSpan w:val="9"/>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First Amendment to the Fourth Amended and Restated Credit Agreement, dated as of March 31, 2017, among Integra LifeSciences</w:t>
              </w:r>
            </w:hyperlink>
          </w:p>
        </w:tc>
        <w:tc>
          <w:tcPr>
            <w:tcW w:w="520" w:type="dxa"/>
            <w:vAlign w:val="bottom"/>
            <w:gridSpan w:val="7"/>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Holdings Corporation, a syndicate of lending banks, and Bank of America, N.A., as Administrative Agent (Incorporated by reference to</w:t>
              </w:r>
            </w:hyperlink>
          </w:p>
        </w:tc>
        <w:tc>
          <w:tcPr>
            <w:tcW w:w="2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9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Exhibit 4.1 to the Company’s Current Report on Form 8-K filed on April 4, 2017)</w:t>
              </w:r>
            </w:hyperlink>
          </w:p>
        </w:tc>
        <w:tc>
          <w:tcPr>
            <w:tcW w:w="408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4.3(o)</w:t>
            </w:r>
          </w:p>
        </w:tc>
        <w:tc>
          <w:tcPr>
            <w:tcW w:w="9680" w:type="dxa"/>
            <w:vAlign w:val="bottom"/>
            <w:tcBorders>
              <w:bottom w:val="single" w:sz="8" w:color="0000FF"/>
            </w:tcBorders>
            <w:gridSpan w:val="11"/>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Fifth Amended and Restated Credit Agreement, dated as of May 3, 2018, among Integra LifeSciences Holdings Corporation, the other</w:t>
              </w:r>
            </w:hyperlink>
          </w:p>
        </w:tc>
        <w:tc>
          <w:tcPr>
            <w:tcW w:w="30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lenders party hereto, Bank of America, N.A., as Administrative Agent, Swing Line Lender and L/C Issuer, JPMorgan Chase Bank, N.A.</w:t>
              </w:r>
            </w:hyperlink>
          </w:p>
        </w:tc>
        <w:tc>
          <w:tcPr>
            <w:tcW w:w="1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and Wells Fargo Bank, N.A., as Co-Syndication Agents, and PNC Bank, N.A., The Bank of Tokyo-Mitsubishi UFJ, Ltd., Citibank N.A.,</w:t>
              </w:r>
            </w:hyperlink>
          </w:p>
        </w:tc>
        <w:tc>
          <w:tcPr>
            <w:tcW w:w="1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Citizens Bank, N.A., DNB Bank ASA, New York Branch, HSBC Bank plc, HSBC Bank USA, National Association, Suntrust Bank, TD</w:t>
              </w:r>
            </w:hyperlink>
          </w:p>
        </w:tc>
      </w:tr>
      <w:tr>
        <w:trPr>
          <w:trHeight w:val="196"/>
        </w:trPr>
        <w:tc>
          <w:tcPr>
            <w:tcW w:w="138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Bank, N.A., Bank of Nova Scotia and Capital One, National Association, as Co-Documentation Agents (Incorporated by reference to</w:t>
              </w:r>
            </w:hyperlink>
          </w:p>
        </w:tc>
        <w:tc>
          <w:tcPr>
            <w:tcW w:w="220" w:type="dxa"/>
            <w:vAlign w:val="bottom"/>
            <w:tcBorders>
              <w:top w:val="single" w:sz="8" w:color="0000FF"/>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Exhibit 4.1 to the Company’s Current Report on Form 8-K filed on May 9, 2018)</w:t>
              </w:r>
            </w:hyperlink>
          </w:p>
        </w:tc>
      </w:tr>
      <w:tr>
        <w:trPr>
          <w:trHeight w:val="20"/>
        </w:trPr>
        <w:tc>
          <w:tcPr>
            <w:tcW w:w="1380" w:type="dxa"/>
            <w:vAlign w:val="bottom"/>
          </w:tcPr>
          <w:p>
            <w:pPr>
              <w:spacing w:after="0" w:line="20" w:lineRule="exact"/>
              <w:rPr>
                <w:sz w:val="1"/>
                <w:szCs w:val="1"/>
                <w:color w:val="auto"/>
              </w:rPr>
            </w:pPr>
          </w:p>
        </w:tc>
        <w:tc>
          <w:tcPr>
            <w:tcW w:w="5840" w:type="dxa"/>
            <w:vAlign w:val="bottom"/>
            <w:gridSpan w:val="5"/>
            <w:shd w:val="clear" w:color="auto" w:fill="0000FF"/>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4.4</w:t>
            </w:r>
          </w:p>
        </w:tc>
        <w:tc>
          <w:tcPr>
            <w:tcW w:w="9980" w:type="dxa"/>
            <w:vAlign w:val="bottom"/>
            <w:gridSpan w:val="1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Security Agreement, dated as of December 22, 2005, among Integra LifeSciences Holdings Corporation and the additional grantors party</w:t>
              </w:r>
            </w:hyperlink>
          </w:p>
        </w:tc>
      </w:tr>
      <w:tr>
        <w:trPr>
          <w:trHeight w:val="20"/>
        </w:trPr>
        <w:tc>
          <w:tcPr>
            <w:tcW w:w="1380" w:type="dxa"/>
            <w:vAlign w:val="bottom"/>
          </w:tcPr>
          <w:p>
            <w:pPr>
              <w:spacing w:after="0" w:line="20" w:lineRule="exact"/>
              <w:rPr>
                <w:sz w:val="1"/>
                <w:szCs w:val="1"/>
                <w:color w:val="auto"/>
              </w:rPr>
            </w:pPr>
          </w:p>
        </w:tc>
        <w:tc>
          <w:tcPr>
            <w:tcW w:w="5840" w:type="dxa"/>
            <w:vAlign w:val="bottom"/>
            <w:gridSpan w:val="5"/>
            <w:shd w:val="clear" w:color="auto" w:fill="0000FF"/>
          </w:tcPr>
          <w:p>
            <w:pPr>
              <w:spacing w:after="0" w:line="20" w:lineRule="exact"/>
              <w:rPr>
                <w:sz w:val="1"/>
                <w:szCs w:val="1"/>
                <w:color w:val="auto"/>
              </w:rPr>
            </w:pPr>
          </w:p>
        </w:tc>
        <w:tc>
          <w:tcPr>
            <w:tcW w:w="4120" w:type="dxa"/>
            <w:vAlign w:val="bottom"/>
            <w:tcBorders>
              <w:left w:val="single" w:sz="8" w:color="0000FF"/>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thereto in favor of Bank of America, N.A., as administrative and collateral agent (Incorporated by reference to Exhibit 4.4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Company’s Annual Report on Form 10-K for the year ended December 31, 2005)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80" w:top="513" w:right="2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4.5</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Pledge Agreement, dated as of December 22, 2005, among Integra LifeSciences Holdings Corporation and the additional grantors party</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thereto in favor of Bank of America, N.A., as administrative and collateral agent (Incorporated by reference to Exhibit 4.5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Company’s Annual Report on Form 10-K for the year ended December 31, 2005)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4.6</w:t>
            </w:r>
          </w:p>
        </w:tc>
        <w:tc>
          <w:tcPr>
            <w:tcW w:w="9980" w:type="dxa"/>
            <w:vAlign w:val="bottom"/>
            <w:gridSpan w:val="16"/>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Subsidiary Guaranty Agreement, dated as of December 22, 2005, among the guarantors party thereto and individually as a “Guarantor”),</w:t>
              </w:r>
            </w:hyperlink>
          </w:p>
        </w:tc>
      </w:tr>
      <w:tr>
        <w:trPr>
          <w:trHeight w:val="20"/>
        </w:trPr>
        <w:tc>
          <w:tcPr>
            <w:tcW w:w="138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in favor of Bank of America, N.A., as administrative and collateral agent (Incorporated by reference to Exhibit 4.6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Annual Report on Form 10-K for the year ended December 31, 2005)</w:t>
              </w:r>
            </w:hyperlink>
          </w:p>
        </w:tc>
      </w:tr>
      <w:tr>
        <w:trPr>
          <w:trHeight w:val="20"/>
        </w:trPr>
        <w:tc>
          <w:tcPr>
            <w:tcW w:w="138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9980" w:type="dxa"/>
            <w:vAlign w:val="bottom"/>
            <w:gridSpan w:val="16"/>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Bank, N.A., as trustee (Incorporated by reference to Exhibit 4.1 to the Company’s Current Report on Form 8-K filed on June 12, 2007)</w:t>
              </w:r>
            </w:hyperlink>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9980" w:type="dxa"/>
            <w:vAlign w:val="bottom"/>
            <w:gridSpan w:val="16"/>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Form of 2.75% Senior Convertible Note due 2010 (included in Exhibit 4.8) (Incorporated by reference to Exhibit B to Exhibit 4.1 to the</w:t>
              </w:r>
            </w:hyperlink>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Company’s Current Report on Form 8-K filed on June 12, 2007)</w:t>
              </w:r>
            </w:hyperlink>
          </w:p>
        </w:tc>
        <w:tc>
          <w:tcPr>
            <w:tcW w:w="532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9980" w:type="dxa"/>
            <w:vAlign w:val="bottom"/>
            <w:gridSpan w:val="16"/>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Bank, N.A., as trustee (Incorporated by reference to Exhibit 4.3 to the Company’s Current Report on Form 8-K filed on June 12, 2007)</w:t>
              </w:r>
            </w:hyperlink>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4.10</w:t>
            </w:r>
          </w:p>
        </w:tc>
        <w:tc>
          <w:tcPr>
            <w:tcW w:w="9980" w:type="dxa"/>
            <w:vAlign w:val="bottom"/>
            <w:gridSpan w:val="16"/>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Form of 2.375% Senior Convertible Note due 2012 (included in Exhibit 4.10) (Incorporated by reference to Exhibit B to Exhibit 4.3 to the</w:t>
              </w:r>
            </w:hyperlink>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Company’s Current Report on Form 8-K filed on June 12, 2007)</w:t>
              </w:r>
            </w:hyperlink>
          </w:p>
        </w:tc>
        <w:tc>
          <w:tcPr>
            <w:tcW w:w="532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4.11</w:t>
            </w:r>
          </w:p>
        </w:tc>
        <w:tc>
          <w:tcPr>
            <w:tcW w:w="9980" w:type="dxa"/>
            <w:vAlign w:val="bottom"/>
            <w:gridSpan w:val="16"/>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81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(Incorporated by reference to Exhibit 4.5 to the Company’s Current Report on Form 8-K filed on June 12, 2007)</w:t>
              </w:r>
            </w:hyperlink>
          </w:p>
        </w:tc>
        <w:tc>
          <w:tcPr>
            <w:tcW w:w="186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4.12</w:t>
            </w:r>
          </w:p>
        </w:tc>
        <w:tc>
          <w:tcPr>
            <w:tcW w:w="9980" w:type="dxa"/>
            <w:vAlign w:val="bottom"/>
            <w:gridSpan w:val="16"/>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(Incorporated by reference to Exhibit 4.6 to the Company’s Current Report on Form 8-K filed on June 12, 2007)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Lease Modification #2 entered into as of October 28, 2005,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85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10.1 to the Company’s Current Report on Form 8-K filed on November 2, 2005)</w:t>
              </w:r>
            </w:hyperlink>
          </w:p>
        </w:tc>
        <w:tc>
          <w:tcPr>
            <w:tcW w:w="1460" w:type="dxa"/>
            <w:vAlign w:val="bottom"/>
            <w:gridSpan w:val="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10.1(c)</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Lease Modification #3 entered into as of March 2, 2011,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82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by reference to Exhibit 10.1 to the Company’s Current Report on Form 8-K filed on March 3, 2011)</w:t>
              </w:r>
            </w:hyperlink>
          </w:p>
        </w:tc>
        <w:tc>
          <w:tcPr>
            <w:tcW w:w="1760" w:type="dxa"/>
            <w:vAlign w:val="bottom"/>
            <w:gridSpan w:val="6"/>
          </w:tcPr>
          <w:p>
            <w:pPr>
              <w:spacing w:after="0"/>
              <w:rPr>
                <w:sz w:val="17"/>
                <w:szCs w:val="17"/>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8"/>
                <w:szCs w:val="18"/>
                <w:color w:val="auto"/>
              </w:rPr>
              <w:t>10.1(d)</w:t>
            </w:r>
          </w:p>
        </w:tc>
        <w:tc>
          <w:tcPr>
            <w:tcW w:w="9980" w:type="dxa"/>
            <w:vAlign w:val="bottom"/>
            <w:gridSpan w:val="16"/>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Lease Modification #4 entered into as of April 20, 2017,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10.1 to the Company’s Current Report on Form 8-K filed on April 25,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10.2 (a)</w:t>
            </w:r>
          </w:p>
        </w:tc>
        <w:tc>
          <w:tcPr>
            <w:tcW w:w="9980" w:type="dxa"/>
            <w:vAlign w:val="bottom"/>
            <w:gridSpan w:val="16"/>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Equipment Lease Agreement between Medicus Corporation and the Company, dated as of June 1, 2000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Exhibit 10.1 to the Company’s Quarterly Report on Form 10-Q for the quarter ended June 30, 2000)</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10.2(b)</w:t>
            </w:r>
          </w:p>
        </w:tc>
        <w:tc>
          <w:tcPr>
            <w:tcW w:w="9980" w:type="dxa"/>
            <w:vAlign w:val="bottom"/>
            <w:gridSpan w:val="16"/>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First Amendment to Equipment Lease Agreement between Medicus Corporation and the Company, dated as of June 29, 2010</w:t>
              </w:r>
            </w:hyperlink>
          </w:p>
        </w:tc>
      </w:tr>
      <w:tr>
        <w:trPr>
          <w:trHeight w:val="196"/>
        </w:trPr>
        <w:tc>
          <w:tcPr>
            <w:tcW w:w="138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(Incorporated by reference to Exhibit 10.2 to the Company’s Quarterly Report on Form 10-Q for the quarter ended June 30, 2010)</w:t>
              </w:r>
            </w:hyperlink>
          </w:p>
        </w:tc>
        <w:tc>
          <w:tcPr>
            <w:tcW w:w="60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Form of Indemnification Agreement for Non-Employee Directors and Officers (effective prior to February 15, 2019) (Incorporated by</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reference to Exhibit 10.1 to the Company’s Current Report on Form 8-K filed on December 24, 2008)*</w:t>
              </w:r>
            </w:hyperlink>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10.3(c)</w:t>
            </w:r>
          </w:p>
        </w:tc>
        <w:tc>
          <w:tcPr>
            <w:tcW w:w="9980" w:type="dxa"/>
            <w:vAlign w:val="bottom"/>
            <w:gridSpan w:val="16"/>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(c) Form of Indemnification Agreement for Non-Employee Director and Officers effective February 15, 2019. *</w:t>
              </w:r>
            </w:hyperlink>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6"/>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1996 Incentive Stock Option and Non-Qualified Stock Option Plan (as amended through December 27, 1997) (Incorporated by reference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to Exhibit 10.4 to the Company’s Current Report on Form 8-K filed on February 3, 1998)*</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gridSpan w:val="16"/>
          </w:tcPr>
          <w:p>
            <w:pPr>
              <w:spacing w:after="0"/>
              <w:rPr>
                <w:rFonts w:ascii="Arial" w:cs="Arial" w:eastAsia="Arial" w:hAnsi="Arial"/>
                <w:sz w:val="18"/>
                <w:szCs w:val="18"/>
                <w:color w:val="0000FF"/>
                <w:w w:val="97"/>
              </w:rPr>
            </w:pPr>
            <w:hyperlink r:id="rId69">
              <w:r>
                <w:rPr>
                  <w:rFonts w:ascii="Arial" w:cs="Arial" w:eastAsia="Arial" w:hAnsi="Arial"/>
                  <w:sz w:val="18"/>
                  <w:szCs w:val="18"/>
                  <w:color w:val="0000FF"/>
                  <w:w w:val="97"/>
                </w:rPr>
                <w:t>1998 Stock Option Plan (amended and restated as of July 26, 2005) (Incorporated by reference to Exhibit 10.3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r>
      <w:tr>
        <w:trPr>
          <w:trHeight w:val="669"/>
        </w:trPr>
        <w:tc>
          <w:tcPr>
            <w:tcW w:w="1380" w:type="dxa"/>
            <w:vAlign w:val="bottom"/>
          </w:tcPr>
          <w:p>
            <w:pPr>
              <w:spacing w:after="0"/>
              <w:rPr>
                <w:sz w:val="24"/>
                <w:szCs w:val="24"/>
                <w:color w:val="auto"/>
              </w:rPr>
            </w:pPr>
          </w:p>
        </w:tc>
        <w:tc>
          <w:tcPr>
            <w:tcW w:w="4640" w:type="dxa"/>
            <w:vAlign w:val="bottom"/>
            <w:tcBorders>
              <w:top w:val="single" w:sz="8" w:color="0000FF"/>
            </w:tcBorders>
          </w:tcPr>
          <w:p>
            <w:pPr>
              <w:ind w:left="4200"/>
              <w:spacing w:after="0"/>
              <w:rPr>
                <w:sz w:val="20"/>
                <w:szCs w:val="20"/>
                <w:color w:val="auto"/>
              </w:rPr>
            </w:pPr>
            <w:r>
              <w:rPr>
                <w:rFonts w:ascii="Arial" w:cs="Arial" w:eastAsia="Arial" w:hAnsi="Arial"/>
                <w:sz w:val="18"/>
                <w:szCs w:val="18"/>
                <w:color w:val="auto"/>
              </w:rPr>
              <w:t>54</w:t>
            </w: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80" w:top="675" w:right="25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10.6</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7"/>
              </w:rPr>
            </w:pPr>
            <w:hyperlink r:id="rId70">
              <w:r>
                <w:rPr>
                  <w:rFonts w:ascii="Arial" w:cs="Arial" w:eastAsia="Arial" w:hAnsi="Arial"/>
                  <w:sz w:val="18"/>
                  <w:szCs w:val="18"/>
                  <w:color w:val="0000FF"/>
                  <w:w w:val="97"/>
                </w:rPr>
                <w:t>1999 Stock Option Plan (amended and restated as of July 26, 2005) (Incorporated by reference to Exhibit 10.4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Quarterly Report on Form 10-Q for the quarter ended September 30, 2005)*</w:t>
              </w:r>
            </w:hyperlink>
          </w:p>
        </w:tc>
        <w:tc>
          <w:tcPr>
            <w:tcW w:w="4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10.7(a)</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Employee Stock Purchase Plan (as amended on May 17, 2004) (Incorporated by reference to Exhibit 4.1 to the Company’s Registration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Statement on Form S-8 (Registration No. 333-127488) filed on August 12, 2005)*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10.7(b)</w:t>
            </w:r>
          </w:p>
        </w:tc>
        <w:tc>
          <w:tcPr>
            <w:tcW w:w="9980" w:type="dxa"/>
            <w:vAlign w:val="bottom"/>
            <w:gridSpan w:val="19"/>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First Amendment to Employee Stock Purchase Plan, dated October 26, 2005 (Incorporated by reference to Exhibit 10.1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Current Report on Form 8-K filed on November 1,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10.8(a)</w:t>
            </w:r>
          </w:p>
        </w:tc>
        <w:tc>
          <w:tcPr>
            <w:tcW w:w="9980" w:type="dxa"/>
            <w:vAlign w:val="bottom"/>
            <w:gridSpan w:val="19"/>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2000 Equity Incentive Plan (amended and restated as of July 26, 2005) (Incorporated by reference to Exhibit 10.5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10.8(b)</w:t>
            </w:r>
          </w:p>
        </w:tc>
        <w:tc>
          <w:tcPr>
            <w:tcW w:w="9980" w:type="dxa"/>
            <w:vAlign w:val="bottom"/>
            <w:gridSpan w:val="19"/>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Amendment to 2000 Equity Incentive Plan (effective as of May 17, 2012) (Incorporated by reference to Exhibit 10.7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10.8(c)</w:t>
            </w:r>
          </w:p>
        </w:tc>
        <w:tc>
          <w:tcPr>
            <w:tcW w:w="9980" w:type="dxa"/>
            <w:vAlign w:val="bottom"/>
            <w:gridSpan w:val="19"/>
          </w:tcPr>
          <w:p>
            <w:pPr>
              <w:spacing w:after="0"/>
              <w:rPr>
                <w:rFonts w:ascii="Arial" w:cs="Arial" w:eastAsia="Arial" w:hAnsi="Arial"/>
                <w:sz w:val="18"/>
                <w:szCs w:val="18"/>
                <w:color w:val="0000FF"/>
                <w:w w:val="99"/>
              </w:rPr>
            </w:pPr>
            <w:hyperlink r:id="rId74">
              <w:r>
                <w:rPr>
                  <w:rFonts w:ascii="Arial" w:cs="Arial" w:eastAsia="Arial" w:hAnsi="Arial"/>
                  <w:sz w:val="18"/>
                  <w:szCs w:val="18"/>
                  <w:color w:val="0000FF"/>
                  <w:w w:val="99"/>
                </w:rPr>
                <w:t>Amendment to 2000 Equity Incentive Plan (effective as of January 1, 2013) (Incorporated by reference to Exhibit 10.8(c)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Company’s Annual Report on Form 10-K for the year ended December 31, 2012)*</w:t>
              </w:r>
            </w:hyperlink>
          </w:p>
        </w:tc>
        <w:tc>
          <w:tcPr>
            <w:tcW w:w="40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10.9(a)</w:t>
            </w:r>
          </w:p>
        </w:tc>
        <w:tc>
          <w:tcPr>
            <w:tcW w:w="9980" w:type="dxa"/>
            <w:vAlign w:val="bottom"/>
            <w:gridSpan w:val="19"/>
          </w:tcPr>
          <w:p>
            <w:pPr>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2001 Equity Incentive Plan (amended and restated as of July 26, 2005) (Incorporated by reference to Exhibit 10.6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10.9(b)</w:t>
            </w:r>
          </w:p>
        </w:tc>
        <w:tc>
          <w:tcPr>
            <w:tcW w:w="9980" w:type="dxa"/>
            <w:vAlign w:val="bottom"/>
            <w:gridSpan w:val="1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Amendment to 2001 Equity Incentive Plan (effective as of May 17, 2012) (Incorporated by reference to Exhibit 10.8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10.9(c)</w:t>
            </w:r>
          </w:p>
        </w:tc>
        <w:tc>
          <w:tcPr>
            <w:tcW w:w="9980" w:type="dxa"/>
            <w:vAlign w:val="bottom"/>
            <w:gridSpan w:val="19"/>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Amendment to 2001 Equity Incentive Plan (effective as of January 1, 2013) (Incorporated by reference to Exhibit 10.9(c)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Company’s Annual Report on Form 10-K for the year ended December 31, 2012)*</w:t>
              </w:r>
            </w:hyperlink>
          </w:p>
        </w:tc>
        <w:tc>
          <w:tcPr>
            <w:tcW w:w="40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10.10(a)</w:t>
            </w:r>
          </w:p>
        </w:tc>
        <w:tc>
          <w:tcPr>
            <w:tcW w:w="9980" w:type="dxa"/>
            <w:vAlign w:val="bottom"/>
            <w:gridSpan w:val="19"/>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Second Amended and Restated 2003 Equity Incentive Plan effective May 19, 2010 (Incorporated by reference to Exhibit 10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Company’s Current Report on Form 8-K filed May 21, 2010)*</w:t>
              </w:r>
            </w:hyperlink>
          </w:p>
        </w:tc>
        <w:tc>
          <w:tcPr>
            <w:tcW w:w="544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10.10(b)</w:t>
            </w:r>
          </w:p>
        </w:tc>
        <w:tc>
          <w:tcPr>
            <w:tcW w:w="9980" w:type="dxa"/>
            <w:vAlign w:val="bottom"/>
            <w:gridSpan w:val="19"/>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Amendment to the Second Amended and Restated 2003 Equity Incentive Plan effective May 17, 2012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Exhibit 10.9 to the Company’s Quarterly Report on Form 10-Q for the quarter ended June 30, 2012)*</w:t>
              </w:r>
            </w:hyperlink>
          </w:p>
        </w:tc>
        <w:tc>
          <w:tcPr>
            <w:tcW w:w="26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10.10(c)</w:t>
            </w:r>
          </w:p>
        </w:tc>
        <w:tc>
          <w:tcPr>
            <w:tcW w:w="9980" w:type="dxa"/>
            <w:vAlign w:val="bottom"/>
            <w:gridSpan w:val="19"/>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Amendment to the Second Amended and Restated 2003 Equity Incentive Plan effective January 1, 2013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Exhibit 10.4 to the Company’s Quarterly Report on Form 10-Q for the quarter ended March 31, 2013)*</w:t>
              </w:r>
            </w:hyperlink>
          </w:p>
        </w:tc>
        <w:tc>
          <w:tcPr>
            <w:tcW w:w="25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10.10(d)</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7"/>
              </w:rPr>
            </w:pPr>
            <w:hyperlink r:id="rId81">
              <w:r>
                <w:rPr>
                  <w:rFonts w:ascii="Arial" w:cs="Arial" w:eastAsia="Arial" w:hAnsi="Arial"/>
                  <w:sz w:val="18"/>
                  <w:szCs w:val="18"/>
                  <w:color w:val="0000FF"/>
                  <w:w w:val="97"/>
                </w:rPr>
                <w:t>Third Amended and Restated 2003 Equity Incentive Plan effective May 22, 2015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Company’s Current Report on Form 8-K filed on May 29, 2015)*</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10.10(e)</w:t>
            </w: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80" w:type="dxa"/>
            <w:vAlign w:val="bottom"/>
            <w:vMerge w:val="continue"/>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Fourth Amended and Restated 2003 Equity Incentive Plan, effective May 23, 2017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Company’s Current Report on Form 8-K filed on May 25, 2017)</w:t>
              </w:r>
            </w:hyperlink>
          </w:p>
        </w:tc>
        <w:tc>
          <w:tcPr>
            <w:tcW w:w="5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10.11(a)</w:t>
            </w:r>
          </w:p>
        </w:tc>
        <w:tc>
          <w:tcPr>
            <w:tcW w:w="9980" w:type="dxa"/>
            <w:vAlign w:val="bottom"/>
            <w:gridSpan w:val="19"/>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Second Amended and Restated Employment Agreement dated July 27, 2004 between the Company and Stuart M.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6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reference to Exhibit 10.1 to the Company’s Quarterly Report on Form 10-Q for the quarter ended September 30, 2004)*</w:t>
              </w:r>
            </w:hyperlink>
          </w:p>
        </w:tc>
        <w:tc>
          <w:tcPr>
            <w:tcW w:w="13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10.11(b)</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Amendment 2006-1, dated as of December 19, 2006, to the Second Amended and Restated Employment Agreement, between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8"/>
              </w:rPr>
            </w:pPr>
            <w:hyperlink r:id="rId84">
              <w:r>
                <w:rPr>
                  <w:rFonts w:ascii="Arial" w:cs="Arial" w:eastAsia="Arial" w:hAnsi="Arial"/>
                  <w:sz w:val="18"/>
                  <w:szCs w:val="18"/>
                  <w:color w:val="0000FF"/>
                  <w:w w:val="98"/>
                </w:rPr>
                <w:t>Company and Stuart M. Essig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December 22, 2006)*</w:t>
              </w:r>
            </w:hyperlink>
          </w:p>
        </w:tc>
        <w:tc>
          <w:tcPr>
            <w:tcW w:w="8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10.11(c)</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Amendment 2008-1, dated as of March 6, 2008, to the Second Amended and Restated Employment Agreement, between the Company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and Stuart M. Essig (Incorporated by reference to Exhibit 10.12(c) to the Company’s Annual Report on Form 10-K for the year ended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December 31, 2007)*</w:t>
              </w:r>
            </w:hyperlink>
          </w:p>
        </w:tc>
        <w:tc>
          <w:tcPr>
            <w:tcW w:w="8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10.11(d)</w:t>
            </w:r>
          </w:p>
        </w:tc>
        <w:tc>
          <w:tcPr>
            <w:tcW w:w="9980" w:type="dxa"/>
            <w:vAlign w:val="bottom"/>
            <w:gridSpan w:val="19"/>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Amendment 2008-2, dated as of August 6, 2008, to the Second Amended and Restated Employment Agreement between Stuart M. Essig</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120" w:type="dxa"/>
            <w:vAlign w:val="bottom"/>
            <w:gridSpan w:val="1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and the Company (Incorporated by reference to Exhibit 10.7 to the Company’s Quarterly Report on Form 10-Q for the quarter ended June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30, 2008)*</w:t>
              </w:r>
            </w:hyperlink>
          </w:p>
        </w:tc>
        <w:tc>
          <w:tcPr>
            <w:tcW w:w="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10.11(e)</w:t>
            </w:r>
          </w:p>
        </w:tc>
        <w:tc>
          <w:tcPr>
            <w:tcW w:w="9980" w:type="dxa"/>
            <w:vAlign w:val="bottom"/>
            <w:gridSpan w:val="19"/>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Amendment 2009-1, dated as of April 13, 2009, to the Second Amended and Restated Employment Agreement between Stuart M. Essig</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and the Company (Incorporated by reference to Exhibit 10.2 to the Company’s Current Report on Form 8-K filed on April 13, 2009)*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120" w:type="dxa"/>
            <w:vAlign w:val="bottom"/>
            <w:gridSpan w:val="1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10.11(f)</w:t>
            </w:r>
          </w:p>
        </w:tc>
        <w:tc>
          <w:tcPr>
            <w:tcW w:w="9980" w:type="dxa"/>
            <w:vAlign w:val="bottom"/>
            <w:gridSpan w:val="19"/>
          </w:tcPr>
          <w:p>
            <w:pPr>
              <w:spacing w:after="0"/>
              <w:rPr>
                <w:rFonts w:ascii="Arial" w:cs="Arial" w:eastAsia="Arial" w:hAnsi="Arial"/>
                <w:sz w:val="18"/>
                <w:szCs w:val="18"/>
                <w:color w:val="0000FF"/>
                <w:w w:val="96"/>
              </w:rPr>
            </w:pPr>
            <w:hyperlink r:id="rId88">
              <w:r>
                <w:rPr>
                  <w:rFonts w:ascii="Arial" w:cs="Arial" w:eastAsia="Arial" w:hAnsi="Arial"/>
                  <w:sz w:val="18"/>
                  <w:szCs w:val="18"/>
                  <w:color w:val="0000FF"/>
                  <w:w w:val="96"/>
                </w:rPr>
                <w:t>Letter Agreement dated May 17, 2011 between the Company and Stuart M. Essig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Company’s Current Report on Form 8-K filed May 23, 2011)*</w:t>
              </w:r>
            </w:hyperlink>
          </w:p>
        </w:tc>
        <w:tc>
          <w:tcPr>
            <w:tcW w:w="546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10.11(g)</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Letter dated December 20, 2011 from Stuart M. Essig to the Company (Incorporated by reference to Exhibit 10.3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Current Report on Form 8-K filed December 23, 2011)*</w:t>
              </w:r>
            </w:hyperlink>
          </w:p>
        </w:tc>
        <w:tc>
          <w:tcPr>
            <w:tcW w:w="59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135"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80" w:top="513" w:right="259" w:bottom="1135"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10.11(h)</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Letter Agreement dated June 7, 2012 between Stuart M. Essig and the Company (Incorporated by reference to Exhibit 10.1 to the</w:t>
              </w:r>
            </w:hyperlink>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Company’s Current Report on Form 8-K filed on June 7, 2012)*</w:t>
              </w:r>
            </w:hyperlink>
          </w:p>
        </w:tc>
        <w:tc>
          <w:tcPr>
            <w:tcW w:w="534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Indemnity letter agreement dated December 27, 1997 from the Company to Stuart M. Essig (Incorporated by reference to Exhibit 10.5 to</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the Company’s Current Report on Form 8-K filed on February 3, 1998)*</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Registration Rights Provisions for Stuart M. Essig (Incorporated by reference to Exhibit B of Exhibit 10.1 to the Company’s Current</w:t>
              </w:r>
            </w:hyperlink>
          </w:p>
        </w:tc>
      </w:tr>
      <w:tr>
        <w:trPr>
          <w:trHeight w:val="196"/>
        </w:trPr>
        <w:tc>
          <w:tcPr>
            <w:tcW w:w="138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Report on Form 8-K filed on February 3, 1998)*</w:t>
              </w:r>
            </w:hyperlink>
          </w:p>
        </w:tc>
        <w:tc>
          <w:tcPr>
            <w:tcW w:w="648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10.13(b)</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Registration Rights Provisions for Stuart M. Essig (Incorporated by reference to Exhibit 10.2 to the Company’s Current Report on Form</w:t>
              </w:r>
            </w:hyperlink>
          </w:p>
        </w:tc>
      </w:tr>
      <w:tr>
        <w:trPr>
          <w:trHeight w:val="196"/>
        </w:trPr>
        <w:tc>
          <w:tcPr>
            <w:tcW w:w="1380" w:type="dxa"/>
            <w:vAlign w:val="bottom"/>
          </w:tcPr>
          <w:p>
            <w:pPr>
              <w:spacing w:after="0"/>
              <w:rPr>
                <w:sz w:val="17"/>
                <w:szCs w:val="17"/>
                <w:color w:val="auto"/>
              </w:rPr>
            </w:pPr>
          </w:p>
        </w:tc>
        <w:tc>
          <w:tcPr>
            <w:tcW w:w="22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8-K filed on January 8, 2001)*</w:t>
              </w:r>
            </w:hyperlink>
          </w:p>
        </w:tc>
        <w:tc>
          <w:tcPr>
            <w:tcW w:w="7760" w:type="dxa"/>
            <w:vAlign w:val="bottom"/>
            <w:gridSpan w:val="1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10.13(c)</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Registration Rights Provisions for Stuart M. Essig (Incorporated by reference to Exhibit B of Exhibit 10.1 to the Company’s Quarterly</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Report on Form 10-Q for the quarter ended September 30, 2004)*</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Amended and Restated 2005 Employment Agreement between John B. Henneman, III and the Company dated December 19, 2005</w:t>
              </w:r>
            </w:hyperlink>
          </w:p>
        </w:tc>
      </w:tr>
      <w:tr>
        <w:trPr>
          <w:trHeight w:val="196"/>
        </w:trPr>
        <w:tc>
          <w:tcPr>
            <w:tcW w:w="1380" w:type="dxa"/>
            <w:vAlign w:val="bottom"/>
          </w:tcPr>
          <w:p>
            <w:pPr>
              <w:spacing w:after="0"/>
              <w:rPr>
                <w:sz w:val="17"/>
                <w:szCs w:val="17"/>
                <w:color w:val="auto"/>
              </w:rPr>
            </w:pPr>
          </w:p>
        </w:tc>
        <w:tc>
          <w:tcPr>
            <w:tcW w:w="95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(Incorporated by reference to Exhibit 10.16 to the Company’s Annual Report on Form 10-K for the year ended December 31, 2005)*</w:t>
              </w:r>
            </w:hyperlink>
          </w:p>
        </w:tc>
        <w:tc>
          <w:tcPr>
            <w:tcW w:w="4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10.14(b)</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Amendment 2008-1, dated as of January 2, 2008,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Henneman, III and the Company (Incorporated by reference to Exhibit 10.15(b) to the Company’s Annual Report on Form 10-K for the</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year ended December 31, 2007)*</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10.14(c)</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Amendment 2008-2, dated as of December 18, 2008,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Henneman, III and the Company (Incorporated by reference to Exhibit 10.2 to the Company’s Current Report on Form 8-K filed on</w:t>
              </w:r>
            </w:hyperlink>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December 24, 2008)*</w:t>
              </w:r>
            </w:hyperlink>
          </w:p>
        </w:tc>
        <w:tc>
          <w:tcPr>
            <w:tcW w:w="8420" w:type="dxa"/>
            <w:vAlign w:val="bottom"/>
            <w:gridSpan w:val="1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10.14(d)</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Amendment 2009-1, dated as of April 13, 2009,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Henneman, III and the Company (Incorporated by reference to Exhibit 10.5 to the Company’s Current Report on Form 8-K filed on April</w:t>
              </w:r>
            </w:hyperlink>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13, 2009)*</w:t>
              </w:r>
            </w:hyperlink>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10.14(e)</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Amendment 2010-1, dated as of October 12, 2010,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Henneman, III and the Company (Incorporated by reference to Exhibit 10.3 to the Company’s Current Report on Form 8-K filed October</w:t>
              </w:r>
            </w:hyperlink>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12, 2010)*</w:t>
              </w:r>
            </w:hyperlink>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10.14(f)</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6"/>
              </w:rPr>
            </w:pPr>
            <w:hyperlink r:id="rId97">
              <w:r>
                <w:rPr>
                  <w:rFonts w:ascii="Arial" w:cs="Arial" w:eastAsia="Arial" w:hAnsi="Arial"/>
                  <w:sz w:val="18"/>
                  <w:szCs w:val="18"/>
                  <w:color w:val="0000FF"/>
                  <w:w w:val="96"/>
                </w:rPr>
                <w:t>Letter dated as of February 22, 2012 from John B. Henneman, III to the Company (Incorporated by reference to Exhibit 10.1 to the</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Company’s Current Report on Form 8-K filed February 22, 2012)*</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10.14(g)</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Second Amended and Restated 2005 Employment Agreement between the Company and John B. Henneman, III (Incorporated by</w:t>
              </w:r>
            </w:hyperlink>
          </w:p>
        </w:tc>
      </w:tr>
      <w:tr>
        <w:trPr>
          <w:trHeight w:val="196"/>
        </w:trPr>
        <w:tc>
          <w:tcPr>
            <w:tcW w:w="1380" w:type="dxa"/>
            <w:vAlign w:val="bottom"/>
          </w:tcPr>
          <w:p>
            <w:pPr>
              <w:spacing w:after="0"/>
              <w:rPr>
                <w:sz w:val="17"/>
                <w:szCs w:val="17"/>
                <w:color w:val="auto"/>
              </w:rPr>
            </w:pPr>
          </w:p>
        </w:tc>
        <w:tc>
          <w:tcPr>
            <w:tcW w:w="70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reference to Exhibit 10.1 to the Company's Current Report on Form 8-K filed on May 23, 2014)*</w:t>
              </w:r>
            </w:hyperlink>
          </w:p>
        </w:tc>
        <w:tc>
          <w:tcPr>
            <w:tcW w:w="298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Consulting Agreement, dated October 12, 2010, between the Company and Inception Surgical (Incorporated by reference to Exhibit 10.1</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to the Company’s Current Report on Form 8-K filed on October 12, 2010)*</w:t>
              </w:r>
            </w:hyperlink>
          </w:p>
        </w:tc>
      </w:tr>
      <w:tr>
        <w:trPr>
          <w:trHeight w:val="20"/>
        </w:trPr>
        <w:tc>
          <w:tcPr>
            <w:tcW w:w="1380" w:type="dxa"/>
            <w:vAlign w:val="bottom"/>
          </w:tcPr>
          <w:p>
            <w:pPr>
              <w:spacing w:after="0" w:line="20" w:lineRule="exact"/>
              <w:rPr>
                <w:sz w:val="1"/>
                <w:szCs w:val="1"/>
                <w:color w:val="auto"/>
              </w:rPr>
            </w:pPr>
          </w:p>
        </w:tc>
        <w:tc>
          <w:tcPr>
            <w:tcW w:w="5420" w:type="dxa"/>
            <w:vAlign w:val="bottom"/>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Severance Agreement between Richard D. Gorelick and the Company dated as of January 3, 2012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Company’s Quarterly Report on Form 10-Q for the quarter ended March 31, 2013)*</w:t>
              </w:r>
            </w:hyperlink>
          </w:p>
        </w:tc>
      </w:tr>
      <w:tr>
        <w:trPr>
          <w:trHeight w:val="20"/>
        </w:trPr>
        <w:tc>
          <w:tcPr>
            <w:tcW w:w="138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Severance Agreement between Judith O’Grady and the Company dated as of January 4, 2010 (Incorporated by reference to Exhibit 10.17</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to the Company’s Annual Report on Form 10-K for the year ended December 31, 2009)*</w:t>
              </w:r>
            </w:hyperlink>
          </w:p>
        </w:tc>
      </w:tr>
      <w:tr>
        <w:trPr>
          <w:trHeight w:val="20"/>
        </w:trPr>
        <w:tc>
          <w:tcPr>
            <w:tcW w:w="138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10.17(b)</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102">
              <w:r>
                <w:rPr>
                  <w:rFonts w:ascii="Arial" w:cs="Arial" w:eastAsia="Arial" w:hAnsi="Arial"/>
                  <w:sz w:val="18"/>
                  <w:szCs w:val="18"/>
                  <w:color w:val="0000FF"/>
                  <w:w w:val="94"/>
                </w:rPr>
                <w:t>Severance Agreement between Judith O’Grady and the Company dated as of January 3, 2011 (Incorporated by reference to Exhibit</w:t>
              </w:r>
            </w:hyperlink>
          </w:p>
        </w:tc>
      </w:tr>
      <w:tr>
        <w:trPr>
          <w:trHeight w:val="196"/>
        </w:trPr>
        <w:tc>
          <w:tcPr>
            <w:tcW w:w="1380" w:type="dxa"/>
            <w:vAlign w:val="bottom"/>
          </w:tcPr>
          <w:p>
            <w:pPr>
              <w:spacing w:after="0"/>
              <w:rPr>
                <w:sz w:val="17"/>
                <w:szCs w:val="17"/>
                <w:color w:val="auto"/>
              </w:rPr>
            </w:pPr>
          </w:p>
        </w:tc>
        <w:tc>
          <w:tcPr>
            <w:tcW w:w="70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17(a)</w:t>
              </w:r>
              <w:r>
                <w:rPr>
                  <w:rFonts w:ascii="Arial" w:cs="Arial" w:eastAsia="Arial" w:hAnsi="Arial"/>
                  <w:sz w:val="18"/>
                  <w:szCs w:val="18"/>
                  <w:color w:val="0000FF"/>
                  <w:w w:val="90"/>
                </w:rPr>
                <w:t xml:space="preserve"> to the Company’s Annual Report on Form 10-K for the year ended December 31, 2010)*</w:t>
              </w:r>
            </w:hyperlink>
          </w:p>
        </w:tc>
        <w:tc>
          <w:tcPr>
            <w:tcW w:w="2920" w:type="dxa"/>
            <w:vAlign w:val="bottom"/>
            <w:gridSpan w:val="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10.17(c)</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Severance Agreement between Judith O’Grady and the Company dated as of January 3, 2012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10.</w:t>
              </w:r>
              <w:r>
                <w:rPr>
                  <w:rFonts w:ascii="Arial" w:cs="Arial" w:eastAsia="Arial" w:hAnsi="Arial"/>
                  <w:sz w:val="18"/>
                  <w:szCs w:val="18"/>
                  <w:u w:val="single" w:color="auto"/>
                  <w:color w:val="0000FF"/>
                </w:rPr>
                <w:t>16(c)</w:t>
              </w:r>
              <w:r>
                <w:rPr>
                  <w:rFonts w:ascii="Arial" w:cs="Arial" w:eastAsia="Arial" w:hAnsi="Arial"/>
                  <w:sz w:val="18"/>
                  <w:szCs w:val="18"/>
                  <w:color w:val="0000FF"/>
                </w:rPr>
                <w:t xml:space="preserve"> to the Company’s Annual Report on Form 10-K for the year ended December 31, 2011)*</w:t>
              </w:r>
            </w:hyperlink>
          </w:p>
        </w:tc>
      </w:tr>
      <w:tr>
        <w:trPr>
          <w:trHeight w:val="20"/>
        </w:trPr>
        <w:tc>
          <w:tcPr>
            <w:tcW w:w="138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Employment Agreement, dated as of October 12, 2010, between Peter J. Arduini and the Company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Current Report on Form 8-K filed October 12, 2010)*</w:t>
              </w:r>
            </w:hyperlink>
          </w:p>
        </w:tc>
      </w:tr>
      <w:tr>
        <w:trPr>
          <w:trHeight w:val="20"/>
        </w:trPr>
        <w:tc>
          <w:tcPr>
            <w:tcW w:w="138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10.18(b)</w:t>
            </w:r>
          </w:p>
        </w:tc>
        <w:tc>
          <w:tcPr>
            <w:tcW w:w="9980" w:type="dxa"/>
            <w:vAlign w:val="bottom"/>
            <w:gridSpan w:val="20"/>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Amended and Restated Employment Agreement dated December 20, 2011 between Peter J. Arduini and the Company (Incorporated by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reference to Exhibit 10.1 to the Company’s Current Report on Form 8-K filed December 23,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75"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675" w:right="2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10.18(c)</w:t>
            </w:r>
          </w:p>
        </w:tc>
        <w:tc>
          <w:tcPr>
            <w:tcW w:w="9960" w:type="dxa"/>
            <w:vAlign w:val="bottom"/>
            <w:tcBorders>
              <w:bottom w:val="single" w:sz="8" w:color="0000FF"/>
            </w:tcBorders>
            <w:gridSpan w:val="16"/>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Second Amended and Restated Employment Agreement between the Company and Peter J. Arduini (Incorporated by reference to Exhibit</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5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June 20, 2014)*</w:t>
              </w:r>
            </w:hyperlink>
          </w:p>
        </w:tc>
        <w:tc>
          <w:tcPr>
            <w:tcW w:w="4460" w:type="dxa"/>
            <w:vAlign w:val="bottom"/>
            <w:gridSpan w:val="12"/>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10.18(d)</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Third Amended and Restated Employment Agreement between the Company and Peter J. Arduini (Incorporated by reference to Exhibit</w:t>
              </w:r>
            </w:hyperlink>
          </w:p>
        </w:tc>
      </w:tr>
      <w:tr>
        <w:trPr>
          <w:trHeight w:val="196"/>
        </w:trPr>
        <w:tc>
          <w:tcPr>
            <w:tcW w:w="1380" w:type="dxa"/>
            <w:vAlign w:val="bottom"/>
          </w:tcPr>
          <w:p>
            <w:pPr>
              <w:spacing w:after="0"/>
              <w:rPr>
                <w:sz w:val="17"/>
                <w:szCs w:val="17"/>
                <w:color w:val="auto"/>
              </w:rPr>
            </w:pPr>
          </w:p>
        </w:tc>
        <w:tc>
          <w:tcPr>
            <w:tcW w:w="60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Quarterly Report on Form 10-Q filed on October 26, 2017)*</w:t>
              </w:r>
            </w:hyperlink>
          </w:p>
        </w:tc>
        <w:tc>
          <w:tcPr>
            <w:tcW w:w="398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8"/>
              </w:rPr>
            </w:pPr>
            <w:hyperlink r:id="rId108">
              <w:r>
                <w:rPr>
                  <w:rFonts w:ascii="Arial" w:cs="Arial" w:eastAsia="Arial" w:hAnsi="Arial"/>
                  <w:sz w:val="18"/>
                  <w:szCs w:val="18"/>
                  <w:color w:val="0000FF"/>
                  <w:w w:val="98"/>
                </w:rPr>
                <w:t>Form of Notice of Stock Option Grant with Eight-Year Term for Peter J. Arduini (Incorporated by reference to Exhibit 10.2 to the</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Company’s Current Report on Form 8-K filed December 23, 2011)*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Letter Agreement dated February 19, 2013 between Peter J. Arduini and Integra LifeSciences Holdings Corporation (Incorporated by</w:t>
              </w:r>
            </w:hyperlink>
          </w:p>
        </w:tc>
      </w:tr>
      <w:tr>
        <w:trPr>
          <w:trHeight w:val="196"/>
        </w:trPr>
        <w:tc>
          <w:tcPr>
            <w:tcW w:w="1380" w:type="dxa"/>
            <w:vAlign w:val="bottom"/>
          </w:tcPr>
          <w:p>
            <w:pPr>
              <w:spacing w:after="0"/>
              <w:rPr>
                <w:sz w:val="17"/>
                <w:szCs w:val="17"/>
                <w:color w:val="auto"/>
              </w:rPr>
            </w:pPr>
          </w:p>
        </w:tc>
        <w:tc>
          <w:tcPr>
            <w:tcW w:w="73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reference to Exhibit 10.1 to the Company's Current Report on Form 8-K filed on February 25, 2013)*</w:t>
              </w:r>
            </w:hyperlink>
          </w:p>
        </w:tc>
        <w:tc>
          <w:tcPr>
            <w:tcW w:w="266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Lease Contract, dated April 1, 2005, between the Puerto Rico Industrial Development Company and Integra CI, Inc. (executed 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September 15, 2006) (Incorporated by reference to Exhibit 10.3 to the Company’s Quarterly Report on Form 10-Q for the quarter ended</w:t>
              </w:r>
            </w:hyperlink>
          </w:p>
        </w:tc>
      </w:tr>
      <w:tr>
        <w:trPr>
          <w:trHeight w:val="196"/>
        </w:trPr>
        <w:tc>
          <w:tcPr>
            <w:tcW w:w="138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10">
              <w:r>
                <w:rPr>
                  <w:rFonts w:ascii="Arial" w:cs="Arial" w:eastAsia="Arial" w:hAnsi="Arial"/>
                  <w:sz w:val="18"/>
                  <w:szCs w:val="18"/>
                  <w:color w:val="0000FF"/>
                  <w:w w:val="87"/>
                </w:rPr>
                <w:t>September 30, 2006)</w:t>
              </w:r>
            </w:hyperlink>
          </w:p>
        </w:tc>
        <w:tc>
          <w:tcPr>
            <w:tcW w:w="848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Amendment to Lease Contract dated as of November 2, 2011, between Integra CI, Inc. and Puerto Rico Industrial Development Company</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(Incorporated by reference to Exhibit 10.1 to the Company’s Current Report on Form 8-K filed on November 7, 2011)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10.21(c)</w:t>
            </w:r>
          </w:p>
        </w:tc>
        <w:tc>
          <w:tcPr>
            <w:tcW w:w="9980" w:type="dxa"/>
            <w:vAlign w:val="bottom"/>
            <w:tcBorders>
              <w:bottom w:val="single" w:sz="8" w:color="0000FF"/>
            </w:tcBorders>
            <w:gridSpan w:val="1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Termination of Amendment to Lease Contract, dated as of April 2, 2012, between Integra CI, Inc. and Puerto Rico Industrial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Development Company (Incorporated by reference to Exhibit 10.2 to the Company’s Quarterly Report on Form 10-Q for the quarter</w:t>
              </w:r>
            </w:hyperlink>
          </w:p>
        </w:tc>
      </w:tr>
      <w:tr>
        <w:trPr>
          <w:trHeight w:val="196"/>
        </w:trPr>
        <w:tc>
          <w:tcPr>
            <w:tcW w:w="1380" w:type="dxa"/>
            <w:vAlign w:val="bottom"/>
          </w:tcPr>
          <w:p>
            <w:pPr>
              <w:spacing w:after="0"/>
              <w:rPr>
                <w:sz w:val="17"/>
                <w:szCs w:val="17"/>
                <w:color w:val="auto"/>
              </w:rPr>
            </w:pPr>
          </w:p>
        </w:tc>
        <w:tc>
          <w:tcPr>
            <w:tcW w:w="16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ended March 31, 2012)</w:t>
              </w:r>
            </w:hyperlink>
          </w:p>
        </w:tc>
        <w:tc>
          <w:tcPr>
            <w:tcW w:w="830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Restricted Units Agreement dated December 27, 1997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February 3, 1998)*</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Stock Option Grant and Agreement pursuant to 1999 Stock Option Plan dated December 22, 2000 between the Company and Stuart M.</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Essig (Incorporated by reference to Exhibit 4.1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Stock Option Grant and Agreement pursuant to 2000 Equity Incentive Plan dated December 22, 2000 between the Company and Stuart</w:t>
              </w:r>
            </w:hyperlink>
          </w:p>
        </w:tc>
      </w:tr>
      <w:tr>
        <w:trPr>
          <w:trHeight w:val="196"/>
        </w:trPr>
        <w:tc>
          <w:tcPr>
            <w:tcW w:w="1380" w:type="dxa"/>
            <w:vAlign w:val="bottom"/>
          </w:tcPr>
          <w:p>
            <w:pPr>
              <w:spacing w:after="0"/>
              <w:rPr>
                <w:sz w:val="17"/>
                <w:szCs w:val="17"/>
                <w:color w:val="auto"/>
              </w:rPr>
            </w:pPr>
          </w:p>
        </w:tc>
        <w:tc>
          <w:tcPr>
            <w:tcW w:w="90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M. Essig (Incorporated by reference to Exhibit 4.2 to the Company’s Current Report on Form 8-K filed on January 8, 2001)*</w:t>
              </w:r>
            </w:hyperlink>
          </w:p>
        </w:tc>
        <w:tc>
          <w:tcPr>
            <w:tcW w:w="98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Restricted Units Agreement dated December 22, 2000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Amendment 2006-1, dated as of October 30, 2006, to the Stuart M. Essig Restricted Units Agreement dated as of December 22, 2000</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(Incorporated by reference to Exhibit 10.1 to the Company’s Current Report on Form 8-K filed on November 3, 2006)*</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Stock Option Grant and Agreement pursuant to 2003 Equity Incentive Plan dated July 27, 2004 between the Company and Stuart M.</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117">
              <w:r>
                <w:rPr>
                  <w:rFonts w:ascii="Arial" w:cs="Arial" w:eastAsia="Arial" w:hAnsi="Arial"/>
                  <w:sz w:val="18"/>
                  <w:szCs w:val="18"/>
                  <w:color w:val="0000FF"/>
                  <w:w w:val="95"/>
                </w:rPr>
                <w:t>Essig (Incorporated by reference to Exhibit 10.30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Contract Stock/Restricted Units Agreement pursuant to 2003 Equity Incentive Plan dated July 27, 2004 between the Company and Stuart</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M. Essig (Incorporated by reference to Exhibit 10.31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1"/>
              </w:rPr>
            </w:pPr>
            <w:hyperlink r:id="rId119">
              <w:r>
                <w:rPr>
                  <w:rFonts w:ascii="Arial" w:cs="Arial" w:eastAsia="Arial" w:hAnsi="Arial"/>
                  <w:sz w:val="18"/>
                  <w:szCs w:val="18"/>
                  <w:color w:val="0000FF"/>
                  <w:w w:val="91"/>
                </w:rPr>
                <w:t>Amendment 2006-1, dated as of October 30, 2006, to the Stuart M. Essig Contract Stock/Restricted Units Agreement dated as of July 27,</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2004 (Incorporated by reference to Exhibit 10.2 to the Company’s Current Report on Form 8-K filed on November 3, 2006)*</w:t>
              </w:r>
            </w:hyperlink>
          </w:p>
        </w:tc>
      </w:tr>
      <w:tr>
        <w:trPr>
          <w:trHeight w:val="20"/>
        </w:trPr>
        <w:tc>
          <w:tcPr>
            <w:tcW w:w="1380" w:type="dxa"/>
            <w:vAlign w:val="bottom"/>
          </w:tcPr>
          <w:p>
            <w:pPr>
              <w:spacing w:after="0" w:line="20" w:lineRule="exact"/>
              <w:rPr>
                <w:sz w:val="1"/>
                <w:szCs w:val="1"/>
                <w:color w:val="auto"/>
              </w:rPr>
            </w:pPr>
          </w:p>
        </w:tc>
        <w:tc>
          <w:tcPr>
            <w:tcW w:w="6100" w:type="dxa"/>
            <w:vAlign w:val="bottom"/>
            <w:gridSpan w:val="9"/>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10.27(c)</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Amendment 2008-1, dated as of March 6, 2008, to the Stuart M. Essig Contract Stock/Restricted Units Agreement dated as of July 27,</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2004 (Incorporated by reference to Exhibit 10.25(c)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2007)</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10.27(d)</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Amendment 2011-1, dated as of May 17, 2011, to the Stuart M. Essig Contract Stock/Restricted Units Agreement dated as of July 24,</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2004 (Incorporated by reference to Exhibit 10.6 to the Company’s Quarterly Report on Form 10-Q for the quarter ended June 30, 2011)*</w:t>
              </w:r>
            </w:hyperlink>
          </w:p>
        </w:tc>
        <w:tc>
          <w:tcPr>
            <w:tcW w:w="14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9980" w:type="dxa"/>
            <w:vAlign w:val="bottom"/>
            <w:gridSpan w:val="17"/>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Contract Stock/Units Agreement dated as of May 17, 2011 between the Company and Stuart M. Essig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Exhibit 10.2 to the Company’s Current Report on Form 8-K filed on May 23,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80" w:top="513" w:right="2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10.29</w:t>
            </w:r>
          </w:p>
        </w:tc>
        <w:tc>
          <w:tcPr>
            <w:tcW w:w="9980" w:type="dxa"/>
            <w:vAlign w:val="bottom"/>
            <w:gridSpan w:val="22"/>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Form of Amendment 2011-1 to Contract Stock/Restricted Units Agreements between the Company and Mr.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reference to Exhibit 10.5 to the Company’s Quarterly Report on Form 10-Q for the quarter ended June 30,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10.30</w:t>
            </w:r>
          </w:p>
        </w:tc>
        <w:tc>
          <w:tcPr>
            <w:tcW w:w="9980" w:type="dxa"/>
            <w:vAlign w:val="bottom"/>
            <w:gridSpan w:val="22"/>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Form of Stock Option Grant and Agreement between the Company and Stuart M. Essig (Incorporated by reference to Exhibit 10.32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Company’s Annual Report on Form 10-K for the year ended December 31, 2004)*</w:t>
              </w:r>
            </w:hyperlink>
          </w:p>
        </w:tc>
        <w:tc>
          <w:tcPr>
            <w:tcW w:w="40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10.31(a)</w:t>
            </w:r>
          </w:p>
        </w:tc>
        <w:tc>
          <w:tcPr>
            <w:tcW w:w="9980" w:type="dxa"/>
            <w:vAlign w:val="bottom"/>
            <w:gridSpan w:val="22"/>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Form of Contract Stock/Restricted Units Agreement for Stuart M. Essig (Incorporated by reference to Exhibit 10.8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Quarterly Report on Form 10-Q for the quarter ended June 30,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New Form of Contract Stock/Restricted Units Agreement (for Annual Equity Awards) for Stuart M. Essig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Exhibit 10.28(b) to the Company’s Annual Report on Form 10-K for the year ended December 31, 2010)*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10.31(c)</w:t>
            </w:r>
          </w:p>
        </w:tc>
        <w:tc>
          <w:tcPr>
            <w:tcW w:w="9980" w:type="dxa"/>
            <w:vAlign w:val="bottom"/>
            <w:gridSpan w:val="22"/>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Form of Amendment 2011-1 to Contract Stock/Restricted Units Agreement between the Company and Mr.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reference to Exhibit 10.4 to the Company’s Quarterly Report on Form 10-Q for the quarter ended June 30,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10.32</w:t>
            </w:r>
          </w:p>
        </w:tc>
        <w:tc>
          <w:tcPr>
            <w:tcW w:w="9980" w:type="dxa"/>
            <w:vAlign w:val="bottom"/>
            <w:gridSpan w:val="22"/>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Form of Performance Stock Agreement for Stuart M. Essig (Incorporated by reference to Exhibit 10.9 to the Company’s Quarterly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on Form 10-Q for the quarter ended June 30, 2008)*</w:t>
              </w:r>
            </w:hyperlink>
          </w:p>
        </w:tc>
        <w:tc>
          <w:tcPr>
            <w:tcW w:w="618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10.33</w:t>
            </w:r>
          </w:p>
        </w:tc>
        <w:tc>
          <w:tcPr>
            <w:tcW w:w="9980" w:type="dxa"/>
            <w:vAlign w:val="bottom"/>
            <w:gridSpan w:val="22"/>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Form of Restricted Stock Agreement for Stuart M. Essig for 2009 (Incorporated by reference to Exhibit 10.3 to the Company’s Current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Report on Form 8-K filed April 13, 2009)*</w:t>
              </w:r>
            </w:hyperlink>
          </w:p>
        </w:tc>
        <w:tc>
          <w:tcPr>
            <w:tcW w:w="686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10.34(a)</w:t>
            </w:r>
          </w:p>
        </w:tc>
        <w:tc>
          <w:tcPr>
            <w:tcW w:w="9980" w:type="dxa"/>
            <w:vAlign w:val="bottom"/>
            <w:gridSpan w:val="22"/>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Form of Performance Stock Agreement (Executive Officers) (Incorporated by reference to Exhibit 10.2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on Form 8-K filed on February 25, 2013)*</w:t>
              </w:r>
            </w:hyperlink>
          </w:p>
        </w:tc>
        <w:tc>
          <w:tcPr>
            <w:tcW w:w="690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Form of Performance Stock Agreement (Executive Officers) (Incorporated by reference to Exhibit 10.1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on Form 8-K filed on February 29, 2016)*</w:t>
              </w:r>
            </w:hyperlink>
          </w:p>
        </w:tc>
        <w:tc>
          <w:tcPr>
            <w:tcW w:w="69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10.34(c)</w:t>
            </w:r>
          </w:p>
        </w:tc>
        <w:tc>
          <w:tcPr>
            <w:tcW w:w="9980" w:type="dxa"/>
            <w:vAlign w:val="bottom"/>
            <w:gridSpan w:val="22"/>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Form of Performance Stock Agreement for Peter J. Arduini (Incorporated by reference to Exhibit 10.2 to the Company’s Report on Form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8-K filed on February 29, 2016)*</w:t>
              </w:r>
            </w:hyperlink>
          </w:p>
        </w:tc>
        <w:tc>
          <w:tcPr>
            <w:tcW w:w="756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10.34(d)</w:t>
            </w:r>
          </w:p>
        </w:tc>
        <w:tc>
          <w:tcPr>
            <w:tcW w:w="9500" w:type="dxa"/>
            <w:vAlign w:val="bottom"/>
            <w:tcBorders>
              <w:bottom w:val="single" w:sz="8" w:color="0000FF"/>
            </w:tcBorders>
            <w:gridSpan w:val="19"/>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Form of Performance Stock Agreement (Executive Officers) (Incorporated by reference to Exhibit 10.1 to the Company’s Quarterly</w:t>
              </w:r>
            </w:hyperlink>
          </w:p>
        </w:tc>
        <w:tc>
          <w:tcPr>
            <w:tcW w:w="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Report on Form 10-Q for the quarter ended March 31, 2018) *</w:t>
              </w:r>
            </w:hyperlink>
          </w:p>
        </w:tc>
        <w:tc>
          <w:tcPr>
            <w:tcW w:w="5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10.34(e)</w:t>
            </w:r>
          </w:p>
        </w:tc>
        <w:tc>
          <w:tcPr>
            <w:tcW w:w="9980" w:type="dxa"/>
            <w:vAlign w:val="bottom"/>
            <w:gridSpan w:val="22"/>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Form of Performance Stock Agreement for Peter J. Arduini (Incorporated by reference to Exhibit 10.1 to the Company’s Quarterly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on Form 10-Q for the quarter ended March 31, 2018)*</w:t>
              </w:r>
            </w:hyperlink>
          </w:p>
        </w:tc>
        <w:tc>
          <w:tcPr>
            <w:tcW w:w="602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6"/>
              </w:rPr>
            </w:pPr>
            <w:hyperlink r:id="rId135">
              <w:r>
                <w:rPr>
                  <w:rFonts w:ascii="Arial" w:cs="Arial" w:eastAsia="Arial" w:hAnsi="Arial"/>
                  <w:sz w:val="18"/>
                  <w:szCs w:val="18"/>
                  <w:color w:val="0000FF"/>
                  <w:w w:val="96"/>
                </w:rPr>
                <w:t>Performance Incentive Compensation Plan effective January 1, 2013 (Incorporated by reference to Exhibit 10.3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Quarterly Report on Form 10-Q for the quarter ended March 31, 2013)*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10.35(a)</w:t>
            </w:r>
          </w:p>
        </w:tc>
        <w:tc>
          <w:tcPr>
            <w:tcW w:w="9980" w:type="dxa"/>
            <w:vAlign w:val="bottom"/>
            <w:gridSpan w:val="22"/>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First Amendment, dated as of February 15, 2017, to the Performance Incentive Compensation Plan (Incorporated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February 17,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10.35(b)</w:t>
            </w:r>
          </w:p>
        </w:tc>
        <w:tc>
          <w:tcPr>
            <w:tcW w:w="7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80" w:type="dxa"/>
            <w:vAlign w:val="bottom"/>
            <w:vMerge w:val="continue"/>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Current Report on Form 8-K filed on May 25, 2017)</w:t>
              </w:r>
            </w:hyperlink>
          </w:p>
        </w:tc>
        <w:tc>
          <w:tcPr>
            <w:tcW w:w="618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10.36</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New Form of Contract Stock/Restricted Units Agreement pursuant to 2003 Equity Incentive Plan (for 2011) Annual Equity Award for</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Stuart M. Essig) (Incorporated by reference to Exhibit 10.3 to the Company’s Quarterly Report on Form 10-Q for the quarter ended June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30, 2011)*</w:t>
              </w:r>
            </w:hyperlink>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10.37</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6"/>
              </w:rPr>
            </w:pPr>
            <w:hyperlink r:id="rId139">
              <w:r>
                <w:rPr>
                  <w:rFonts w:ascii="Arial" w:cs="Arial" w:eastAsia="Arial" w:hAnsi="Arial"/>
                  <w:sz w:val="18"/>
                  <w:szCs w:val="18"/>
                  <w:color w:val="0000FF"/>
                  <w:w w:val="96"/>
                </w:rPr>
                <w:t>Form of Notice of Grant of Stock Option and Stock Option Agreement (Incorporated by reference to Exhibit 10.1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8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Current Report on Form 8-K filed on July 29, 2005)*</w:t>
              </w:r>
            </w:hyperlink>
          </w:p>
        </w:tc>
        <w:tc>
          <w:tcPr>
            <w:tcW w:w="61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10.38</w:t>
            </w:r>
          </w:p>
        </w:tc>
        <w:tc>
          <w:tcPr>
            <w:tcW w:w="9980" w:type="dxa"/>
            <w:vAlign w:val="bottom"/>
            <w:gridSpan w:val="22"/>
          </w:tcPr>
          <w:p>
            <w:pPr>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Form of Non-Qualified Stock Option Agreement (Non-Directors) (Incorporated by reference to Exhibit 10.35 to the Company’s Annual</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Report on Form 10-K for the year ended December 31, 2004)*</w:t>
              </w:r>
            </w:hyperlink>
          </w:p>
        </w:tc>
        <w:tc>
          <w:tcPr>
            <w:tcW w:w="544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10.39</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Incentive Stock Option Agreement (Incorporated by reference to Exhibit 10.36 to the Company’s Annual Report on Form 10-K</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for the year ended December 31, 2004)*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9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10.40</w:t>
            </w:r>
          </w:p>
        </w:tc>
        <w:tc>
          <w:tcPr>
            <w:tcW w:w="9980" w:type="dxa"/>
            <w:vAlign w:val="bottom"/>
            <w:gridSpan w:val="22"/>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Form of Non-Qualified Stock Option Agreement (Directors) (Incorporated by reference to Exhibit 10.37 to the Company’s Annual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on Form 10-K for the year ended December 31, 2004)*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59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10.41</w:t>
            </w:r>
          </w:p>
        </w:tc>
        <w:tc>
          <w:tcPr>
            <w:tcW w:w="9980" w:type="dxa"/>
            <w:vAlign w:val="bottom"/>
            <w:gridSpan w:val="22"/>
          </w:tcPr>
          <w:p>
            <w:pPr>
              <w:spacing w:after="0"/>
              <w:rPr>
                <w:rFonts w:ascii="Arial" w:cs="Arial" w:eastAsia="Arial" w:hAnsi="Arial"/>
                <w:sz w:val="18"/>
                <w:szCs w:val="18"/>
                <w:color w:val="0000FF"/>
                <w:w w:val="93"/>
              </w:rPr>
            </w:pPr>
            <w:hyperlink r:id="rId143">
              <w:r>
                <w:rPr>
                  <w:rFonts w:ascii="Arial" w:cs="Arial" w:eastAsia="Arial" w:hAnsi="Arial"/>
                  <w:sz w:val="18"/>
                  <w:szCs w:val="18"/>
                  <w:color w:val="0000FF"/>
                  <w:w w:val="93"/>
                </w:rPr>
                <w:t>Form of Stock Option Agreement (Executive Officers) (Incorporated by reference to Exhibit 10.1 to the Company’s Quarterly Report 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Form 10-Q for the quarter ended March 31,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80" w:top="513" w:right="25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10.42</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Form of Stock Option Agreement for Glenn Coleman (Incorporated by reference to Exhibit 10.2 to the Company’s Quarterly Report on</w:t>
              </w:r>
            </w:hyperlink>
          </w:p>
        </w:tc>
      </w:tr>
      <w:tr>
        <w:trPr>
          <w:trHeight w:val="196"/>
        </w:trPr>
        <w:tc>
          <w:tcPr>
            <w:tcW w:w="1380" w:type="dxa"/>
            <w:vAlign w:val="bottom"/>
          </w:tcPr>
          <w:p>
            <w:pPr>
              <w:spacing w:after="0"/>
              <w:rPr>
                <w:sz w:val="17"/>
                <w:szCs w:val="17"/>
                <w:color w:val="auto"/>
              </w:rPr>
            </w:pPr>
          </w:p>
        </w:tc>
        <w:tc>
          <w:tcPr>
            <w:tcW w:w="37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Form 10-Q for the quarter ended March 31, 2015)*</w:t>
              </w:r>
            </w:hyperlink>
          </w:p>
        </w:tc>
        <w:tc>
          <w:tcPr>
            <w:tcW w:w="6280" w:type="dxa"/>
            <w:vAlign w:val="bottom"/>
            <w:gridSpan w:val="1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10.43(a)</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Agreement and General Release by and between Robert Paltridge and Integra LifeSciences Corporation (Incorporated by reference to</w:t>
              </w:r>
            </w:hyperlink>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Exhibit 10.3 to the Company’s Quarterly Report on Form 10-Q for the quarter ended March 31, 2015)*</w:t>
              </w:r>
            </w:hyperlink>
          </w:p>
        </w:tc>
        <w:tc>
          <w:tcPr>
            <w:tcW w:w="2540" w:type="dxa"/>
            <w:vAlign w:val="bottom"/>
            <w:gridSpan w:val="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10.43(b)</w:t>
            </w:r>
          </w:p>
        </w:tc>
        <w:tc>
          <w:tcPr>
            <w:tcW w:w="9980" w:type="dxa"/>
            <w:vAlign w:val="bottom"/>
            <w:gridSpan w:val="21"/>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Agreement and General Release by and between Richard D. Gorelick and Integra LifeSciences Corporation</w:t>
              </w:r>
            </w:hyperlink>
          </w:p>
        </w:tc>
      </w:tr>
      <w:tr>
        <w:trPr>
          <w:trHeight w:val="20"/>
        </w:trPr>
        <w:tc>
          <w:tcPr>
            <w:tcW w:w="13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10.44(c)</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Form of Change in Control Severance Agreement (Incorporated by reference to Exhibit 10.1 to the Company’s Current Report on Form 8-</w:t>
              </w:r>
            </w:hyperlink>
          </w:p>
        </w:tc>
      </w:tr>
      <w:tr>
        <w:trPr>
          <w:trHeight w:val="196"/>
        </w:trPr>
        <w:tc>
          <w:tcPr>
            <w:tcW w:w="138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K filed on February 3, 2016)*</w:t>
              </w:r>
            </w:hyperlink>
          </w:p>
        </w:tc>
        <w:tc>
          <w:tcPr>
            <w:tcW w:w="7820" w:type="dxa"/>
            <w:vAlign w:val="bottom"/>
            <w:gridSpan w:val="19"/>
          </w:tcPr>
          <w:p>
            <w:pPr>
              <w:spacing w:after="0"/>
              <w:rPr>
                <w:sz w:val="17"/>
                <w:szCs w:val="17"/>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10.44(d)</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Form of Change in Control Severance Agreement (Incorporated by reference to Exhibit 10.1 to the Company's Current Report on Form 8-</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K filed on February 3, 2017)</w:t>
              </w:r>
            </w:hyperlink>
          </w:p>
        </w:tc>
      </w:tr>
      <w:tr>
        <w:trPr>
          <w:trHeight w:val="20"/>
        </w:trPr>
        <w:tc>
          <w:tcPr>
            <w:tcW w:w="13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10.44(e)</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Form of Change in Control Severance Agreement (Incorporated by reference to Exhibit 10.1 to the Company's Current Report on Form 8-</w:t>
              </w:r>
            </w:hyperlink>
          </w:p>
        </w:tc>
      </w:tr>
      <w:tr>
        <w:trPr>
          <w:trHeight w:val="196"/>
        </w:trPr>
        <w:tc>
          <w:tcPr>
            <w:tcW w:w="138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K filed on February 2, 2018)*</w:t>
              </w:r>
            </w:hyperlink>
          </w:p>
        </w:tc>
        <w:tc>
          <w:tcPr>
            <w:tcW w:w="7820" w:type="dxa"/>
            <w:vAlign w:val="bottom"/>
            <w:gridSpan w:val="1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10.45(a)</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Compensation of Directors of the Company effective May 17, 2011 (Incorporated by reference to Exhibit 10.1 to the Company’s Current</w:t>
              </w:r>
            </w:hyperlink>
          </w:p>
        </w:tc>
      </w:tr>
      <w:tr>
        <w:trPr>
          <w:trHeight w:val="196"/>
        </w:trPr>
        <w:tc>
          <w:tcPr>
            <w:tcW w:w="1380" w:type="dxa"/>
            <w:vAlign w:val="bottom"/>
          </w:tcPr>
          <w:p>
            <w:pPr>
              <w:spacing w:after="0"/>
              <w:rPr>
                <w:sz w:val="17"/>
                <w:szCs w:val="17"/>
                <w:color w:val="auto"/>
              </w:rPr>
            </w:pPr>
          </w:p>
        </w:tc>
        <w:tc>
          <w:tcPr>
            <w:tcW w:w="36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Report on Form 8-K filed on December 16, 2010)*</w:t>
              </w:r>
            </w:hyperlink>
          </w:p>
        </w:tc>
        <w:tc>
          <w:tcPr>
            <w:tcW w:w="6300" w:type="dxa"/>
            <w:vAlign w:val="bottom"/>
            <w:gridSpan w:val="1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10.45(b)</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50">
              <w:r>
                <w:rPr>
                  <w:rFonts w:ascii="Arial" w:cs="Arial" w:eastAsia="Arial" w:hAnsi="Arial"/>
                  <w:sz w:val="18"/>
                  <w:szCs w:val="18"/>
                  <w:color w:val="0000FF"/>
                  <w:w w:val="95"/>
                </w:rPr>
                <w:t>Compensation of Non-Employee Directors of the Company effective May 17, 2012 (Incorporated by reference to Exhibit 10.1 to the</w:t>
              </w:r>
            </w:hyperlink>
          </w:p>
        </w:tc>
      </w:tr>
      <w:tr>
        <w:trPr>
          <w:trHeight w:val="196"/>
        </w:trPr>
        <w:tc>
          <w:tcPr>
            <w:tcW w:w="1380" w:type="dxa"/>
            <w:vAlign w:val="bottom"/>
          </w:tcPr>
          <w:p>
            <w:pPr>
              <w:spacing w:after="0"/>
              <w:rPr>
                <w:sz w:val="17"/>
                <w:szCs w:val="17"/>
                <w:color w:val="auto"/>
              </w:rPr>
            </w:pPr>
          </w:p>
        </w:tc>
        <w:tc>
          <w:tcPr>
            <w:tcW w:w="478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Company’s Current Report on Form 8-K filed on April 13, 2012)*</w:t>
              </w:r>
            </w:hyperlink>
          </w:p>
        </w:tc>
        <w:tc>
          <w:tcPr>
            <w:tcW w:w="520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10.45(c)</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Compensation of Non-Employee Directors of the Company effective May 22, 2013 (Incorporated by reference to Exhibit 10.1 to the</w:t>
              </w:r>
            </w:hyperlink>
          </w:p>
        </w:tc>
      </w:tr>
      <w:tr>
        <w:trPr>
          <w:trHeight w:val="196"/>
        </w:trPr>
        <w:tc>
          <w:tcPr>
            <w:tcW w:w="1380" w:type="dxa"/>
            <w:vAlign w:val="bottom"/>
          </w:tcPr>
          <w:p>
            <w:pPr>
              <w:spacing w:after="0"/>
              <w:rPr>
                <w:sz w:val="17"/>
                <w:szCs w:val="17"/>
                <w:color w:val="auto"/>
              </w:rPr>
            </w:pPr>
          </w:p>
        </w:tc>
        <w:tc>
          <w:tcPr>
            <w:tcW w:w="51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Company’s Current Report on Form 8-K filed on December 14, 2012)*</w:t>
              </w:r>
            </w:hyperlink>
          </w:p>
        </w:tc>
        <w:tc>
          <w:tcPr>
            <w:tcW w:w="484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10.45(d)</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Compensation of Non-Employee Directors of the Company effective July 24, 2013 (Incorporated by reference to Exhibit 10.1 to the</w:t>
              </w:r>
            </w:hyperlink>
          </w:p>
        </w:tc>
      </w:tr>
      <w:tr>
        <w:trPr>
          <w:trHeight w:val="196"/>
        </w:trPr>
        <w:tc>
          <w:tcPr>
            <w:tcW w:w="1380" w:type="dxa"/>
            <w:vAlign w:val="bottom"/>
          </w:tcPr>
          <w:p>
            <w:pPr>
              <w:spacing w:after="0"/>
              <w:rPr>
                <w:sz w:val="17"/>
                <w:szCs w:val="17"/>
                <w:color w:val="auto"/>
              </w:rPr>
            </w:pPr>
          </w:p>
        </w:tc>
        <w:tc>
          <w:tcPr>
            <w:tcW w:w="47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Company’s Current Report on Form 8-K filed on July 29, 2013)*</w:t>
              </w:r>
            </w:hyperlink>
          </w:p>
        </w:tc>
        <w:tc>
          <w:tcPr>
            <w:tcW w:w="528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10.45(e)</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53">
              <w:r>
                <w:rPr>
                  <w:rFonts w:ascii="Arial" w:cs="Arial" w:eastAsia="Arial" w:hAnsi="Arial"/>
                  <w:sz w:val="18"/>
                  <w:szCs w:val="18"/>
                  <w:color w:val="0000FF"/>
                  <w:w w:val="95"/>
                </w:rPr>
                <w:t>Compensation of Non-Employee Directors of the Company effective May 22, 2015 (Incorporated by reference to Exhibit 10.1 to the</w:t>
              </w:r>
            </w:hyperlink>
          </w:p>
        </w:tc>
      </w:tr>
      <w:tr>
        <w:trPr>
          <w:trHeight w:val="196"/>
        </w:trPr>
        <w:tc>
          <w:tcPr>
            <w:tcW w:w="1380" w:type="dxa"/>
            <w:vAlign w:val="bottom"/>
          </w:tcPr>
          <w:p>
            <w:pPr>
              <w:spacing w:after="0"/>
              <w:rPr>
                <w:sz w:val="17"/>
                <w:szCs w:val="17"/>
                <w:color w:val="auto"/>
              </w:rPr>
            </w:pPr>
          </w:p>
        </w:tc>
        <w:tc>
          <w:tcPr>
            <w:tcW w:w="51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Company's Current Report on Form 8-K filed on December 18, 2014)*</w:t>
              </w:r>
            </w:hyperlink>
          </w:p>
        </w:tc>
        <w:tc>
          <w:tcPr>
            <w:tcW w:w="486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10.45(f)</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Compensation of Non-Employee Directors of the Company effective May 24, 2016 (Incorporated by reference to Exhibit 10.1 to the</w:t>
              </w:r>
            </w:hyperlink>
          </w:p>
        </w:tc>
      </w:tr>
      <w:tr>
        <w:trPr>
          <w:trHeight w:val="196"/>
        </w:trPr>
        <w:tc>
          <w:tcPr>
            <w:tcW w:w="1380" w:type="dxa"/>
            <w:vAlign w:val="bottom"/>
          </w:tcPr>
          <w:p>
            <w:pPr>
              <w:spacing w:after="0"/>
              <w:rPr>
                <w:sz w:val="17"/>
                <w:szCs w:val="17"/>
                <w:color w:val="auto"/>
              </w:rPr>
            </w:pPr>
          </w:p>
        </w:tc>
        <w:tc>
          <w:tcPr>
            <w:tcW w:w="51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Company’s Current Report on Form 8-K filed on December 17, 2015)*</w:t>
              </w:r>
            </w:hyperlink>
          </w:p>
        </w:tc>
        <w:tc>
          <w:tcPr>
            <w:tcW w:w="484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10.46(a)</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Form of Restricted Stock Agreement for Non-Employee Directors under the 2003 Equity Incentive Plan (Incorporated by reference to</w:t>
              </w:r>
            </w:hyperlink>
          </w:p>
        </w:tc>
      </w:tr>
      <w:tr>
        <w:trPr>
          <w:trHeight w:val="196"/>
        </w:trPr>
        <w:tc>
          <w:tcPr>
            <w:tcW w:w="1380" w:type="dxa"/>
            <w:vAlign w:val="bottom"/>
          </w:tcPr>
          <w:p>
            <w:pPr>
              <w:spacing w:after="0"/>
              <w:rPr>
                <w:sz w:val="17"/>
                <w:szCs w:val="17"/>
                <w:color w:val="auto"/>
              </w:rPr>
            </w:pPr>
          </w:p>
        </w:tc>
        <w:tc>
          <w:tcPr>
            <w:tcW w:w="73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Exhibit 10.4 to the Company’s Quarterly Report on Form 10-Q for the quarter ended June 30, 2012)*</w:t>
              </w:r>
            </w:hyperlink>
          </w:p>
        </w:tc>
        <w:tc>
          <w:tcPr>
            <w:tcW w:w="268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10.46(b)</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New Form of Restricted Stock Agreement for Non-Employee Directors under the 2003 Equity Incentive Plan (Incorporated by reference</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to Exhibit 10.38(b) to the Company’s Annual Report on Form 10-K for the year ended December 31, 2012)*</w:t>
              </w:r>
            </w:hyperlink>
          </w:p>
        </w:tc>
      </w:tr>
      <w:tr>
        <w:trPr>
          <w:trHeight w:val="20"/>
        </w:trPr>
        <w:tc>
          <w:tcPr>
            <w:tcW w:w="138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10.46(c)</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Form of Restricted Stock Agreement for Executive Officers - Annual Vesting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Current Report on Form 8-K filed on February 25, 2009)*</w:t>
              </w:r>
            </w:hyperlink>
          </w:p>
        </w:tc>
      </w:tr>
      <w:tr>
        <w:trPr>
          <w:trHeight w:val="20"/>
        </w:trPr>
        <w:tc>
          <w:tcPr>
            <w:tcW w:w="138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10.46(d)</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Form of Restricted Stock Agreement for Executive Officers - Annual Vesting (Incorporated by reference to Exhibit 10.5 to the Company’s</w:t>
              </w:r>
            </w:hyperlink>
          </w:p>
        </w:tc>
      </w:tr>
      <w:tr>
        <w:trPr>
          <w:trHeight w:val="196"/>
        </w:trPr>
        <w:tc>
          <w:tcPr>
            <w:tcW w:w="1380" w:type="dxa"/>
            <w:vAlign w:val="bottom"/>
          </w:tcPr>
          <w:p>
            <w:pPr>
              <w:spacing w:after="0"/>
              <w:rPr>
                <w:sz w:val="17"/>
                <w:szCs w:val="17"/>
                <w:color w:val="auto"/>
              </w:rPr>
            </w:pPr>
          </w:p>
        </w:tc>
        <w:tc>
          <w:tcPr>
            <w:tcW w:w="50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Quarterly Report on Form 10-Q for the quarter ended June 30, 2012)*</w:t>
              </w:r>
            </w:hyperlink>
          </w:p>
        </w:tc>
        <w:tc>
          <w:tcPr>
            <w:tcW w:w="492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10.46(e)</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New Form of Restricted Stock Agreement for Executive Officers - Annual Vesting (Incorporated by reference to Exhibit 10.38(e)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10.46(f)</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Form of Restricted Stock Agreement for Executive Officers - Cliff Vesting (Incorporated by reference to Exhibit 10.8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Quarter Report on Form 10-Q for the quarter ended March 31, 2009)*</w:t>
              </w:r>
            </w:hyperlink>
          </w:p>
        </w:tc>
      </w:tr>
      <w:tr>
        <w:trPr>
          <w:trHeight w:val="20"/>
        </w:trPr>
        <w:tc>
          <w:tcPr>
            <w:tcW w:w="138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10.46(g)</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Form of Restricted Stock Agreement for Executive Officers - Cliff Vesting (Incorporated by reference to Exhibit 10.6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quarterly report on Form 10-Q for the quarter ended June 30, 2012)*</w:t>
              </w:r>
            </w:hyperlink>
          </w:p>
        </w:tc>
      </w:tr>
      <w:tr>
        <w:trPr>
          <w:trHeight w:val="20"/>
        </w:trPr>
        <w:tc>
          <w:tcPr>
            <w:tcW w:w="138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10.46(h)</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New Form of Restricted Stock Agreement for Executive Officers - Cliff Vesting (Incorporated by reference to Exhibit 10.38(h)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10.46(i)</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Form of Restricted Stock Agreement for Mr. Henneman for 2008 and 2009 (Incorporated by reference to Exhibit 10.6 to the Company’s</w:t>
              </w:r>
            </w:hyperlink>
          </w:p>
        </w:tc>
      </w:tr>
      <w:tr>
        <w:trPr>
          <w:trHeight w:val="196"/>
        </w:trPr>
        <w:tc>
          <w:tcPr>
            <w:tcW w:w="1380" w:type="dxa"/>
            <w:vAlign w:val="bottom"/>
          </w:tcPr>
          <w:p>
            <w:pPr>
              <w:spacing w:after="0"/>
              <w:rPr>
                <w:sz w:val="17"/>
                <w:szCs w:val="17"/>
                <w:color w:val="auto"/>
              </w:rPr>
            </w:pPr>
          </w:p>
        </w:tc>
        <w:tc>
          <w:tcPr>
            <w:tcW w:w="392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Current Report on Form 8-K filed on April 13, 2009)*</w:t>
              </w:r>
            </w:hyperlink>
          </w:p>
        </w:tc>
        <w:tc>
          <w:tcPr>
            <w:tcW w:w="606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10.46(j)</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Form of Contract Stock/Restricted Units Agreement pursuant to 2003 Equity Incentive Plan for Mr. Henneman (Incorporated by reference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to Exhibit 10.4 to the Company’s Current Report on Form 8-K filed on December 24, 2008)*</w:t>
              </w:r>
            </w:hyperlink>
          </w:p>
        </w:tc>
      </w:tr>
      <w:tr>
        <w:trPr>
          <w:trHeight w:val="20"/>
        </w:trPr>
        <w:tc>
          <w:tcPr>
            <w:tcW w:w="13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80" w:top="513"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10.46(k)</w:t>
            </w:r>
          </w:p>
        </w:tc>
        <w:tc>
          <w:tcPr>
            <w:tcW w:w="9980" w:type="dxa"/>
            <w:vAlign w:val="bottom"/>
            <w:gridSpan w:val="18"/>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Form of Option Agreement for John B. Henneman, III (Incorporated by reference to Exhibit 10.1 to the Company’s Current Report on</w:t>
              </w:r>
            </w:hyperlink>
          </w:p>
        </w:tc>
      </w:tr>
      <w:tr>
        <w:trPr>
          <w:trHeight w:val="196"/>
        </w:trPr>
        <w:tc>
          <w:tcPr>
            <w:tcW w:w="138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Form 8-K filed on June 6, 2008)*</w:t>
              </w:r>
            </w:hyperlink>
          </w:p>
        </w:tc>
        <w:tc>
          <w:tcPr>
            <w:tcW w:w="754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10.46(l)</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6"/>
              </w:rPr>
            </w:pPr>
            <w:hyperlink r:id="rId166">
              <w:r>
                <w:rPr>
                  <w:rFonts w:ascii="Arial" w:cs="Arial" w:eastAsia="Arial" w:hAnsi="Arial"/>
                  <w:sz w:val="18"/>
                  <w:szCs w:val="18"/>
                  <w:color w:val="0000FF"/>
                  <w:w w:val="96"/>
                </w:rPr>
                <w:t>Form of Performance Stock Agreement for John B. Henneman, III (Incorporated by reference to Exhibit 10.37(b) to the Company’s</w:t>
              </w:r>
            </w:hyperlink>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Annual Report on Form 10-K for the year ended December 31, 2007)*</w:t>
              </w:r>
            </w:hyperlink>
          </w:p>
        </w:tc>
        <w:tc>
          <w:tcPr>
            <w:tcW w:w="488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10.46(m)</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3"/>
              </w:rPr>
            </w:pPr>
            <w:hyperlink r:id="rId167">
              <w:r>
                <w:rPr>
                  <w:rFonts w:ascii="Arial" w:cs="Arial" w:eastAsia="Arial" w:hAnsi="Arial"/>
                  <w:sz w:val="18"/>
                  <w:szCs w:val="18"/>
                  <w:color w:val="0000FF"/>
                  <w:w w:val="93"/>
                </w:rPr>
                <w:t>Form of Contract Stock/Restricted Units Agreement (for Signing Grant) for Mr. Arduini (Incorporated by reference to Exhibit 10.4 to the</w:t>
              </w:r>
            </w:hyperlink>
          </w:p>
        </w:tc>
      </w:tr>
      <w:tr>
        <w:trPr>
          <w:trHeight w:val="196"/>
        </w:trPr>
        <w:tc>
          <w:tcPr>
            <w:tcW w:w="1380" w:type="dxa"/>
            <w:vAlign w:val="bottom"/>
          </w:tcPr>
          <w:p>
            <w:pPr>
              <w:spacing w:after="0"/>
              <w:rPr>
                <w:sz w:val="17"/>
                <w:szCs w:val="17"/>
                <w:color w:val="auto"/>
              </w:rPr>
            </w:pPr>
          </w:p>
        </w:tc>
        <w:tc>
          <w:tcPr>
            <w:tcW w:w="4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Company’s Current Report on Form 8-K filed on October 12, 2010)*</w:t>
              </w:r>
            </w:hyperlink>
          </w:p>
        </w:tc>
        <w:tc>
          <w:tcPr>
            <w:tcW w:w="500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10.46(n)</w:t>
            </w:r>
          </w:p>
        </w:tc>
        <w:tc>
          <w:tcPr>
            <w:tcW w:w="9960" w:type="dxa"/>
            <w:vAlign w:val="bottom"/>
            <w:tcBorders>
              <w:bottom w:val="single" w:sz="8" w:color="0000FF"/>
            </w:tcBorders>
            <w:gridSpan w:val="17"/>
          </w:tcPr>
          <w:p>
            <w:pPr>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Form of Contract Stock/Restricted Units Agreement (for Annual Equity Awards) for Mr. Arduini (Incorporated by reference to Exhibit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Company’s Current Report on Form 8-K filed on October 12, 2010)*</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10.46(o)</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5"/>
              </w:rPr>
            </w:pPr>
            <w:hyperlink r:id="rId169">
              <w:r>
                <w:rPr>
                  <w:rFonts w:ascii="Arial" w:cs="Arial" w:eastAsia="Arial" w:hAnsi="Arial"/>
                  <w:sz w:val="18"/>
                  <w:szCs w:val="18"/>
                  <w:color w:val="0000FF"/>
                  <w:w w:val="95"/>
                </w:rPr>
                <w:t>Form of Non-Qualified Stock Option Agreement for Mr. Arduini (Incorporated by reference to Exhibit 10.6 to the Company’s Current</w:t>
              </w:r>
            </w:hyperlink>
          </w:p>
        </w:tc>
      </w:tr>
      <w:tr>
        <w:trPr>
          <w:trHeight w:val="196"/>
        </w:trPr>
        <w:tc>
          <w:tcPr>
            <w:tcW w:w="1380" w:type="dxa"/>
            <w:vAlign w:val="bottom"/>
          </w:tcPr>
          <w:p>
            <w:pPr>
              <w:spacing w:after="0"/>
              <w:rPr>
                <w:sz w:val="17"/>
                <w:szCs w:val="17"/>
                <w:color w:val="auto"/>
              </w:rPr>
            </w:pPr>
          </w:p>
        </w:tc>
        <w:tc>
          <w:tcPr>
            <w:tcW w:w="35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Report on Form 8-K filed on October 12, 2010)*</w:t>
              </w:r>
            </w:hyperlink>
          </w:p>
        </w:tc>
        <w:tc>
          <w:tcPr>
            <w:tcW w:w="646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10.46(p)</w:t>
            </w:r>
          </w:p>
        </w:tc>
        <w:tc>
          <w:tcPr>
            <w:tcW w:w="9980" w:type="dxa"/>
            <w:vAlign w:val="bottom"/>
            <w:gridSpan w:val="18"/>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Form of Restricted Stock Agreement for Mr. Henneman (Incorporated by reference to Exhibit 10.7 to the Company’s Current Report on</w:t>
              </w:r>
            </w:hyperlink>
          </w:p>
        </w:tc>
      </w:tr>
      <w:tr>
        <w:trPr>
          <w:trHeight w:val="196"/>
        </w:trPr>
        <w:tc>
          <w:tcPr>
            <w:tcW w:w="13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Form 8-K filed on October 12, 2010)*</w:t>
              </w:r>
            </w:hyperlink>
          </w:p>
        </w:tc>
        <w:tc>
          <w:tcPr>
            <w:tcW w:w="720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10.46(q)</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Form of Restricted Stock Agreement (Annual Vesting) for Mr. Henneman (Incorporated by reference to Exhibit 10.39(n) to the</w:t>
              </w:r>
            </w:hyperlink>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Company’s Annual Report on Form 10-K for the year ended December 31, 2011)*</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10.47(a)</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Coleman Promotion Summary, effective December 1, 2016 (Incorporated by reference to Exhibit 10.1 to the Company’s Current Report</w:t>
              </w:r>
            </w:hyperlink>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on Form 8-K filed on December 5, 2016)*</w:t>
              </w:r>
            </w:hyperlink>
          </w:p>
        </w:tc>
        <w:tc>
          <w:tcPr>
            <w:tcW w:w="692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10.47(b)</w:t>
            </w:r>
          </w:p>
        </w:tc>
        <w:tc>
          <w:tcPr>
            <w:tcW w:w="9980" w:type="dxa"/>
            <w:vAlign w:val="bottom"/>
            <w:gridSpan w:val="18"/>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Davis Promotion Summary, effective December 1, 2016 (Incorporated by reference to Exhibit 10.2 to the Company’s Current Report 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Form 8-K filed on December 5, 2016)*</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10.48</w:t>
            </w:r>
          </w:p>
        </w:tc>
        <w:tc>
          <w:tcPr>
            <w:tcW w:w="9980" w:type="dxa"/>
            <w:vAlign w:val="bottom"/>
            <w:gridSpan w:val="18"/>
          </w:tcPr>
          <w:p>
            <w:pPr>
              <w:spacing w:after="0"/>
              <w:rPr>
                <w:rFonts w:ascii="Arial" w:cs="Arial" w:eastAsia="Arial" w:hAnsi="Arial"/>
                <w:sz w:val="18"/>
                <w:szCs w:val="18"/>
                <w:color w:val="0000FF"/>
                <w:w w:val="92"/>
              </w:rPr>
            </w:pPr>
            <w:hyperlink r:id="rId174">
              <w:r>
                <w:rPr>
                  <w:rFonts w:ascii="Arial" w:cs="Arial" w:eastAsia="Arial" w:hAnsi="Arial"/>
                  <w:sz w:val="18"/>
                  <w:szCs w:val="18"/>
                  <w:color w:val="0000FF"/>
                  <w:w w:val="92"/>
                </w:rPr>
                <w:t>Annual Executive Physical Medical Exam Arrangement (Incorporated by reference to the Exhibit 10.2 to the Company’s Current Report</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on Form 8-K filed on July 29,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10.49</w:t>
            </w:r>
          </w:p>
        </w:tc>
        <w:tc>
          <w:tcPr>
            <w:tcW w:w="9980" w:type="dxa"/>
            <w:vAlign w:val="bottom"/>
            <w:gridSpan w:val="18"/>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Reimbursement of Legal Fees Arrangement for CFO (Incorporated by reference to Exhibit 10.3 to the Company’s Current Report on</w:t>
              </w:r>
            </w:hyperlink>
          </w:p>
        </w:tc>
      </w:tr>
      <w:tr>
        <w:trPr>
          <w:trHeight w:val="196"/>
        </w:trPr>
        <w:tc>
          <w:tcPr>
            <w:tcW w:w="138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Form 8-K filed on July 29, 2013)*</w:t>
              </w:r>
            </w:hyperlink>
          </w:p>
        </w:tc>
        <w:tc>
          <w:tcPr>
            <w:tcW w:w="748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10.50</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Amended and Restated Management Incentive Compensation Plan, as of January 1, 2008 (Incorporated by reference to Exhibit 10.43(c)</w:t>
              </w:r>
            </w:hyperlink>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to the Company’s Annual Report on Form 10-K for the year ended December 31, 2007)*</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720" w:type="dxa"/>
            <w:vAlign w:val="bottom"/>
            <w:gridSpan w:val="1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Form of 2010 Convertible Bond Hedge Transaction Confirmation, dated June 6, 2007, between Integra LifeSciences Holdings</w:t>
              </w:r>
            </w:hyperlink>
          </w:p>
        </w:tc>
      </w:tr>
      <w:tr>
        <w:trPr>
          <w:trHeight w:val="196"/>
        </w:trPr>
        <w:tc>
          <w:tcPr>
            <w:tcW w:w="138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Corporation and dealer (Incorporated by reference to Exhibit 10.1 to the Company’s Current Report on Form 8-K filed on June 12, 2007)</w:t>
              </w:r>
            </w:hyperlink>
          </w:p>
        </w:tc>
        <w:tc>
          <w:tcPr>
            <w:tcW w:w="1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Form of 2012 Convertible Bond Hedge Transaction Confirmation, dated June 6, 2007, between Integra LifeSciences Holdings</w:t>
              </w:r>
            </w:hyperlink>
          </w:p>
        </w:tc>
      </w:tr>
      <w:tr>
        <w:trPr>
          <w:trHeight w:val="196"/>
        </w:trPr>
        <w:tc>
          <w:tcPr>
            <w:tcW w:w="138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Corporation and dealer (Incorporated by reference to Exhibit 10.2 to the Company’s Current Report on Form 8-K filed on June 12, 2007)</w:t>
              </w:r>
            </w:hyperlink>
          </w:p>
        </w:tc>
        <w:tc>
          <w:tcPr>
            <w:tcW w:w="1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10.53</w:t>
            </w:r>
          </w:p>
        </w:tc>
        <w:tc>
          <w:tcPr>
            <w:tcW w:w="9980" w:type="dxa"/>
            <w:vAlign w:val="bottom"/>
            <w:gridSpan w:val="18"/>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Form of 2010 Amended and Restated Issuer Warrant Transaction Confirmation, dated June 6, 2007, between Integra LifeSciences</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900" w:type="dxa"/>
            <w:vAlign w:val="bottom"/>
            <w:gridSpan w:val="1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Holdings Corporation and dealer (Incorporated by reference to Exhibit 10.3 to the Company’s Current Report on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178">
              <w:r>
                <w:rPr>
                  <w:rFonts w:ascii="Arial" w:cs="Arial" w:eastAsia="Arial" w:hAnsi="Arial"/>
                  <w:sz w:val="18"/>
                  <w:szCs w:val="18"/>
                  <w:color w:val="0000FF"/>
                  <w:w w:val="86"/>
                </w:rPr>
                <w:t>12, 2007)</w:t>
              </w:r>
            </w:hyperlink>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10.54</w:t>
            </w:r>
          </w:p>
        </w:tc>
        <w:tc>
          <w:tcPr>
            <w:tcW w:w="9980" w:type="dxa"/>
            <w:vAlign w:val="bottom"/>
            <w:gridSpan w:val="18"/>
          </w:tcPr>
          <w:p>
            <w:pPr>
              <w:spacing w:after="0"/>
              <w:rPr>
                <w:rFonts w:ascii="Arial" w:cs="Arial" w:eastAsia="Arial" w:hAnsi="Arial"/>
                <w:sz w:val="18"/>
                <w:szCs w:val="18"/>
                <w:color w:val="0000FF"/>
                <w:w w:val="95"/>
              </w:rPr>
            </w:pPr>
            <w:hyperlink r:id="rId179">
              <w:r>
                <w:rPr>
                  <w:rFonts w:ascii="Arial" w:cs="Arial" w:eastAsia="Arial" w:hAnsi="Arial"/>
                  <w:sz w:val="18"/>
                  <w:szCs w:val="18"/>
                  <w:color w:val="0000FF"/>
                  <w:w w:val="95"/>
                </w:rPr>
                <w:t>Form of 2012 Amended and Restated Issuer Warrant Transaction Confirmation, dated June 6, 2007, between Integra LifeSciences</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900" w:type="dxa"/>
            <w:vAlign w:val="bottom"/>
            <w:gridSpan w:val="1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Holdings Corporation and dealer (Incorporated by reference to Exhibit 10.4 to the Company’s Current Report on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179">
              <w:r>
                <w:rPr>
                  <w:rFonts w:ascii="Arial" w:cs="Arial" w:eastAsia="Arial" w:hAnsi="Arial"/>
                  <w:sz w:val="18"/>
                  <w:szCs w:val="18"/>
                  <w:color w:val="0000FF"/>
                  <w:w w:val="86"/>
                </w:rPr>
                <w:t>12, 2007)</w:t>
              </w:r>
            </w:hyperlink>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10.55</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4"/>
              </w:rPr>
            </w:pPr>
            <w:hyperlink r:id="rId180">
              <w:r>
                <w:rPr>
                  <w:rFonts w:ascii="Arial" w:cs="Arial" w:eastAsia="Arial" w:hAnsi="Arial"/>
                  <w:sz w:val="18"/>
                  <w:szCs w:val="18"/>
                  <w:color w:val="0000FF"/>
                  <w:w w:val="94"/>
                </w:rPr>
                <w:t>Letter Agreement, dated June 9,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regarding the Base Call Option Transaction (Incorporated by reference to Exhibit 10.4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80">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10.56</w:t>
            </w:r>
          </w:p>
        </w:tc>
        <w:tc>
          <w:tcPr>
            <w:tcW w:w="9980" w:type="dxa"/>
            <w:vAlign w:val="bottom"/>
            <w:gridSpan w:val="18"/>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Letter Agreement, dated June 9, 2011, between Royal Bank of Canada and Integra LifeSciences Holdings Corporation, regarding the Base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Call Option Transaction (Incorporated by reference to Exhibit 10.8 to the Company’s Form 8-K filed on June 15,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580" w:type="dxa"/>
            <w:vAlign w:val="bottom"/>
            <w:gridSpan w:val="15"/>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w:t>
            </w:r>
          </w:p>
        </w:tc>
        <w:tc>
          <w:tcPr>
            <w:tcW w:w="9980" w:type="dxa"/>
            <w:vAlign w:val="bottom"/>
            <w:gridSpan w:val="18"/>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Letter Agreement, dated June 9, 2011, between The Royal Bank of Scotland plc and Integra LifeSciences Holdings Corporation,</w:t>
              </w:r>
            </w:hyperlink>
          </w:p>
        </w:tc>
      </w:tr>
      <w:tr>
        <w:trPr>
          <w:trHeight w:val="20"/>
        </w:trPr>
        <w:tc>
          <w:tcPr>
            <w:tcW w:w="1380" w:type="dxa"/>
            <w:vAlign w:val="bottom"/>
          </w:tcPr>
          <w:p>
            <w:pPr>
              <w:spacing w:after="0" w:line="20" w:lineRule="exact"/>
              <w:rPr>
                <w:sz w:val="1"/>
                <w:szCs w:val="1"/>
                <w:color w:val="auto"/>
              </w:rPr>
            </w:pPr>
          </w:p>
        </w:tc>
        <w:tc>
          <w:tcPr>
            <w:tcW w:w="9960" w:type="dxa"/>
            <w:vAlign w:val="bottom"/>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regarding the Base Call Option Transaction (Incorporated by reference to Exhibit 10.6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82">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10.58</w:t>
            </w:r>
          </w:p>
        </w:tc>
        <w:tc>
          <w:tcPr>
            <w:tcW w:w="9980" w:type="dxa"/>
            <w:vAlign w:val="bottom"/>
            <w:gridSpan w:val="18"/>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Letter Agreement, dated June 9, 2011, between Wells Fargo Bank, National Association and Integra LifeSciences Holdings Corporation,</w:t>
              </w:r>
            </w:hyperlink>
          </w:p>
        </w:tc>
      </w:tr>
      <w:tr>
        <w:trPr>
          <w:trHeight w:val="20"/>
        </w:trPr>
        <w:tc>
          <w:tcPr>
            <w:tcW w:w="1380" w:type="dxa"/>
            <w:vAlign w:val="bottom"/>
          </w:tcPr>
          <w:p>
            <w:pPr>
              <w:spacing w:after="0" w:line="20" w:lineRule="exact"/>
              <w:rPr>
                <w:sz w:val="1"/>
                <w:szCs w:val="1"/>
                <w:color w:val="auto"/>
              </w:rPr>
            </w:pPr>
          </w:p>
        </w:tc>
        <w:tc>
          <w:tcPr>
            <w:tcW w:w="9960" w:type="dxa"/>
            <w:vAlign w:val="bottom"/>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regarding the Base Call Option Transaction (Incorporated by reference to Exhibit 10.2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83">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80" w:top="513" w:right="25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10.59</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Letter Agreement, dated June 9,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regarding the Base Warrant Transaction (Incorporated by reference to Exhibit 10.3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10.60</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Letter Agreement, dated June 9, 2011, between Royal Bank of Canada and Integra LifeSciences Holdings Corporation, regarding the Base</w:t>
              </w:r>
            </w:hyperlink>
          </w:p>
        </w:tc>
      </w:tr>
      <w:tr>
        <w:trPr>
          <w:trHeight w:val="196"/>
        </w:trPr>
        <w:tc>
          <w:tcPr>
            <w:tcW w:w="1380" w:type="dxa"/>
            <w:vAlign w:val="bottom"/>
          </w:tcPr>
          <w:p>
            <w:pPr>
              <w:spacing w:after="0"/>
              <w:rPr>
                <w:sz w:val="17"/>
                <w:szCs w:val="17"/>
                <w:color w:val="auto"/>
              </w:rPr>
            </w:pPr>
          </w:p>
        </w:tc>
        <w:tc>
          <w:tcPr>
            <w:tcW w:w="8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Warrant Transaction (Incorporated by reference to Exhibit 10.7 to the Company’s Form 8-K filed on June 15, 2011)</w:t>
              </w:r>
            </w:hyperlink>
          </w:p>
        </w:tc>
        <w:tc>
          <w:tcPr>
            <w:tcW w:w="166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10.61</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7"/>
              </w:rPr>
            </w:pPr>
            <w:hyperlink r:id="rId186">
              <w:r>
                <w:rPr>
                  <w:rFonts w:ascii="Arial" w:cs="Arial" w:eastAsia="Arial" w:hAnsi="Arial"/>
                  <w:sz w:val="18"/>
                  <w:szCs w:val="18"/>
                  <w:color w:val="0000FF"/>
                  <w:w w:val="97"/>
                </w:rPr>
                <w:t>Letter Agreement, dated June 9,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regarding the Base Warrant Transaction (Incorporated by reference to Exhibit 10.5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10.62</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Letter Agreement, dated June 9,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regarding the Base Warrant Transaction (Incorporated by reference to Exhibit 10.1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10.63</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Letter Agreement, dated June 14,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regarding the Additional Call Option Transaction (Incorporated by reference to Exhibit 10.9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88">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10.64</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Letter Agreement, dated June 14, 2011, between Royal Bank of Canada and Integra LifeSciences Holdings Corporation, regarding the</w:t>
              </w:r>
            </w:hyperlink>
          </w:p>
        </w:tc>
      </w:tr>
      <w:tr>
        <w:trPr>
          <w:trHeight w:val="196"/>
        </w:trPr>
        <w:tc>
          <w:tcPr>
            <w:tcW w:w="1380" w:type="dxa"/>
            <w:vAlign w:val="bottom"/>
          </w:tcPr>
          <w:p>
            <w:pPr>
              <w:spacing w:after="0"/>
              <w:rPr>
                <w:sz w:val="17"/>
                <w:szCs w:val="17"/>
                <w:color w:val="auto"/>
              </w:rPr>
            </w:pPr>
          </w:p>
        </w:tc>
        <w:tc>
          <w:tcPr>
            <w:tcW w:w="95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Additional Call Option Transaction (Incorporated by reference to Exhibit 10.10 to the Company’s Form 8-K filed on June 15, 2011)</w:t>
              </w:r>
            </w:hyperlink>
          </w:p>
        </w:tc>
        <w:tc>
          <w:tcPr>
            <w:tcW w:w="48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10.65</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6"/>
              </w:rPr>
            </w:pPr>
            <w:hyperlink r:id="rId190">
              <w:r>
                <w:rPr>
                  <w:rFonts w:ascii="Arial" w:cs="Arial" w:eastAsia="Arial" w:hAnsi="Arial"/>
                  <w:sz w:val="18"/>
                  <w:szCs w:val="18"/>
                  <w:color w:val="0000FF"/>
                  <w:w w:val="96"/>
                </w:rPr>
                <w:t>Letter Agreement, dated June 14,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regarding the Additional Call Option Transaction (Incorporated by reference to Exhibit 10.11 to the Company’s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90">
              <w:r>
                <w:rPr>
                  <w:rFonts w:ascii="Arial" w:cs="Arial" w:eastAsia="Arial" w:hAnsi="Arial"/>
                  <w:sz w:val="18"/>
                  <w:szCs w:val="18"/>
                  <w:color w:val="0000FF"/>
                  <w:w w:val="86"/>
                </w:rPr>
                <w:t>15, 2011)</w:t>
              </w:r>
            </w:hyperlink>
          </w:p>
        </w:tc>
        <w:tc>
          <w:tcPr>
            <w:tcW w:w="1880" w:type="dxa"/>
            <w:vAlign w:val="bottom"/>
            <w:tcBorders>
              <w:top w:val="single" w:sz="8" w:color="0000FF"/>
            </w:tcBorders>
          </w:tcPr>
          <w:p>
            <w:pPr>
              <w:spacing w:after="0"/>
              <w:rPr>
                <w:sz w:val="17"/>
                <w:szCs w:val="17"/>
                <w:color w:val="auto"/>
              </w:rPr>
            </w:pPr>
          </w:p>
        </w:tc>
        <w:tc>
          <w:tcPr>
            <w:tcW w:w="42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10.66</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Letter Agreement, dated June 14,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regarding the Additional Call Option Transaction (Incorporated by reference to Exhibit 10.12 to the Company’s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191">
              <w:r>
                <w:rPr>
                  <w:rFonts w:ascii="Arial" w:cs="Arial" w:eastAsia="Arial" w:hAnsi="Arial"/>
                  <w:sz w:val="18"/>
                  <w:szCs w:val="18"/>
                  <w:color w:val="0000FF"/>
                  <w:w w:val="86"/>
                </w:rPr>
                <w:t>15, 2011)</w:t>
              </w:r>
            </w:hyperlink>
          </w:p>
        </w:tc>
        <w:tc>
          <w:tcPr>
            <w:tcW w:w="1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10.67</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Letter Agreement, dated June 14,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92">
              <w:r>
                <w:rPr>
                  <w:rFonts w:ascii="Arial" w:cs="Arial" w:eastAsia="Arial" w:hAnsi="Arial"/>
                  <w:sz w:val="18"/>
                  <w:szCs w:val="18"/>
                  <w:color w:val="0000FF"/>
                  <w:w w:val="93"/>
                </w:rPr>
                <w:t>regarding the Additional Warrant Transaction (Incorporated by reference to Exhibit 10.13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92">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10.68</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93">
              <w:r>
                <w:rPr>
                  <w:rFonts w:ascii="Arial" w:cs="Arial" w:eastAsia="Arial" w:hAnsi="Arial"/>
                  <w:sz w:val="18"/>
                  <w:szCs w:val="18"/>
                  <w:color w:val="0000FF"/>
                  <w:w w:val="93"/>
                </w:rPr>
                <w:t>Letter Agreement, dated June 14, 2011, between Royal Bank of Canada and Integra LifeSciences Holdings Corporation, regarding the</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Additional Warrant Transaction (Incorporated by reference to Exhibit 10.14 to the Company’s Form 8-K filed on June 15, 2011)</w:t>
              </w:r>
            </w:hyperlink>
          </w:p>
        </w:tc>
      </w:tr>
      <w:tr>
        <w:trPr>
          <w:trHeight w:val="20"/>
        </w:trPr>
        <w:tc>
          <w:tcPr>
            <w:tcW w:w="13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10.69</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6"/>
              </w:rPr>
            </w:pPr>
            <w:hyperlink r:id="rId194">
              <w:r>
                <w:rPr>
                  <w:rFonts w:ascii="Arial" w:cs="Arial" w:eastAsia="Arial" w:hAnsi="Arial"/>
                  <w:sz w:val="18"/>
                  <w:szCs w:val="18"/>
                  <w:color w:val="0000FF"/>
                  <w:w w:val="96"/>
                </w:rPr>
                <w:t>Letter Agreement, dated June 14,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regarding the Additional Warrant Transaction (Incorporated by reference to Exhibit 10.15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94">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10.70</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Letter Agreement, dated June 14,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regarding the Additional Warrant Transaction (Incorporated by reference to Exhibit 10.16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95">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10.71</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96">
              <w:r>
                <w:rPr>
                  <w:rFonts w:ascii="Arial" w:cs="Arial" w:eastAsia="Arial" w:hAnsi="Arial"/>
                  <w:sz w:val="18"/>
                  <w:szCs w:val="18"/>
                  <w:color w:val="0000FF"/>
                  <w:w w:val="93"/>
                </w:rPr>
                <w:t>Piggyback Registration Rights Agreement dated December 22, 2008 between Integra LifeSciences Holdings Corporation and George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96">
              <w:r>
                <w:rPr>
                  <w:rFonts w:ascii="Arial" w:cs="Arial" w:eastAsia="Arial" w:hAnsi="Arial"/>
                  <w:sz w:val="18"/>
                  <w:szCs w:val="18"/>
                  <w:color w:val="0000FF"/>
                  <w:w w:val="93"/>
                </w:rPr>
                <w:t>Heenan, Thomas Gilliam and Michael Evers, as trustees of The Bruce A. LeVahn 2008 Trust and Steven M. LeVahn (Incorporated by</w:t>
              </w:r>
            </w:hyperlink>
          </w:p>
        </w:tc>
      </w:tr>
      <w:tr>
        <w:trPr>
          <w:trHeight w:val="196"/>
        </w:trPr>
        <w:tc>
          <w:tcPr>
            <w:tcW w:w="1380" w:type="dxa"/>
            <w:vAlign w:val="bottom"/>
          </w:tcPr>
          <w:p>
            <w:pPr>
              <w:spacing w:after="0"/>
              <w:rPr>
                <w:sz w:val="17"/>
                <w:szCs w:val="17"/>
                <w:color w:val="auto"/>
              </w:rPr>
            </w:pPr>
          </w:p>
        </w:tc>
        <w:tc>
          <w:tcPr>
            <w:tcW w:w="73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reference to Exhibit 10.1 to the Company’s Current Report on Form 8-K filed on December 29, 2008)</w:t>
              </w:r>
            </w:hyperlink>
          </w:p>
        </w:tc>
        <w:tc>
          <w:tcPr>
            <w:tcW w:w="264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10.72(a)</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Lease Agreement between 109 Morgan Lane, LLC and Integra LifeSciences Corporation, dated May 15, 2008 (Incorporated by reference</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to Exhibit 10.10 to the Company’s Quarterly Report on Form 10-Q for the quarter ended June 30, 2008)</w:t>
              </w:r>
            </w:hyperlink>
          </w:p>
        </w:tc>
        <w:tc>
          <w:tcPr>
            <w:tcW w:w="250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10.72(b)</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First Amendment to Lease Agreement between 109 Morgan Lane, LLC and Integra LifeSciences Corporation, dated March 9, 2009</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(Incorporated by reference to Exhibit 10.9 to the Company’s Quarterly Report on Form 10-Q for the quarter ended March 31, 2009)</w:t>
              </w:r>
            </w:hyperlink>
          </w:p>
        </w:tc>
      </w:tr>
      <w:tr>
        <w:trPr>
          <w:trHeight w:val="20"/>
        </w:trPr>
        <w:tc>
          <w:tcPr>
            <w:tcW w:w="13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10.72(c)</w:t>
            </w:r>
          </w:p>
        </w:tc>
        <w:tc>
          <w:tcPr>
            <w:tcW w:w="9980" w:type="dxa"/>
            <w:vAlign w:val="bottom"/>
            <w:gridSpan w:val="13"/>
          </w:tcPr>
          <w:p>
            <w:pPr>
              <w:spacing w:after="0"/>
              <w:rPr>
                <w:rFonts w:ascii="Arial" w:cs="Arial" w:eastAsia="Arial" w:hAnsi="Arial"/>
                <w:sz w:val="18"/>
                <w:szCs w:val="18"/>
                <w:color w:val="0000FF"/>
                <w:w w:val="95"/>
              </w:rPr>
            </w:pPr>
            <w:hyperlink r:id="rId199">
              <w:r>
                <w:rPr>
                  <w:rFonts w:ascii="Arial" w:cs="Arial" w:eastAsia="Arial" w:hAnsi="Arial"/>
                  <w:sz w:val="18"/>
                  <w:szCs w:val="18"/>
                  <w:color w:val="0000FF"/>
                  <w:w w:val="95"/>
                </w:rPr>
                <w:t>Lease Agreement dated as of July 1, 2013, between 109 Morgan Lane, LLC and Integra LifeSciences Corporation (Incorporated by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reference to Exhibit 10.1 to the Company's Current Report on Form 8-K filed on July 1,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10.73</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Offer Letter between Glenn Coleman and the Company (Incorporated by reference to Exhibit 10.1 to the Company's Current Report on</w:t>
              </w:r>
            </w:hyperlink>
          </w:p>
        </w:tc>
      </w:tr>
      <w:tr>
        <w:trPr>
          <w:trHeight w:val="196"/>
        </w:trPr>
        <w:tc>
          <w:tcPr>
            <w:tcW w:w="138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rFonts w:ascii="Arial" w:cs="Arial" w:eastAsia="Arial" w:hAnsi="Arial"/>
                <w:sz w:val="18"/>
                <w:szCs w:val="18"/>
                <w:color w:val="0000FF"/>
                <w:w w:val="95"/>
              </w:rPr>
            </w:pPr>
            <w:hyperlink r:id="rId200">
              <w:r>
                <w:rPr>
                  <w:rFonts w:ascii="Arial" w:cs="Arial" w:eastAsia="Arial" w:hAnsi="Arial"/>
                  <w:sz w:val="18"/>
                  <w:szCs w:val="18"/>
                  <w:color w:val="0000FF"/>
                  <w:w w:val="95"/>
                </w:rPr>
                <w:t>Form 8-K filed on April 29, 2014)*</w:t>
              </w:r>
            </w:hyperlink>
          </w:p>
        </w:tc>
        <w:tc>
          <w:tcPr>
            <w:tcW w:w="7420" w:type="dxa"/>
            <w:vAlign w:val="bottom"/>
            <w:gridSpan w:val="10"/>
          </w:tcPr>
          <w:p>
            <w:pPr>
              <w:spacing w:after="0"/>
              <w:rPr>
                <w:sz w:val="17"/>
                <w:szCs w:val="17"/>
                <w:color w:val="auto"/>
              </w:rPr>
            </w:pPr>
          </w:p>
        </w:tc>
      </w:tr>
      <w:tr>
        <w:trPr>
          <w:trHeight w:val="669"/>
        </w:trPr>
        <w:tc>
          <w:tcPr>
            <w:tcW w:w="1380" w:type="dxa"/>
            <w:vAlign w:val="bottom"/>
          </w:tcPr>
          <w:p>
            <w:pPr>
              <w:spacing w:after="0"/>
              <w:rPr>
                <w:sz w:val="24"/>
                <w:szCs w:val="24"/>
                <w:color w:val="auto"/>
              </w:rPr>
            </w:pPr>
          </w:p>
        </w:tc>
        <w:tc>
          <w:tcPr>
            <w:tcW w:w="6780" w:type="dxa"/>
            <w:vAlign w:val="bottom"/>
            <w:gridSpan w:val="4"/>
          </w:tcPr>
          <w:p>
            <w:pPr>
              <w:ind w:left="4200"/>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80" w:top="513" w:right="259" w:bottom="1440" w:gutter="0" w:footer="0" w:header="0"/>
        </w:sectPr>
      </w:pPr>
    </w:p>
    <w:bookmarkStart w:id="61" w:name="page62"/>
    <w:bookmarkEnd w:id="6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10.74(a)</w:t>
            </w:r>
          </w:p>
        </w:tc>
        <w:tc>
          <w:tcPr>
            <w:tcW w:w="9980" w:type="dxa"/>
            <w:vAlign w:val="bottom"/>
            <w:gridSpan w:val="7"/>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Receivables Financing Agreement, dated as of December 21, 2018, by and among Integra Receivables LLC, Integra LifeSciences Sales</w:t>
              </w:r>
            </w:hyperlink>
          </w:p>
        </w:tc>
      </w:tr>
      <w:tr>
        <w:trPr>
          <w:trHeight w:val="20"/>
        </w:trPr>
        <w:tc>
          <w:tcPr>
            <w:tcW w:w="1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7"/>
          </w:tcPr>
          <w:p>
            <w:pPr>
              <w:spacing w:after="0" w:line="196" w:lineRule="exact"/>
              <w:rPr>
                <w:rFonts w:ascii="Arial" w:cs="Arial" w:eastAsia="Arial" w:hAnsi="Arial"/>
                <w:sz w:val="18"/>
                <w:szCs w:val="18"/>
                <w:color w:val="0000FF"/>
                <w:w w:val="96"/>
              </w:rPr>
            </w:pPr>
            <w:hyperlink r:id="rId201">
              <w:r>
                <w:rPr>
                  <w:rFonts w:ascii="Arial" w:cs="Arial" w:eastAsia="Arial" w:hAnsi="Arial"/>
                  <w:sz w:val="18"/>
                  <w:szCs w:val="18"/>
                  <w:color w:val="0000FF"/>
                  <w:w w:val="96"/>
                </w:rPr>
                <w:t>LLC, as Servicer, PNC Bank, National Association, as Administrative Agent, PNC Capital Markets LLC, as Structuring Agent, and</w:t>
              </w:r>
            </w:hyperlink>
          </w:p>
        </w:tc>
      </w:tr>
      <w:tr>
        <w:trPr>
          <w:trHeight w:val="196"/>
        </w:trPr>
        <w:tc>
          <w:tcPr>
            <w:tcW w:w="1380" w:type="dxa"/>
            <w:vAlign w:val="bottom"/>
          </w:tcPr>
          <w:p>
            <w:pPr>
              <w:spacing w:after="0"/>
              <w:rPr>
                <w:sz w:val="17"/>
                <w:szCs w:val="17"/>
                <w:color w:val="auto"/>
              </w:rPr>
            </w:pPr>
          </w:p>
        </w:tc>
        <w:tc>
          <w:tcPr>
            <w:tcW w:w="9980" w:type="dxa"/>
            <w:vAlign w:val="bottom"/>
            <w:gridSpan w:val="7"/>
          </w:tcPr>
          <w:p>
            <w:pPr>
              <w:spacing w:after="0" w:line="196" w:lineRule="exact"/>
              <w:rPr>
                <w:rFonts w:ascii="Arial" w:cs="Arial" w:eastAsia="Arial" w:hAnsi="Arial"/>
                <w:sz w:val="18"/>
                <w:szCs w:val="18"/>
                <w:color w:val="0000FF"/>
                <w:w w:val="93"/>
              </w:rPr>
            </w:pPr>
            <w:hyperlink r:id="rId201">
              <w:r>
                <w:rPr>
                  <w:rFonts w:ascii="Arial" w:cs="Arial" w:eastAsia="Arial" w:hAnsi="Arial"/>
                  <w:sz w:val="18"/>
                  <w:szCs w:val="18"/>
                  <w:color w:val="0000FF"/>
                  <w:w w:val="93"/>
                </w:rPr>
                <w:t>certain lenders and group agents that are parties thereto from time to time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Current Report on Form 8-K filed on December 28, 2018)</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10.74(b)</w:t>
            </w:r>
          </w:p>
        </w:tc>
        <w:tc>
          <w:tcPr>
            <w:tcW w:w="9980" w:type="dxa"/>
            <w:vAlign w:val="bottom"/>
            <w:tcBorders>
              <w:bottom w:val="single" w:sz="8" w:color="0000FF"/>
            </w:tcBorders>
            <w:gridSpan w:val="7"/>
          </w:tcPr>
          <w:p>
            <w:pPr>
              <w:spacing w:after="0"/>
              <w:rPr>
                <w:rFonts w:ascii="Arial" w:cs="Arial" w:eastAsia="Arial" w:hAnsi="Arial"/>
                <w:sz w:val="18"/>
                <w:szCs w:val="18"/>
                <w:color w:val="0000FF"/>
                <w:w w:val="93"/>
              </w:rPr>
            </w:pPr>
            <w:hyperlink r:id="rId202">
              <w:r>
                <w:rPr>
                  <w:rFonts w:ascii="Arial" w:cs="Arial" w:eastAsia="Arial" w:hAnsi="Arial"/>
                  <w:sz w:val="18"/>
                  <w:szCs w:val="18"/>
                  <w:color w:val="0000FF"/>
                  <w:w w:val="93"/>
                </w:rPr>
                <w:t>Purchase and Sale Agreement, dated as of December 21, 2018, by and among Integra LifeSciences Sales LLC, Integra LifeSciences</w:t>
              </w:r>
            </w:hyperlink>
          </w:p>
        </w:tc>
      </w:tr>
      <w:tr>
        <w:trPr>
          <w:trHeight w:val="196"/>
        </w:trPr>
        <w:tc>
          <w:tcPr>
            <w:tcW w:w="1380" w:type="dxa"/>
            <w:vAlign w:val="bottom"/>
          </w:tcPr>
          <w:p>
            <w:pPr>
              <w:spacing w:after="0"/>
              <w:rPr>
                <w:sz w:val="17"/>
                <w:szCs w:val="17"/>
                <w:color w:val="auto"/>
              </w:rPr>
            </w:pPr>
          </w:p>
        </w:tc>
        <w:tc>
          <w:tcPr>
            <w:tcW w:w="9980" w:type="dxa"/>
            <w:vAlign w:val="bottom"/>
            <w:gridSpan w:val="7"/>
          </w:tcPr>
          <w:p>
            <w:pPr>
              <w:spacing w:after="0" w:line="196" w:lineRule="exact"/>
              <w:rPr>
                <w:rFonts w:ascii="Arial" w:cs="Arial" w:eastAsia="Arial" w:hAnsi="Arial"/>
                <w:sz w:val="18"/>
                <w:szCs w:val="18"/>
                <w:color w:val="0000FF"/>
                <w:w w:val="92"/>
              </w:rPr>
            </w:pPr>
            <w:hyperlink r:id="rId202">
              <w:r>
                <w:rPr>
                  <w:rFonts w:ascii="Arial" w:cs="Arial" w:eastAsia="Arial" w:hAnsi="Arial"/>
                  <w:sz w:val="18"/>
                  <w:szCs w:val="18"/>
                  <w:color w:val="0000FF"/>
                  <w:w w:val="92"/>
                </w:rPr>
                <w:t>Corporation and Integra Receivables LLC (Incorporated by reference to Exhibit 10.1 to the Company’s Current Report on Form 8-K filed</w:t>
              </w:r>
            </w:hyperlink>
          </w:p>
        </w:tc>
      </w:tr>
      <w:tr>
        <w:trPr>
          <w:trHeight w:val="196"/>
        </w:trPr>
        <w:tc>
          <w:tcPr>
            <w:tcW w:w="1380" w:type="dxa"/>
            <w:vAlign w:val="bottom"/>
          </w:tcPr>
          <w:p>
            <w:pPr>
              <w:spacing w:after="0"/>
              <w:rPr>
                <w:sz w:val="17"/>
                <w:szCs w:val="17"/>
                <w:color w:val="auto"/>
              </w:rPr>
            </w:pPr>
          </w:p>
        </w:tc>
        <w:tc>
          <w:tcPr>
            <w:tcW w:w="1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on December 28, 2018)</w:t>
              </w:r>
            </w:hyperlink>
          </w:p>
        </w:tc>
        <w:tc>
          <w:tcPr>
            <w:tcW w:w="826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12.1</w:t>
            </w:r>
          </w:p>
        </w:tc>
        <w:tc>
          <w:tcPr>
            <w:tcW w:w="9980" w:type="dxa"/>
            <w:vAlign w:val="bottom"/>
            <w:gridSpan w:val="7"/>
          </w:tcPr>
          <w:p>
            <w:pPr>
              <w:spacing w:after="0"/>
              <w:rPr>
                <w:rFonts w:ascii="Arial" w:cs="Arial" w:eastAsia="Arial" w:hAnsi="Arial"/>
                <w:sz w:val="18"/>
                <w:szCs w:val="18"/>
                <w:color w:val="0000FF"/>
                <w:w w:val="92"/>
              </w:rPr>
            </w:pPr>
            <w:hyperlink r:id="rId203">
              <w:r>
                <w:rPr>
                  <w:rFonts w:ascii="Arial" w:cs="Arial" w:eastAsia="Arial" w:hAnsi="Arial"/>
                  <w:sz w:val="18"/>
                  <w:szCs w:val="18"/>
                  <w:color w:val="0000FF"/>
                  <w:w w:val="92"/>
                </w:rPr>
                <w:t>Statement Regarding the Computation of Ratio of Earnings to Fixed Charges and Preferred Share Dividends for the Years Ended 2015,</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7"/>
          </w:tcPr>
          <w:p>
            <w:pPr>
              <w:spacing w:after="0" w:line="196"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2014, 2013, 2012 and 2011, and the Nine Months Ended September 30, 2016 (Incorporated by reference to Exhibit 12.1 to the Company’s</w:t>
              </w:r>
            </w:hyperlink>
          </w:p>
        </w:tc>
      </w:tr>
      <w:tr>
        <w:trPr>
          <w:trHeight w:val="196"/>
        </w:trPr>
        <w:tc>
          <w:tcPr>
            <w:tcW w:w="138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Registration Statement on Form S-3 ASR filed November 4, 2016)</w:t>
              </w:r>
            </w:hyperlink>
          </w:p>
        </w:tc>
        <w:tc>
          <w:tcPr>
            <w:tcW w:w="51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18.1</w:t>
            </w:r>
          </w:p>
        </w:tc>
        <w:tc>
          <w:tcPr>
            <w:tcW w:w="9980" w:type="dxa"/>
            <w:vAlign w:val="bottom"/>
            <w:tcBorders>
              <w:bottom w:val="single" w:sz="8" w:color="0000FF"/>
            </w:tcBorders>
            <w:gridSpan w:val="7"/>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Preferability letter of Independent Public Accounting Firm dated May 1, 2014 (Incorporated by reference to Exhibit 18 to the Company's</w:t>
              </w:r>
            </w:hyperlink>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04">
              <w:r>
                <w:rPr>
                  <w:rFonts w:ascii="Arial" w:cs="Arial" w:eastAsia="Arial" w:hAnsi="Arial"/>
                  <w:sz w:val="18"/>
                  <w:szCs w:val="18"/>
                  <w:color w:val="0000FF"/>
                  <w:w w:val="90"/>
                </w:rPr>
                <w:t>Quarterly Report on Form 10-Q for the quarter ended March 31, 2014)</w:t>
              </w:r>
            </w:hyperlink>
          </w:p>
        </w:tc>
        <w:tc>
          <w:tcPr>
            <w:tcW w:w="488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18.2</w:t>
            </w:r>
          </w:p>
        </w:tc>
        <w:tc>
          <w:tcPr>
            <w:tcW w:w="9980" w:type="dxa"/>
            <w:vAlign w:val="bottom"/>
            <w:tcBorders>
              <w:bottom w:val="single" w:sz="8" w:color="0000FF"/>
            </w:tcBorders>
            <w:gridSpan w:val="7"/>
          </w:tcPr>
          <w:p>
            <w:pPr>
              <w:spacing w:after="0"/>
              <w:rPr>
                <w:rFonts w:ascii="Arial" w:cs="Arial" w:eastAsia="Arial" w:hAnsi="Arial"/>
                <w:sz w:val="18"/>
                <w:szCs w:val="18"/>
                <w:color w:val="0000FF"/>
                <w:w w:val="98"/>
              </w:rPr>
            </w:pPr>
            <w:hyperlink r:id="rId205">
              <w:r>
                <w:rPr>
                  <w:rFonts w:ascii="Arial" w:cs="Arial" w:eastAsia="Arial" w:hAnsi="Arial"/>
                  <w:sz w:val="18"/>
                  <w:szCs w:val="18"/>
                  <w:color w:val="0000FF"/>
                  <w:w w:val="98"/>
                </w:rPr>
                <w:t>Preferability Letter of Independent Public Accounting Firm dated July 31, 2012 (Incorporated by reference to Exhibit 18.1 to the</w:t>
              </w:r>
            </w:hyperlink>
          </w:p>
        </w:tc>
      </w:tr>
      <w:tr>
        <w:trPr>
          <w:trHeight w:val="196"/>
        </w:trPr>
        <w:tc>
          <w:tcPr>
            <w:tcW w:w="1380" w:type="dxa"/>
            <w:vAlign w:val="bottom"/>
          </w:tcPr>
          <w:p>
            <w:pPr>
              <w:spacing w:after="0"/>
              <w:rPr>
                <w:sz w:val="17"/>
                <w:szCs w:val="17"/>
                <w:color w:val="auto"/>
              </w:rPr>
            </w:pPr>
          </w:p>
        </w:tc>
        <w:tc>
          <w:tcPr>
            <w:tcW w:w="58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Company’s Quarterly Report on Form 10-Q for the quarter ended June 30, 2012)</w:t>
              </w:r>
            </w:hyperlink>
          </w:p>
        </w:tc>
        <w:tc>
          <w:tcPr>
            <w:tcW w:w="4160" w:type="dxa"/>
            <w:vAlign w:val="bottom"/>
            <w:gridSpan w:val="2"/>
          </w:tcPr>
          <w:p>
            <w:pPr>
              <w:spacing w:after="0"/>
              <w:rPr>
                <w:sz w:val="17"/>
                <w:szCs w:val="17"/>
                <w:color w:val="auto"/>
              </w:rPr>
            </w:pPr>
          </w:p>
        </w:tc>
      </w:tr>
    </w:tbl>
    <w:p>
      <w:pPr>
        <w:spacing w:after="0" w:line="229" w:lineRule="exact"/>
        <w:rPr>
          <w:sz w:val="20"/>
          <w:szCs w:val="20"/>
          <w:color w:val="auto"/>
        </w:rPr>
      </w:pPr>
    </w:p>
    <w:p>
      <w:pPr>
        <w:ind w:left="1385" w:hanging="1385"/>
        <w:spacing w:after="0"/>
        <w:tabs>
          <w:tab w:leader="none" w:pos="1385" w:val="left"/>
        </w:tabs>
        <w:numPr>
          <w:ilvl w:val="0"/>
          <w:numId w:val="25"/>
        </w:numPr>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Subsidiaries of the Company+</w:t>
        </w:r>
      </w:hyperlink>
    </w:p>
    <w:p>
      <w:pPr>
        <w:spacing w:after="0" w:line="225" w:lineRule="exact"/>
        <w:rPr>
          <w:sz w:val="20"/>
          <w:szCs w:val="20"/>
          <w:color w:val="auto"/>
        </w:rPr>
      </w:pPr>
    </w:p>
    <w:p>
      <w:pPr>
        <w:ind w:left="1385" w:hanging="1385"/>
        <w:spacing w:after="0"/>
        <w:tabs>
          <w:tab w:leader="none" w:pos="1385" w:val="left"/>
        </w:tabs>
        <w:numPr>
          <w:ilvl w:val="0"/>
          <w:numId w:val="26"/>
        </w:numPr>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Consent of PricewaterhouseCoopers LLP+</w:t>
        </w:r>
      </w:hyperlink>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7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43">
              <w:r>
                <w:rPr>
                  <w:rFonts w:ascii="Arial" w:cs="Arial" w:eastAsia="Arial" w:hAnsi="Arial"/>
                  <w:sz w:val="18"/>
                  <w:szCs w:val="18"/>
                  <w:color w:val="0000FF"/>
                  <w:w w:val="91"/>
                </w:rPr>
                <w:t>Certification of Principal Executive Officer Pursuant to Section 302 of the Sarbanes-Oxley Act of 2002+</w:t>
              </w:r>
            </w:hyperlink>
          </w:p>
        </w:tc>
        <w:tc>
          <w:tcPr>
            <w:tcW w:w="244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44">
              <w:r>
                <w:rPr>
                  <w:rFonts w:ascii="Arial" w:cs="Arial" w:eastAsia="Arial" w:hAnsi="Arial"/>
                  <w:sz w:val="18"/>
                  <w:szCs w:val="18"/>
                  <w:color w:val="0000FF"/>
                  <w:w w:val="92"/>
                </w:rPr>
                <w:t>Certification of Principal Financial Officer Pursuant to Section 302 of the Sarbanes-Oxley Act of 2002+</w:t>
              </w:r>
            </w:hyperlink>
          </w:p>
        </w:tc>
        <w:tc>
          <w:tcPr>
            <w:tcW w:w="2480" w:type="dxa"/>
            <w:vAlign w:val="bottom"/>
            <w:gridSpan w:val="7"/>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7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Certification of Principal Executive Officer Pursuant to Section 906 of the Sarbanes-Oxley Act of 2002+</w:t>
              </w:r>
            </w:hyperlink>
          </w:p>
        </w:tc>
        <w:tc>
          <w:tcPr>
            <w:tcW w:w="2440" w:type="dxa"/>
            <w:vAlign w:val="bottom"/>
            <w:gridSpan w:val="6"/>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46">
              <w:r>
                <w:rPr>
                  <w:rFonts w:ascii="Arial" w:cs="Arial" w:eastAsia="Arial" w:hAnsi="Arial"/>
                  <w:sz w:val="18"/>
                  <w:szCs w:val="18"/>
                  <w:color w:val="0000FF"/>
                  <w:w w:val="92"/>
                </w:rPr>
                <w:t>Certification of Principal Financial Officer Pursuant to Section 906 of the Sarbanes-Oxley Act of 2002+</w:t>
              </w:r>
            </w:hyperlink>
          </w:p>
        </w:tc>
        <w:tc>
          <w:tcPr>
            <w:tcW w:w="2480" w:type="dxa"/>
            <w:vAlign w:val="bottom"/>
            <w:gridSpan w:val="7"/>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9980" w:type="dxa"/>
            <w:vAlign w:val="bottom"/>
            <w:gridSpan w:val="13"/>
          </w:tcPr>
          <w:p>
            <w:pPr>
              <w:spacing w:after="0"/>
              <w:rPr>
                <w:rFonts w:ascii="Arial" w:cs="Arial" w:eastAsia="Arial" w:hAnsi="Arial"/>
                <w:sz w:val="18"/>
                <w:szCs w:val="18"/>
                <w:color w:val="0000FF"/>
              </w:rPr>
            </w:pPr>
            <w:hyperlink r:id="rId206">
              <w:r>
                <w:rPr>
                  <w:rFonts w:ascii="Arial" w:cs="Arial" w:eastAsia="Arial" w:hAnsi="Arial"/>
                  <w:sz w:val="18"/>
                  <w:szCs w:val="18"/>
                  <w:color w:val="0000FF"/>
                </w:rPr>
                <w:t>Letter, dated December 21, 2011, from the United States Food and Drug Administration to Integra LifeSciences Corporation</w:t>
              </w:r>
            </w:hyperlink>
          </w:p>
        </w:tc>
      </w:tr>
      <w:tr>
        <w:trPr>
          <w:trHeight w:val="196"/>
        </w:trPr>
        <w:tc>
          <w:tcPr>
            <w:tcW w:w="138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(Incorporated by reference to Exhibit 99.1 to the Company’s Current Report on Form 8-K filed on January 5, 2012)</w:t>
              </w:r>
            </w:hyperlink>
          </w:p>
        </w:tc>
        <w:tc>
          <w:tcPr>
            <w:tcW w:w="16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7"/>
              </w:rPr>
            </w:pPr>
            <w:hyperlink r:id="rId207">
              <w:r>
                <w:rPr>
                  <w:rFonts w:ascii="Arial" w:cs="Arial" w:eastAsia="Arial" w:hAnsi="Arial"/>
                  <w:sz w:val="18"/>
                  <w:szCs w:val="18"/>
                  <w:color w:val="0000FF"/>
                  <w:w w:val="97"/>
                </w:rPr>
                <w:t>Food and Drug Administration Form FDA-483, dated July 30, 2012, relating to inspection of Plainsboro, NJ manufacturing facility</w:t>
              </w:r>
            </w:hyperlink>
          </w:p>
        </w:tc>
      </w:tr>
      <w:tr>
        <w:trPr>
          <w:trHeight w:val="196"/>
        </w:trPr>
        <w:tc>
          <w:tcPr>
            <w:tcW w:w="1380" w:type="dxa"/>
            <w:vAlign w:val="bottom"/>
          </w:tcPr>
          <w:p>
            <w:pPr>
              <w:spacing w:after="0"/>
              <w:rPr>
                <w:sz w:val="17"/>
                <w:szCs w:val="17"/>
                <w:color w:val="auto"/>
              </w:rPr>
            </w:pP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(Incorporated by reference to Exhibit 99.1 to the Company’s Quarterly Report on Form 10-Q for the quarter ended June 30, 2012)</w:t>
              </w:r>
            </w:hyperlink>
          </w:p>
        </w:tc>
        <w:tc>
          <w:tcPr>
            <w:tcW w:w="62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99.3</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208">
              <w:r>
                <w:rPr>
                  <w:rFonts w:ascii="Arial" w:cs="Arial" w:eastAsia="Arial" w:hAnsi="Arial"/>
                  <w:sz w:val="18"/>
                  <w:szCs w:val="18"/>
                  <w:color w:val="0000FF"/>
                  <w:w w:val="93"/>
                </w:rPr>
                <w:t>Letter, dated November 1, 2012, from the United States Food and Drug Administration to Integra NeuroSciences Ltd. (Incorporated by</w:t>
              </w:r>
            </w:hyperlink>
          </w:p>
        </w:tc>
      </w:tr>
      <w:tr>
        <w:trPr>
          <w:trHeight w:val="196"/>
        </w:trPr>
        <w:tc>
          <w:tcPr>
            <w:tcW w:w="1380" w:type="dxa"/>
            <w:vAlign w:val="bottom"/>
          </w:tcPr>
          <w:p>
            <w:pPr>
              <w:spacing w:after="0"/>
              <w:rPr>
                <w:sz w:val="17"/>
                <w:szCs w:val="17"/>
                <w:color w:val="auto"/>
              </w:rPr>
            </w:pPr>
          </w:p>
        </w:tc>
        <w:tc>
          <w:tcPr>
            <w:tcW w:w="73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reference to Exhibit 99.1 to the Company’s Current Report on Form 8-K filed on November 13, 2012)</w:t>
              </w:r>
            </w:hyperlink>
          </w:p>
        </w:tc>
        <w:tc>
          <w:tcPr>
            <w:tcW w:w="2620" w:type="dxa"/>
            <w:vAlign w:val="bottom"/>
            <w:gridSpan w:val="11"/>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99.4</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209">
              <w:r>
                <w:rPr>
                  <w:rFonts w:ascii="Arial" w:cs="Arial" w:eastAsia="Arial" w:hAnsi="Arial"/>
                  <w:sz w:val="18"/>
                  <w:szCs w:val="18"/>
                  <w:color w:val="0000FF"/>
                  <w:w w:val="93"/>
                </w:rPr>
                <w:t>Letter, dated February 13,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09">
              <w:r>
                <w:rPr>
                  <w:rFonts w:ascii="Arial" w:cs="Arial" w:eastAsia="Arial" w:hAnsi="Arial"/>
                  <w:sz w:val="18"/>
                  <w:szCs w:val="18"/>
                  <w:color w:val="0000FF"/>
                  <w:w w:val="91"/>
                </w:rPr>
                <w:t>by reference to Exhibit 99.1 to the Company’s Current Report on Form 8-K filed on February 19, 2013)</w:t>
              </w:r>
            </w:hyperlink>
          </w:p>
        </w:tc>
        <w:tc>
          <w:tcPr>
            <w:tcW w:w="2500" w:type="dxa"/>
            <w:vAlign w:val="bottom"/>
            <w:gridSpan w:val="8"/>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99.5</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Letter, dated September 24,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by reference to Exhibit 99.1 to the Company’s Current Report on Form 8-K filed on September 27,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99.6</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2"/>
              </w:rPr>
            </w:pPr>
            <w:hyperlink r:id="rId211">
              <w:r>
                <w:rPr>
                  <w:rFonts w:ascii="Arial" w:cs="Arial" w:eastAsia="Arial" w:hAnsi="Arial"/>
                  <w:sz w:val="18"/>
                  <w:szCs w:val="18"/>
                  <w:color w:val="0000FF"/>
                  <w:w w:val="92"/>
                </w:rPr>
                <w:t>Food and Drug Administration Form FDA-483, dated November 26, 2013, relating to the inspection of the Añasco Facility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by reference to Exhibit 99.1 to the Company’s Current Report on Form 8-K filed on December 3,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99.7</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Letter, dated January 14, 2015, from the United States Food and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by reference to Exhibit 99.1 to the Company’s Current Report on Form 8-K filed on January 20, 2015)</w:t>
              </w:r>
            </w:hyperlink>
          </w:p>
        </w:tc>
        <w:tc>
          <w:tcPr>
            <w:tcW w:w="260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99.8</w:t>
            </w:r>
          </w:p>
        </w:tc>
        <w:tc>
          <w:tcPr>
            <w:tcW w:w="9980" w:type="dxa"/>
            <w:vAlign w:val="bottom"/>
            <w:gridSpan w:val="13"/>
          </w:tcPr>
          <w:p>
            <w:pPr>
              <w:spacing w:after="0"/>
              <w:rPr>
                <w:rFonts w:ascii="Arial" w:cs="Arial" w:eastAsia="Arial" w:hAnsi="Arial"/>
                <w:sz w:val="18"/>
                <w:szCs w:val="18"/>
                <w:color w:val="0000FF"/>
                <w:w w:val="92"/>
              </w:rPr>
            </w:pPr>
            <w:hyperlink r:id="rId213">
              <w:r>
                <w:rPr>
                  <w:rFonts w:ascii="Arial" w:cs="Arial" w:eastAsia="Arial" w:hAnsi="Arial"/>
                  <w:sz w:val="18"/>
                  <w:szCs w:val="18"/>
                  <w:color w:val="0000FF"/>
                  <w:w w:val="92"/>
                </w:rPr>
                <w:t>Letter, dated May 29, 2015, from the United States Food and Drug Administration to TEI Biosciences Inc.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Exhibit 99.1 to the Company’s Quarterly Report on Form 10-Q for the quarter ended June 30,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99.9</w:t>
            </w:r>
          </w:p>
        </w:tc>
        <w:tc>
          <w:tcPr>
            <w:tcW w:w="9980" w:type="dxa"/>
            <w:vAlign w:val="bottom"/>
            <w:tcBorders>
              <w:bottom w:val="single" w:sz="8" w:color="0000FF"/>
            </w:tcBorders>
            <w:gridSpan w:val="13"/>
          </w:tcPr>
          <w:p>
            <w:pPr>
              <w:spacing w:after="0"/>
              <w:rPr>
                <w:rFonts w:ascii="Arial" w:cs="Arial" w:eastAsia="Arial" w:hAnsi="Arial"/>
                <w:sz w:val="18"/>
                <w:szCs w:val="18"/>
                <w:color w:val="0000FF"/>
              </w:rPr>
            </w:pPr>
            <w:hyperlink r:id="rId214">
              <w:r>
                <w:rPr>
                  <w:rFonts w:ascii="Arial" w:cs="Arial" w:eastAsia="Arial" w:hAnsi="Arial"/>
                  <w:sz w:val="18"/>
                  <w:szCs w:val="18"/>
                  <w:color w:val="0000FF"/>
                </w:rPr>
                <w:t>Letter, dated June 30, 2015, from the United States Food and Drug Administration to Integra LifeSciences (Ireland) Limited</w:t>
              </w:r>
            </w:hyperlink>
          </w:p>
        </w:tc>
      </w:tr>
      <w:tr>
        <w:trPr>
          <w:trHeight w:val="196"/>
        </w:trPr>
        <w:tc>
          <w:tcPr>
            <w:tcW w:w="1380" w:type="dxa"/>
            <w:vAlign w:val="bottom"/>
          </w:tcPr>
          <w:p>
            <w:pPr>
              <w:spacing w:after="0"/>
              <w:rPr>
                <w:sz w:val="17"/>
                <w:szCs w:val="17"/>
                <w:color w:val="auto"/>
              </w:rPr>
            </w:pPr>
          </w:p>
        </w:tc>
        <w:tc>
          <w:tcPr>
            <w:tcW w:w="9400" w:type="dxa"/>
            <w:vAlign w:val="bottom"/>
            <w:tcBorders>
              <w:bottom w:val="single" w:sz="8" w:color="0000FF"/>
            </w:tcBorders>
            <w:gridSpan w:val="11"/>
          </w:tcPr>
          <w:p>
            <w:pPr>
              <w:ind w:left="40"/>
              <w:spacing w:after="0" w:line="196"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(Incorporated by reference to Exhibit 99.2 to the Company’s Quarterly Report on Form 10-Q for the quarter ended June 30, 2015)</w:t>
              </w:r>
            </w:hyperlink>
          </w:p>
        </w:tc>
        <w:tc>
          <w:tcPr>
            <w:tcW w:w="580" w:type="dxa"/>
            <w:vAlign w:val="bottom"/>
            <w:gridSpan w:val="2"/>
          </w:tcPr>
          <w:p>
            <w:pPr>
              <w:spacing w:after="0"/>
              <w:rPr>
                <w:sz w:val="17"/>
                <w:szCs w:val="17"/>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bl>
    <w:p>
      <w:pPr>
        <w:spacing w:after="0" w:line="200" w:lineRule="exact"/>
        <w:rPr>
          <w:sz w:val="20"/>
          <w:szCs w:val="20"/>
          <w:color w:val="auto"/>
        </w:rPr>
      </w:pPr>
    </w:p>
    <w:p>
      <w:pPr>
        <w:sectPr>
          <w:pgSz w:w="11900" w:h="16838" w:orient="portrait"/>
          <w:cols w:equalWidth="0" w:num="1">
            <w:col w:w="11365"/>
          </w:cols>
          <w:pgMar w:left="275" w:top="513" w:right="259" w:bottom="1440" w:gutter="0" w:footer="0" w:header="0"/>
        </w:sectPr>
      </w:pPr>
    </w:p>
    <w:p>
      <w:pPr>
        <w:spacing w:after="0" w:line="218"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5"/>
          </w:cols>
          <w:pgMar w:left="275" w:top="513" w:right="259" w:bottom="1440" w:gutter="0" w:footer="0" w:header="0"/>
          <w:type w:val="continuous"/>
        </w:sectPr>
      </w:pPr>
    </w:p>
    <w:bookmarkStart w:id="62" w:name="page63"/>
    <w:bookmarkEnd w:id="62"/>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0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0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04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04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40" w:type="dxa"/>
            <w:vAlign w:val="bottom"/>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75" w:lineRule="exact"/>
        <w:rPr>
          <w:sz w:val="20"/>
          <w:szCs w:val="20"/>
          <w:color w:val="auto"/>
        </w:rPr>
      </w:pPr>
    </w:p>
    <w:p>
      <w:pPr>
        <w:ind w:left="40" w:right="5960" w:hanging="5"/>
        <w:spacing w:after="0" w:line="497" w:lineRule="auto"/>
        <w:tabs>
          <w:tab w:leader="none" w:pos="2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2018 filed on February 26, 2019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24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30" w:right="27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45" w:right="35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32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89"/>
              </w:rPr>
              <w:t>Signature</w:t>
            </w:r>
          </w:p>
        </w:tc>
        <w:tc>
          <w:tcPr>
            <w:tcW w:w="2600" w:type="dxa"/>
            <w:vAlign w:val="bottom"/>
          </w:tcPr>
          <w:p>
            <w:pPr>
              <w:spacing w:after="0"/>
              <w:rPr>
                <w:sz w:val="16"/>
                <w:szCs w:val="16"/>
                <w:color w:val="auto"/>
              </w:rPr>
            </w:pPr>
          </w:p>
        </w:tc>
        <w:tc>
          <w:tcPr>
            <w:tcW w:w="2480" w:type="dxa"/>
            <w:vAlign w:val="bottom"/>
            <w:gridSpan w:val="2"/>
          </w:tcPr>
          <w:p>
            <w:pPr>
              <w:jc w:val="center"/>
              <w:ind w:right="2160"/>
              <w:spacing w:after="0"/>
              <w:rPr>
                <w:sz w:val="20"/>
                <w:szCs w:val="20"/>
                <w:color w:val="auto"/>
              </w:rPr>
            </w:pPr>
            <w:r>
              <w:rPr>
                <w:rFonts w:ascii="Arial" w:cs="Arial" w:eastAsia="Arial" w:hAnsi="Arial"/>
                <w:sz w:val="16"/>
                <w:szCs w:val="16"/>
                <w:b w:val="1"/>
                <w:bCs w:val="1"/>
                <w:color w:val="auto"/>
                <w:w w:val="97"/>
              </w:rPr>
              <w:t>Title</w:t>
            </w:r>
          </w:p>
        </w:tc>
        <w:tc>
          <w:tcPr>
            <w:tcW w:w="1760" w:type="dxa"/>
            <w:vAlign w:val="bottom"/>
            <w:gridSpan w:val="3"/>
          </w:tcPr>
          <w:p>
            <w:pPr>
              <w:ind w:left="12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50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President and Chief Executive Officer,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80" w:type="dxa"/>
            <w:vAlign w:val="bottom"/>
            <w:gridSpan w:val="3"/>
            <w:vMerge w:val="restart"/>
          </w:tcPr>
          <w:p>
            <w:pPr>
              <w:jc w:val="center"/>
              <w:ind w:left="350"/>
              <w:spacing w:after="0"/>
              <w:rPr>
                <w:sz w:val="20"/>
                <w:szCs w:val="20"/>
                <w:color w:val="auto"/>
              </w:rPr>
            </w:pPr>
            <w:r>
              <w:rPr>
                <w:rFonts w:ascii="Arial" w:cs="Arial" w:eastAsia="Arial" w:hAnsi="Arial"/>
                <w:sz w:val="18"/>
                <w:szCs w:val="18"/>
                <w:color w:val="auto"/>
                <w:w w:val="93"/>
              </w:rPr>
              <w:t>and Director (Principal Executive Officer)</w:t>
            </w: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508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Glenn G. Coleman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Corporate Vice President and</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Glenn G. Coleman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Chief Financial Officer (Principal Financial Officer)</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Jeffrey A. Mosebrook</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Vice President, Corporate Controller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80" w:type="dxa"/>
            <w:vAlign w:val="bottom"/>
            <w:gridSpan w:val="3"/>
            <w:vMerge w:val="restart"/>
          </w:tcPr>
          <w:p>
            <w:pPr>
              <w:jc w:val="center"/>
              <w:ind w:left="330"/>
              <w:spacing w:after="0"/>
              <w:rPr>
                <w:sz w:val="20"/>
                <w:szCs w:val="20"/>
                <w:color w:val="auto"/>
              </w:rPr>
            </w:pPr>
            <w:r>
              <w:rPr>
                <w:rFonts w:ascii="Arial" w:cs="Arial" w:eastAsia="Arial" w:hAnsi="Arial"/>
                <w:sz w:val="18"/>
                <w:szCs w:val="18"/>
                <w:color w:val="auto"/>
                <w:w w:val="95"/>
              </w:rPr>
              <w:t>(Principal Accounting Officer)</w:t>
            </w: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Jeffrey A. Mosebrook</w:t>
            </w:r>
          </w:p>
        </w:tc>
        <w:tc>
          <w:tcPr>
            <w:tcW w:w="508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50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Chairman of the Board</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Rhonda Germany Ballintyn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Rhonda Germany Ballintyn</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Keith Bradley, Ph.D.</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/s/ Barbara B. Hill</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Lloyd W. Howell, Jr.</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 Ph.D.</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Raymond G. Murphy</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49"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Integra LifeSciences Holdings Corporation and its subsidiaries (the “Company”) as of December 31, 2018 and 2017, and the related consolidated statements of operations, comprehensive income (loss), changes in stockholders’ equity and cash flows for each of the three years in the period ended December 31, 2018, including the related notes and financial statement schedule listed in the index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their operations and their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380"/>
          </w:cols>
          <w:pgMar w:left="240" w:top="580" w:right="279" w:bottom="1440" w:gutter="0" w:footer="0" w:header="0"/>
        </w:sectPr>
      </w:pPr>
    </w:p>
    <w:bookmarkStart w:id="66" w:name="page67"/>
    <w:bookmarkEnd w:id="66"/>
    <w:p>
      <w:pPr>
        <w:spacing w:after="0" w:line="273" w:lineRule="auto"/>
        <w:rPr>
          <w:sz w:val="20"/>
          <w:szCs w:val="20"/>
          <w:color w:val="auto"/>
        </w:rPr>
      </w:pPr>
      <w:r>
        <w:rPr>
          <w:rFonts w:ascii="Arial" w:cs="Arial" w:eastAsia="Arial" w:hAnsi="Arial"/>
          <w:sz w:val="17"/>
          <w:szCs w:val="17"/>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380"/>
          </w:cols>
          <w:pgMar w:left="240" w:top="368"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8"/>
        </w:trPr>
        <w:tc>
          <w:tcPr>
            <w:tcW w:w="6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6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40" w:type="dxa"/>
            <w:vAlign w:val="bottom"/>
            <w:gridSpan w:val="7"/>
          </w:tcPr>
          <w:p>
            <w:pPr>
              <w:jc w:val="center"/>
              <w:ind w:left="592"/>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3"/>
                <w:szCs w:val="23"/>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revenue,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1,472,441</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1,188,236</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992,075</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571,496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435,511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349,089</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690,746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624,096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455,629</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13,862</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1,361,443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1,143,432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876,735</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15,842</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64,743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74,564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0.73</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r>
      <w:tr>
        <w:trPr>
          <w:trHeight w:val="324"/>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(See Note 13):</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8"/>
        </w:trPr>
        <w:tc>
          <w:tcPr>
            <w:tcW w:w="6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74,386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79,121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79,194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364" w:right="2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833"/>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74,564</w:t>
            </w:r>
          </w:p>
        </w:tc>
      </w:tr>
      <w:tr>
        <w:trPr>
          <w:trHeight w:val="237"/>
        </w:trPr>
        <w:tc>
          <w:tcPr>
            <w:tcW w:w="71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r>
      <w:tr>
        <w:trPr>
          <w:trHeight w:val="318"/>
        </w:trPr>
        <w:tc>
          <w:tcPr>
            <w:tcW w:w="7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20"/>
              <w:spacing w:after="0"/>
              <w:rPr>
                <w:sz w:val="20"/>
                <w:szCs w:val="20"/>
                <w:color w:val="auto"/>
              </w:rPr>
            </w:pPr>
            <w:r>
              <w:rPr>
                <w:rFonts w:ascii="Arial" w:cs="Arial" w:eastAsia="Arial" w:hAnsi="Arial"/>
                <w:sz w:val="18"/>
                <w:szCs w:val="18"/>
                <w:color w:val="auto"/>
              </w:rPr>
              <w:t>Unrealized derivative (loss) gain arising during period</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1,871</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Less: Reclassification adjustments for gains included in net income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180" w:type="dxa"/>
            <w:vAlign w:val="bottom"/>
          </w:tcPr>
          <w:p>
            <w:pPr>
              <w:ind w:left="300"/>
              <w:spacing w:after="0"/>
              <w:rPr>
                <w:sz w:val="20"/>
                <w:szCs w:val="20"/>
                <w:color w:val="auto"/>
              </w:rPr>
            </w:pPr>
            <w:r>
              <w:rPr>
                <w:rFonts w:ascii="Arial" w:cs="Arial" w:eastAsia="Arial" w:hAnsi="Arial"/>
                <w:sz w:val="18"/>
                <w:szCs w:val="18"/>
                <w:color w:val="auto"/>
              </w:rPr>
              <w:t>Unrealized (loss) gain on derivatives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1,871</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180" w:type="dxa"/>
            <w:vAlign w:val="bottom"/>
          </w:tcPr>
          <w:p>
            <w:pPr>
              <w:ind w:left="560"/>
              <w:spacing w:after="0"/>
              <w:rPr>
                <w:sz w:val="20"/>
                <w:szCs w:val="20"/>
                <w:color w:val="auto"/>
              </w:rPr>
            </w:pPr>
            <w:r>
              <w:rPr>
                <w:rFonts w:ascii="Arial" w:cs="Arial" w:eastAsia="Arial" w:hAnsi="Arial"/>
                <w:sz w:val="18"/>
                <w:szCs w:val="18"/>
                <w:color w:val="auto"/>
              </w:rPr>
              <w:t>Defined benefit pension plan - net (loss) gain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31,014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(8,452)</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(expense) related to items in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18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39,165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98,090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65,312</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00"/>
          </w:cols>
          <w:pgMar w:left="260" w:top="36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138,838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174,935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Trade accounts receivable, net of allowances of $3,719 and $8,882</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265,737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251,799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280,347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296,332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90,160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99,080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775,082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822,146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300,112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269,251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1,079,496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1,159,627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926,475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937,905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19,917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16,078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3,107,887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Borrowings under senior credit facility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22,500</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trade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76,050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93,967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3,764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75,693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Short-term portion of contingent consideration</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22,793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84,545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87,708</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262,552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348,911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borrowings under senior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1,210,513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1,781,142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 under securitization facility</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121,200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65,130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80,048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53,768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1,732,091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2,248,951</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(Refer to Note 15)</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$0.01 par value; 240,000 authorized shares; 88,044 and 81,306 issued at December 31, 2018 and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2017, respectively</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1,192,601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821,758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2,881 and 2,912 shares at December 31, 2018 and 2017,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(121,644)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(45,443)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(23,807)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348,373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285,186</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1,375,796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962,306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3,107,887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364" w:right="2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ectPr>
          <w:pgSz w:w="11900" w:h="16838" w:orient="portrait"/>
          <w:cols w:equalWidth="0" w:num="1">
            <w:col w:w="11380"/>
          </w:cols>
          <w:pgMar w:left="280" w:top="369" w:right="2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Net income</w:t>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color w:val="auto"/>
        </w:rPr>
        <w:t>Adjustments to reconcile net income to net cash provided by operating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Depreciation and amortization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Non-cash impairment charges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Deferred income tax benefit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Share-based compensation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Amortization of debt issuance costs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Non-cash interest expense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Realized loss on sale of short-term investments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Loss on disposal of property and equipment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Gain on divestiture of business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Change in fair value of contingent consideration and others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Payment of accreted interest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Changes in assets and liabilities, net of business acquisitions: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receivable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Inventories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non-current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Accounts payable, accrued expenses and other current liabilities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Deferred revenue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non-current liabilities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provided by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INVESTING ACTIVITIES: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Change in restricted cash</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sale of short-term investments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note receivable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used in business acquisitions, net of cash acquired</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Purchases of property and equipment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sales of property and equipment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divestiture of business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FINANCING ACTIVITIES: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borrowings of long-term indebtedness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on debt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Net cash paid for contingent consideration</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the issuance of common stock, net of issuance costs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 of liability component of convertible notes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 of capital lease obligation</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Debt issuance costs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exercised stock options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taxes paid in net equity settlement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Effect of exchange rate changes on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at beginning of period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0" w:type="dxa"/>
            <w:vAlign w:val="bottom"/>
          </w:tcPr>
          <w:p>
            <w:pPr>
              <w:spacing w:after="0"/>
              <w:rPr>
                <w:sz w:val="13"/>
                <w:szCs w:val="13"/>
                <w:color w:val="auto"/>
              </w:rPr>
            </w:pPr>
          </w:p>
        </w:tc>
        <w:tc>
          <w:tcPr>
            <w:tcW w:w="1140" w:type="dxa"/>
            <w:vAlign w:val="bottom"/>
          </w:tcPr>
          <w:p>
            <w:pPr>
              <w:jc w:val="right"/>
              <w:ind w:right="562"/>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82"/>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62"/>
              <w:spacing w:after="0"/>
              <w:rPr>
                <w:sz w:val="20"/>
                <w:szCs w:val="20"/>
                <w:color w:val="auto"/>
              </w:rPr>
            </w:pPr>
            <w:r>
              <w:rPr>
                <w:rFonts w:ascii="Arial" w:cs="Arial" w:eastAsia="Arial" w:hAnsi="Arial"/>
                <w:sz w:val="12"/>
                <w:szCs w:val="12"/>
                <w:b w:val="1"/>
                <w:bCs w:val="1"/>
                <w:color w:val="auto"/>
              </w:rPr>
              <w:t>2016</w:t>
            </w:r>
          </w:p>
        </w:tc>
      </w:tr>
      <w:tr>
        <w:trPr>
          <w:trHeight w:val="270"/>
        </w:trPr>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ind w:left="140"/>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40"/>
        </w:trPr>
        <w:tc>
          <w:tcPr>
            <w:tcW w:w="3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60,801</w:t>
            </w:r>
          </w:p>
        </w:tc>
        <w:tc>
          <w:tcPr>
            <w:tcW w:w="120" w:type="dxa"/>
            <w:vAlign w:val="bottom"/>
          </w:tcPr>
          <w:p>
            <w:pPr>
              <w:spacing w:after="0"/>
              <w:rPr>
                <w:sz w:val="24"/>
                <w:szCs w:val="24"/>
                <w:color w:val="auto"/>
              </w:rPr>
            </w:pPr>
          </w:p>
        </w:tc>
        <w:tc>
          <w:tcPr>
            <w:tcW w:w="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64,743</w:t>
            </w:r>
          </w:p>
        </w:tc>
        <w:tc>
          <w:tcPr>
            <w:tcW w:w="100" w:type="dxa"/>
            <w:vAlign w:val="bottom"/>
          </w:tcPr>
          <w:p>
            <w:pPr>
              <w:spacing w:after="0"/>
              <w:rPr>
                <w:sz w:val="24"/>
                <w:szCs w:val="24"/>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74,564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110,730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88,945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72,665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4,941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3,290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(8,184)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(67,304)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(6,474)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20,779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21,550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17,310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6,270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2,722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2,529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8,074</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2,287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1,385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6,989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1,765</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(2,645)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1,214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(4,710)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(42,786)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(17,021)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(89,698)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(17,518)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8,300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(9,576)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3,933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(33,808)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14,912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1,052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(914)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(475)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3,588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95,321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(414)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1,504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3,874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1,251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23,803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591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199,683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114,544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116,405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4"/>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4,165</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16,951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910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26,704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(1,241,946)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225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(77,741)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(43,503)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(47,328)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422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316</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46,387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(49,705)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(1,221,335)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(42,622)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4"/>
        </w:trPr>
        <w:tc>
          <w:tcPr>
            <w:tcW w:w="36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171,200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1,307,000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680,000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(660,000)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(117,000)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(511,250)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(38,196)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(4,661)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349,590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(184,313)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(653)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(5,037)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(19,043)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(4,530)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9,392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9,774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10,481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(7,821)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(7,123)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(4,851)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(180,872)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1,168,947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(15,116)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(5,203)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10,724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(4,744)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(36,097)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72,880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53,923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174,935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102,055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48,132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138,838</w:t>
            </w:r>
          </w:p>
        </w:tc>
        <w:tc>
          <w:tcPr>
            <w:tcW w:w="1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174,935</w:t>
            </w:r>
          </w:p>
        </w:tc>
        <w:tc>
          <w:tcPr>
            <w:tcW w:w="100" w:type="dxa"/>
            <w:vAlign w:val="bottom"/>
          </w:tcPr>
          <w:p>
            <w:pPr>
              <w:spacing w:after="0"/>
              <w:rPr>
                <w:sz w:val="18"/>
                <w:szCs w:val="18"/>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102,055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-8094980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-7752080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-7409180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-7065645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-6722745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-6379845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-6036945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-5693410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-5350510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-5007610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-4664710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-4321810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-3970020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-3627120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-3284220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-2940685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-2597785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-2245995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-1903095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-1560195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-1217295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-874395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680"/>
          </w:cols>
          <w:pgMar w:left="280" w:top="369" w:right="239" w:bottom="1014" w:gutter="0" w:footer="0" w:header="0"/>
          <w:type w:val="continuous"/>
        </w:sectPr>
      </w:pP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380"/>
          </w:cols>
          <w:pgMar w:left="280" w:top="369" w:right="239" w:bottom="1014" w:gutter="0" w:footer="0" w:header="0"/>
          <w:type w:val="continuous"/>
        </w:sect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- 6</w:t>
      </w:r>
    </w:p>
    <w:p>
      <w:pPr>
        <w:sectPr>
          <w:pgSz w:w="11900" w:h="16838" w:orient="portrait"/>
          <w:cols w:equalWidth="0" w:num="1">
            <w:col w:w="11380"/>
          </w:cols>
          <w:pgMar w:left="280" w:top="369" w:right="239" w:bottom="1014"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960" w:type="dxa"/>
            <w:vAlign w:val="bottom"/>
            <w:gridSpan w:val="5"/>
          </w:tcPr>
          <w:p>
            <w:pPr>
              <w:ind w:left="54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January 1, 2016</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91,714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1,019,670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145,879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751,443</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74,564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74,564</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(9,252)</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Treasury shares retirement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(17,830)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367,121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(366,943)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convertible notes</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Exercise of convertible note hedge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(2,946)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123,051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for vesting of share-based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5,203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5,211</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Shared-based compensation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17,310</w:t>
            </w:r>
          </w:p>
        </w:tc>
        <w:tc>
          <w:tcPr>
            <w:tcW w:w="0" w:type="dxa"/>
            <w:vAlign w:val="bottom"/>
          </w:tcPr>
          <w:p>
            <w:pPr>
              <w:spacing w:after="0"/>
              <w:rPr>
                <w:sz w:val="1"/>
                <w:szCs w:val="1"/>
                <w:color w:val="auto"/>
              </w:rPr>
            </w:pPr>
          </w:p>
        </w:tc>
      </w:tr>
      <w:tr>
        <w:trPr>
          <w:trHeight w:val="28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December 31, 2016</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77,666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(2,946)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798,652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(57,154)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220,443</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839,667</w:t>
            </w: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64,743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64,743</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33,347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33,347</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for vesting of share-based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21,902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21,902</w:t>
            </w:r>
          </w:p>
        </w:tc>
        <w:tc>
          <w:tcPr>
            <w:tcW w:w="0" w:type="dxa"/>
            <w:vAlign w:val="bottom"/>
          </w:tcPr>
          <w:p>
            <w:pPr>
              <w:spacing w:after="0"/>
              <w:rPr>
                <w:sz w:val="1"/>
                <w:szCs w:val="1"/>
                <w:color w:val="auto"/>
              </w:rPr>
            </w:pPr>
          </w:p>
        </w:tc>
      </w:tr>
      <w:tr>
        <w:trPr>
          <w:trHeight w:val="243"/>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821,758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285,186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40" w:type="dxa"/>
            <w:vAlign w:val="bottom"/>
          </w:tcPr>
          <w:p>
            <w:pPr>
              <w:ind w:left="20"/>
              <w:spacing w:after="0"/>
              <w:rPr>
                <w:sz w:val="20"/>
                <w:szCs w:val="20"/>
                <w:color w:val="auto"/>
              </w:rPr>
            </w:pPr>
            <w:r>
              <w:rPr>
                <w:rFonts w:ascii="Arial" w:cs="Arial" w:eastAsia="Arial" w:hAnsi="Arial"/>
                <w:sz w:val="14"/>
                <w:szCs w:val="14"/>
                <w:color w:val="auto"/>
              </w:rPr>
              <w:t>Adoption of Update No. 2014-09</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2018-02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60,801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60,801</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vesting of share-based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Equity offering</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6,038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349,529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349,589</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20,712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88,044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(2,881)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(120,615)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1,192,601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348,373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1,375,796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00"/>
          </w:cols>
          <w:pgMar w:left="260" w:top="364" w:right="239" w:bottom="1440" w:gutter="0" w:footer="0" w:header="0"/>
        </w:sectPr>
      </w:pPr>
    </w:p>
    <w:bookmarkStart w:id="72" w:name="page73"/>
    <w:bookmarkEnd w:id="72"/>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ind w:right="2700"/>
        <w:spacing w:after="0" w:line="438" w:lineRule="auto"/>
        <w:rPr>
          <w:sz w:val="20"/>
          <w:szCs w:val="20"/>
          <w:color w:val="auto"/>
        </w:rPr>
      </w:pPr>
      <w:r>
        <w:rPr>
          <w:rFonts w:ascii="Arial" w:cs="Arial" w:eastAsia="Arial" w:hAnsi="Arial"/>
          <w:sz w:val="18"/>
          <w:szCs w:val="18"/>
          <w:color w:val="auto"/>
        </w:rPr>
        <w:t xml:space="preserve">The Company sells its products directly through various sales forces and through a variety of other distribution channels. </w:t>
      </w: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consolidated financial statements include the accounts of the Company and its subsidiaries, all of which are wholly owned. All intercompany accounts and transactions are eliminated in consolidation.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for details of new subsidiaries included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were $0.6 million, $2.0 million, and $0.4 million for the years ended December 31, 2018, 2017 and 2016,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47,715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58,637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47,595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280,347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296,332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2018 or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105,063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90,329</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137,914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31,231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30,511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127,946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17,394</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62,967</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555,292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489,185</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(255,180)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(219,934)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300,112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269,251</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associated with property, plant and equipment was $44.1 million, $36.1 million, and $31.2 million for the years ended December 31,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commences with the first expenditure for the project and continues until the project is substantially complete and ready for its intended 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When no debt is incurred specifically for a project, interest is capitalized on project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expenditures using the weighted average cost of the Company's outstanding borrowings. For the years ended December 31, 2018 and 2017, respectively, the Company capitalized $2.3 million and $1.1 million of interest expense into property, plant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Results of operations of acquired companies are included in the Company’s results of operations as of the respective acquisition dates. Acquired businesses are accounted for using the acquisition method of accounting, which requires that assets acquired and liabilities assumed be recorded at fair value, with limited exceptions. Any excess of the purchase price over the fair value of the net assets acquired is recorded as goodwill. Transaction costs and costs to restructure the acquired company are expensed as incurred. The operating results of the acquired business are reflected in the consolidated financial statements after the date of acquisition. Acquired in-process research and development (“IPR&amp;D”) is recognized at fair value and initially characterized as an indefinite-lived intangible asset, irrespective of whether the acquired IPR&amp;D has an alternative future use. Contingent consideration is recognized at the estimated fair value on the acquisition date. Subsequent changes to the fair value of contingent payments are recognized in selling, general and administrative expense in consolidated statements of operations.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incurred in an asset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annually as of July 31 and whenever events or changes in circumstances indicate the carrying value of goodwill may not be recoverable. Refer to Note 7,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for more information.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Company has two reportable segments with three underlying reporting units: Instruments and Neurosurgery, under Codman Specialty Surgical and Orthopedics and Tissue Technologies. Refer to Note 16,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xml:space="preserve"> for more information on reportable segments.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debt project is subsequently abandoned, the indefinite-lived intangible asset is charged to expense. IPR&amp;D acquired outside of a business combination is expensed immediately.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research and development projects,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$0.8 million and $0.5 million to the Integra Foundation during the years ended December 31, 2018 and 2017, respectively. There were no contributions to the Integra Foundation during 2016. These contributions were recorded in selling, general, and administrative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7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entered into a foreign currency forward contract that is not designated as a hedging instrument for accounting purposes. This contract is recorded at fair value, with the changes in fair value recognized into other income, net on the consolidated financial statements. Refer to Note 6,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(loss) gain of $1.7 million, $(2.9) million and $0.3 million are reported in other income, net in the statements of operations, for the year ended December 31, 2018, 2017 and 2016,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all of the deferred tax assets will not be realized. The effect on deferred tax assets and liabilities of a change in tax rates is recognized in income in the period when the change is enacted.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indefinitely reinvest substantially all of its foreign earnings. The current provisional analysis indicates that the Company has sufficient U.S. liquidity, including borrowing capacity, to fund foreseeable U.S. cash needs without requiring the repatriation of foreign cash. The Tax Cuts and Jobs Act (the “2017 Tax Act”), enacted in December 2017, imposed a toll tax on a deemed repatriation of undistributed earnings of foreign subsidiaries. One time or unusual items that may impact the ability or intent to keep the foreign earnings and cash indefinitely reinvested include significant U.S. acquisitions, loans from a foreign subsidiary, changes in tax laws.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year ended December 31, 2017. The Company applied the guidance of SAB No. 118 when accounting for the enactment date effects of the 2017 Tax Act in 2017 and throughout 2018. The Company finalized its calculations and completed its accounting for the income tax effect of the 2017 Tax Act in December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Refer to Note 3,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for more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7"/>
          <w:szCs w:val="17"/>
          <w:i w:val="1"/>
          <w:iCs w:val="1"/>
          <w:color w:val="auto"/>
        </w:rPr>
        <w:t xml:space="preserve">Compensation-Nonretirement Benefits </w:t>
      </w:r>
      <w:r>
        <w:rPr>
          <w:rFonts w:ascii="Arial" w:cs="Arial" w:eastAsia="Arial" w:hAnsi="Arial"/>
          <w:sz w:val="17"/>
          <w:szCs w:val="17"/>
          <w:color w:val="auto"/>
        </w:rPr>
        <w:t>and ASC Topic 420</w:t>
      </w:r>
      <w:r>
        <w:rPr>
          <w:rFonts w:ascii="Arial" w:cs="Arial" w:eastAsia="Arial" w:hAnsi="Arial"/>
          <w:sz w:val="17"/>
          <w:szCs w:val="17"/>
          <w:i w:val="1"/>
          <w:iCs w:val="1"/>
          <w:color w:val="auto"/>
        </w:rPr>
        <w:t xml:space="preserve"> One-time Employee Termination Benefits</w:t>
      </w:r>
      <w:r>
        <w:rPr>
          <w:rFonts w:ascii="Arial" w:cs="Arial" w:eastAsia="Arial" w:hAnsi="Arial"/>
          <w:sz w:val="17"/>
          <w:szCs w:val="17"/>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CERTIFICATE OF INCORPORATION AND STOCK SPLIT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25, 2016, the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affecting a two-for-one stock split. The Stockholders approved the amendment on its special Stockholders Meeting on December 21, 2016 and the Company filed a certificate of amendment to the amended and restated certificate of incorporation to affect the increase in authorized share of common stock and the two-for-one-stock split. Stockholders of record, as of the close of markets on December 21, 2016, became entitled to receive one additional share of common stock for each share held. The shares were distributed on January 3, 2017. No fractional shares of common stock were issued as a result of the two-for-one stock split. The adjusted stock price was reflected on the NASDAQ stock market on January 4, 2017.</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of common stock retained a par value of $0.01 per share. Accordingly, the stockholders' equity reflects the stock split by reclassifying from "Additional paid-in capital" to "Common stock" in an amount equal to the par value of the increased shares resulting from the stock split. All share and per share amounts of common stock contained in the Company's financial statements have been restated for all periods to give retroactive effect to the stock split.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applies the authoritative guidance for stock-based compensation. This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 Refer to Note 9,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maintains defined benefit pension plans that cover certain employees in Austria,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contributions to the defined benefit plans were $1.7 million and $0.5 million during the years ended December 31, 2018 and 2017. There were no contributions to the defined benefit plans for the year ended December 31, 2016.</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127"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2018, 2017 and 2016. </w:t>
      </w:r>
      <w:r>
        <w:rPr>
          <w:rFonts w:ascii="Arial" w:cs="Arial" w:eastAsia="Arial" w:hAnsi="Arial"/>
          <w:sz w:val="18"/>
          <w:szCs w:val="18"/>
          <w:b w:val="1"/>
          <w:bCs w:val="1"/>
          <w:i w:val="1"/>
          <w:iCs w:val="1"/>
          <w:color w:val="auto"/>
        </w:rPr>
        <w:t>NEW ACCOUNTING PRINCIPLES ADOPTED</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became effective for all annual periods and interim reporting periods beginning after December 15, 2017. The Company adopted Topic 606 as of January 1, 2018 using the modified retrospective method. The Company applies the practical expedient as defined in Topic 606 to recognize the incremental costs of obtaining contracts as an expense when incurred if the amortization period of the assets that the Company otherwise would have recognized is one year or less. These costs which are included in selling, general, and administrative expenses are consistent with the accounting prior to the adoption of Topic 606. The Company also elected to use the practical expedient to not adjust the promised amount of consideration for the effects of the time value of money for contracts in which the anticipated period between when the Company transfers the goods or services to the customer and when the customer pays is equal to one year or less. See Note 3, </w:t>
      </w:r>
      <w:r>
        <w:rPr>
          <w:rFonts w:ascii="Arial" w:cs="Arial" w:eastAsia="Arial" w:hAnsi="Arial"/>
          <w:sz w:val="17"/>
          <w:szCs w:val="17"/>
          <w:i w:val="1"/>
          <w:iCs w:val="1"/>
          <w:color w:val="auto"/>
        </w:rPr>
        <w:t>Revenues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for further information.</w:t>
      </w:r>
    </w:p>
    <w:p>
      <w:pPr>
        <w:spacing w:after="0" w:line="15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August 2016, the FASB issued Update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combinations, proceeds from the settlement of insurance claims and corporate-owned life insurance, distributions received from equity method investees and beneficial interests in securitization transaction. This update became effective for all annual periods and interim reporting periods beginning after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15, 2017. The Company adopted ASU 2016-15 effective January 1, 2018 on a retrospective basis. The adoption of this guidance had no significant impact on the Company's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that the income tax consequences of intra-entity transfers of assets other than inventory be recognized as a current-period income tax expense or benefit and removes the requirement to defer and amortize the consolidated tax consequences of intra-entity transfers. The new standard became effective for all annual periods beginning after December 15, 2017. The Company adopted ASU 2016-16 effective January 1, 2018. The adoption of this guidance had no significant impact on the Company's consolidated financial statements.</w:t>
      </w:r>
    </w:p>
    <w:p>
      <w:pPr>
        <w:spacing w:after="0" w:line="18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In March 2017, the FASB issued Update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Improving the Presentation of Net Periodic Pension Cost and Net Periodic Postretirement Benefit Cost. The guidance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were to be used to present the other components of net benefit cost, that line item or items must be appropriately described. If a separate line item or items is/are not used, the line item or items used in the income statement to present the other components of net benefit cost must be disclosed. In addition, the amendments also allow only the service cost component to be eligible for capitalization when applicable. The new standard became effective for annual periods beginning after December 15, 2017. The Company adopted ASU 2017-07 effective January 1, 2018. The Company recognized the components of net periodic benefit cost other than the service cost component in other (expense) income, net in the consolidated statements of operations. The adoption of this guidance had no significant impact on the Company's consolidated financial statements.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 xml:space="preserve"> The update serves to provide clarity and reduce both (1) diversity in practice and (2) cost and complexity when applying the guidance in Topic 718, Compensation-Stock Compensation, to a change to the terms or conditions of a share-based payment award. The new standard became effective for all annual periods beginning after December 15, 2017. The Company adopted ASU 2017-09 effective January 1, 2018. The adoption of this guidance had no significant impact on the Company's consolidated financial statements.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Targeted Improvements to Accounting for Hedging Activities.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elected to early adopt ASU 2017-12 effective January 1, 2017 using the modified retrospective method. The adoption of this guidance had no significant impact on the Company's consolidated financial statements.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This amendment allows a reclassification from accumulated other comprehensive income to retained earnings for stranded tax effects resulting from the 2017 Tax Act (as defined in Note 12, Income Taxes). This guidance is effective for annual and interim periods beginning after December 15, 2018. Early adoption is permitted. The Company elected to early adopt the ASU 2018-02 effective January 1, 2018, which resulted in the reclassification of $0.5 million from accumulated other comprehensive loss to retained earnings related to a net unrealized loss on cash flow hedges.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PRINCIPLES NOT YET ADOPTED</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current accounting guidance, an entity is not required to report operating leases on the balance sheet. The amendment requires that lessees recognize virtually all of its leases on the balance sheet by recording a right-of-use asset and lease liability (other than leases that meet the definition of a "short-term lease"). This update will become effective for all annual periods and interim reporting periods beginning after December 15, 2018. The Company will adopt this standard on January 1, 2019 using the modified retrospective method. The Company is currently finalizing the changes to its processes, systems and controls which are necessary to support recognition and disclosure under the new lease standard. The estimated impact of recording a right-of-use asset and lease liability for operating leases will increase total assets and total liabilities 2% and 4% respectively, when considering the balances of total assets and total liabilities as of December 31, 2018. During 2018, the Company entered into a lease for a new corporate headquarters in Princeton, NJ which will commence during the second quarter of 2019. The estimated impact above excludes the impact of this lease. The Company will make cumulative total payments of approximately $67.0 million over the term of the lease.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00"/>
          </w:cols>
          <w:pgMar w:left="240" w:top="121"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July 2018, the FASB issued ASU Number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Targeted Improvements. This update provides entities with an additional and optional transition method to adopt ASU Number 2016-02 with a cumulative-effect adjustment in the period of adoption. This update also provides guidance for a practical expedient that permits lessors to not separate non-lease components from the associated lease components. Additionally, in July 2018, the FASB issued ASU Number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This update provides additional guidance on the new lease model with improvements in numerous aspects of the guidance in ASC 842 including, but not limited to, implicit rates, reassessment of lease classification, terms and purchase options, investment tax credits, and various other transition guidance. The Company will adopt this ASU concurrently with ASU Number 2016-02.</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Plans-General (Subtopic 715-20).</w:t>
      </w:r>
      <w:r>
        <w:rPr>
          <w:rFonts w:ascii="Arial" w:cs="Arial" w:eastAsia="Arial" w:hAnsi="Arial"/>
          <w:sz w:val="16"/>
          <w:szCs w:val="16"/>
          <w:color w:val="auto"/>
        </w:rPr>
        <w:t xml:space="preserve">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Company plans to early adopt ASU 2018-14 on January 1, 2019. The adoption of this ASU is not expected to have a material impact on the consolidated financial statements.</w:t>
      </w:r>
    </w:p>
    <w:p>
      <w:pPr>
        <w:spacing w:after="0" w:line="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Inclusion of the Secured Overnight Financing Rate (SOFR) Overnight Index Swap (OIS) Rate as Benchmark Interest Rate for Hedge Accounting Purposes. This ASU permits use of the OIS rate based on the SOFR as a U.S. benchmark interest rate for hedge accounting purposes. This ASU is effective for fiscal years beginning after December 15, 2018 (fiscal 2020), and interim periods within those fiscal years, with early adoption permitted. The new guidance must be applied on a prospective basis. The Company plans to early adopt ASU 2018-16 on January 1, 2019. The adoption of this ASU is not expected to have a material impact on the consolidated financial statements.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paid for interest during the years ended December 31, 2018, 2017 and 2016 was $58.3 million (net of $2.3 million that was capitalized into construction in progress), $32.3 million (net of $1.1 million that was capitalized into construction in progress) and $57.2 million (net of $1.0 million that was capitalized into construction in progress), respectively. Cash paid for interest during the year ended December 31, 2016 includes a $42.8 million payment of accreted interest associated with convertible notes issued in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2016, the Company settled convertible notes issued in 2011 and issued 2.9 million shares of common stock with a fair value of $122.0 million. The Company also received 2.9 million shares of common stock from the exercise of call options with hedge participants with fair value of $123.1 million at the date of the exercise which was held as treasury stock as of December 31,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2017, the Company issued 2.8 million shares of common stock due to the exercise of 8.7 million warrants associated with convertible notes issued in 2011.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paid for income taxes, net of refunds, for the years ended December 31, 2018, 2017 and 2016 was $10.4 million, $14.6 million and $4.3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purchases included in liabilities at December 31, 2018, 2017 and 2016 were $5.4 million, $7.8 million and $4.7 million, respectively.</w:t>
      </w:r>
    </w:p>
    <w:p>
      <w:pPr>
        <w:spacing w:after="0" w:line="136" w:lineRule="exact"/>
        <w:rPr>
          <w:sz w:val="20"/>
          <w:szCs w:val="20"/>
          <w:color w:val="auto"/>
        </w:rPr>
      </w:pPr>
    </w:p>
    <w:p>
      <w:pPr>
        <w:ind w:right="6740" w:firstLine="8"/>
        <w:spacing w:after="0" w:line="443" w:lineRule="auto"/>
        <w:tabs>
          <w:tab w:leader="none" w:pos="1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CONTRACTS WITH CUSTOMERS </w:t>
      </w:r>
      <w:r>
        <w:rPr>
          <w:rFonts w:ascii="Arial" w:cs="Arial" w:eastAsia="Arial" w:hAnsi="Arial"/>
          <w:sz w:val="16"/>
          <w:szCs w:val="16"/>
          <w:b w:val="1"/>
          <w:bCs w:val="1"/>
          <w:i w:val="1"/>
          <w:iCs w:val="1"/>
          <w:u w:val="single" w:color="auto"/>
          <w:color w:val="auto"/>
        </w:rPr>
        <w:t>Summary of Accounting Policies on Revenue Recognition</w:t>
      </w: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approximately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a product in advance.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year ended December 31,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33"/>
              <w:spacing w:after="0"/>
              <w:rPr>
                <w:sz w:val="20"/>
                <w:szCs w:val="20"/>
                <w:color w:val="auto"/>
              </w:rPr>
            </w:pPr>
            <w:r>
              <w:rPr>
                <w:rFonts w:ascii="Arial" w:cs="Arial" w:eastAsia="Arial" w:hAnsi="Arial"/>
                <w:sz w:val="14"/>
                <w:szCs w:val="14"/>
                <w:b w:val="1"/>
                <w:bCs w:val="1"/>
                <w:color w:val="auto"/>
                <w:w w:val="94"/>
              </w:rPr>
              <w:t>(amounts in thousands)</w:t>
            </w:r>
          </w:p>
        </w:tc>
      </w:tr>
      <w:tr>
        <w:trPr>
          <w:trHeight w:val="209"/>
        </w:trPr>
        <w:tc>
          <w:tcPr>
            <w:tcW w:w="9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Contract Asset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asset, January 1, 2018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3,552</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r>
      <w:tr>
        <w:trPr>
          <w:trHeight w:val="243"/>
        </w:trPr>
        <w:tc>
          <w:tcPr>
            <w:tcW w:w="40" w:type="dxa"/>
            <w:vAlign w:val="bottom"/>
          </w:tcPr>
          <w:p>
            <w:pPr>
              <w:spacing w:after="0"/>
              <w:rPr>
                <w:sz w:val="21"/>
                <w:szCs w:val="21"/>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4,193</w:t>
            </w: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asset, December 31, 2018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9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7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liability, January 1, 2018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11,059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43"/>
        </w:trPr>
        <w:tc>
          <w:tcPr>
            <w:tcW w:w="40" w:type="dxa"/>
            <w:vAlign w:val="bottom"/>
          </w:tcPr>
          <w:p>
            <w:pPr>
              <w:spacing w:after="0"/>
              <w:rPr>
                <w:sz w:val="21"/>
                <w:szCs w:val="21"/>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4,780</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40" w:type="dxa"/>
            <w:vAlign w:val="bottom"/>
          </w:tcPr>
          <w:p>
            <w:pPr>
              <w:spacing w:after="0"/>
              <w:rPr>
                <w:sz w:val="22"/>
                <w:szCs w:val="22"/>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liability, December 31, 2018</w:t>
            </w:r>
          </w:p>
        </w:tc>
        <w:tc>
          <w:tcPr>
            <w:tcW w:w="3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12,716</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short-term portion of the contract liability of $3.8 million and the long-term portion of $8.9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 Company is expected to recognize revenue of approximately $3.8 million in 2019, $2.8 million in 2020, $1.9 million in 2021, $1.2 million in 2022, $0.8 million in 2023, and $2.2 million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years-ended December 31, 2018 and 2017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w:t>
            </w:r>
          </w:p>
        </w:tc>
        <w:tc>
          <w:tcPr>
            <w:tcW w:w="1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w:t>
            </w:r>
          </w:p>
        </w:tc>
      </w:tr>
      <w:tr>
        <w:trPr>
          <w:trHeight w:val="192"/>
        </w:trPr>
        <w:tc>
          <w:tcPr>
            <w:tcW w:w="6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31, 2018</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31, 2017</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31, 2016</w:t>
            </w:r>
          </w:p>
        </w:tc>
      </w:tr>
      <w:tr>
        <w:trPr>
          <w:trHeight w:val="270"/>
        </w:trPr>
        <w:tc>
          <w:tcPr>
            <w:tcW w:w="6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0" w:type="dxa"/>
            <w:vAlign w:val="bottom"/>
            <w:gridSpan w:val="3"/>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684,148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446,994</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367,985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279,781</w:t>
            </w:r>
          </w:p>
        </w:tc>
        <w:tc>
          <w:tcPr>
            <w:tcW w:w="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273,307</w:t>
            </w:r>
          </w:p>
        </w:tc>
        <w:tc>
          <w:tcPr>
            <w:tcW w:w="3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264,539</w:t>
            </w: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963,929</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720,301</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632,524</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Wound Reconstruction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305,465</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269,068</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178,524</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96,688</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97,067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106,359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99,991</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83,960</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508,512</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467,935</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359,551</w:t>
            </w:r>
          </w:p>
        </w:tc>
      </w:tr>
      <w:tr>
        <w:trPr>
          <w:trHeight w:val="257"/>
        </w:trPr>
        <w:tc>
          <w:tcPr>
            <w:tcW w:w="66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1,472,441</w:t>
            </w:r>
          </w:p>
        </w:tc>
        <w:tc>
          <w:tcPr>
            <w:tcW w:w="3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1,188,236</w:t>
            </w:r>
          </w:p>
        </w:tc>
        <w:tc>
          <w:tcPr>
            <w:tcW w:w="3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992,075</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Total assets and liabilities increased by $7.1 million and $5.2 million, respectively, as of January 1, 2018.</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of Topic 606 to the Company's consolidated statement of operations for the year ended December 31, 2018 was as follows:</w:t>
      </w:r>
    </w:p>
    <w:p>
      <w:pPr>
        <w:spacing w:after="0" w:line="200" w:lineRule="exact"/>
        <w:rPr>
          <w:sz w:val="20"/>
          <w:szCs w:val="20"/>
          <w:color w:val="auto"/>
        </w:rPr>
      </w:pPr>
    </w:p>
    <w:p>
      <w:pPr>
        <w:spacing w:after="0" w:line="20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 w:lineRule="exact"/>
        <w:rPr>
          <w:sz w:val="20"/>
          <w:szCs w:val="20"/>
          <w:color w:val="auto"/>
        </w:rPr>
      </w:pPr>
    </w:p>
    <w:tbl>
      <w:tblPr>
        <w:tblLayout w:type="fixed"/>
        <w:tblInd w:w="8460" w:type="dxa"/>
        <w:tblCellMar>
          <w:top w:w="0" w:type="dxa"/>
          <w:left w:w="0" w:type="dxa"/>
          <w:bottom w:w="0" w:type="dxa"/>
          <w:right w:w="0" w:type="dxa"/>
        </w:tblCellMar>
      </w:tblPr>
      <w:tr>
        <w:trPr>
          <w:trHeight w:val="161"/>
        </w:trPr>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As Reported</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Excluding Impact of</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3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1,472,441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1,468,075</w:t>
            </w:r>
          </w:p>
        </w:tc>
      </w:tr>
      <w:tr>
        <w:trPr>
          <w:trHeight w:val="27"/>
        </w:trPr>
        <w:tc>
          <w:tcPr>
            <w:tcW w:w="5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3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571,496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570,028</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(3,398)</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(4,119)</w:t>
            </w:r>
          </w:p>
        </w:tc>
      </w:tr>
      <w:tr>
        <w:trPr>
          <w:trHeight w:val="27"/>
        </w:trPr>
        <w:tc>
          <w:tcPr>
            <w:tcW w:w="5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7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60,801</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58,624</w:t>
            </w:r>
          </w:p>
        </w:tc>
      </w:tr>
      <w:tr>
        <w:trPr>
          <w:trHeight w:val="27"/>
        </w:trPr>
        <w:tc>
          <w:tcPr>
            <w:tcW w:w="506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- 19</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606 had no significant impact on the Company's consolidated balance sheet as of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PRO FORMA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2017, the Company entered into a binding offer letter (the “Offer Letter”) with DePuy Synthes, Inc., a Delaware corporation (“DePuy Synthes”), a wholly-owned subsidiary of Johnson &amp; Johnson, pursuant to which Integra made a binding offer to acquire certain assets, and assume certain liabilities, of Johnson &amp; Johnson’s Codman neurosurgery business (the “Codman Acquisition”). The assets and liabilities subject to the proposed Codman Acquisition relate to the research, development, manufacturing, marketing, distribution and sale of certain products used in connection with neurosurgery procedures. The purchase price for the Codman Acquisition was $1.014 billion.</w:t>
      </w:r>
    </w:p>
    <w:p>
      <w:pPr>
        <w:spacing w:after="0" w:line="8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Codman Acquisition was accounted for using the acquisition method of business combination under ASC 805, Business Combinations. This method requires that assets acquired and liabilities assumed in a business combination be recognized at their fair values as of the acquisition date. During the third quarter of 2018, the Company completed the purchase accounting for the Codman Acquisition.</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connection with the closing of the Codman Acquisition, the Company and DePuy Synthes entered into certain additional ancillary agreements, including transition services agreements, a transition manufacturing services agreement and certain other customary agreements. Amounts accrued and due to DePuy Synthes as of December 31, 2018 and 2017 were $22.8 million and $25.4 million, respectively.</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Codman Neurosurgery of approximately $312.5 million and $76.9 million, in the consolidated statements of operations and comprehensive income for the years ended December 31, 2018 and 2017, respectively. The net income or loss attributable to this acquisition cannot be identified on a stand-alone basis because it is in the process of being integrated into the Company's operations.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measurement period adjustments subsequent to the acquisition date: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Final Valuation</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64"/>
        </w:trPr>
        <w:tc>
          <w:tcPr>
            <w:tcW w:w="7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41,339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375,200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342,322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2018, the Company received cash of $26.7 million from DePuy Synthes related to working capital adjustments, which was recorded within investing activities on the consolidated statements of cash flows.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recorded measurement period adjustments to goodwill totaling $4.0 million. During the first half of 2018, the Company adjusted goodwill by $3.2 million because of working capital adjustments of $6.2 million that were offset by inventory adjustments of $3.0 million. During the third quarter 2018, the Company adjusted goodwill by $0.8 million after finalizing the valuation step up of property, plant and equipment of $5.5 million. The adjustment for property, plant and equipment was offset by completed technology intangible asset adjustments of $4.7 million.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three quarters of 2018, the Company paid $15.9 million for inventory that was included in the initial purchase accounting. The payment was included within financing activities on the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$17.3 million in cost of goods sold related to fair value inventory purchase accounting adjustments for the year ended December 31, 2018.</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Codman Specialty Surgical segment. Goodwill is the excess of the consideration transferred over the net assets recognized and represents the expected revenue and cost synergies of the combined company and assembled workforce. Goodwill recognized as a result of the acquisition is generally deductible for income tax purposes.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2017, the Company wrote-off construction in progress of $6.3 million related to a project acquired from Codman Neurosurgery that the Company decided to discontinue after the Codman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8, 2017, to facilitate the acquisition of the Codman Neurosurgery Business, the Company and certain of its subsidiaries entered into an asset purchase agreement (the “Divestiture Agreement”) with Natus Medical Incorporated (“Natus”), pursuant to which the Company agreed to divest its Camino® Intracranial Pressure monitoring and the U.S. rights to its fixed pressure shunts businesses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86"/>
        </w:trPr>
        <w:tc>
          <w:tcPr>
            <w:tcW w:w="9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8,348</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30,813</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2,861</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43,180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held for sale includes assets and liabilities related to U.S. dural graft implant, external ventricular drainage catheters and cerebrospinal fluid collection systems businesses acquired as part of acquisition of Codman Neurosurgery.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consolidated balance sheet, related to estimated cost of assets to be provided to Natus upon termination of transitional supply agreement.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The Company recognized a gain on sale of business of $2.6 million included in other income, net in its consolidated statement of operations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Derma Sciences acquisition was accounted for using the acquisition method of business combination under ASC 805, Business Combinations. This method requires that assets acquired and liabilities assumed in a business combination be recognized at their fair values as of the acquisition date.</w:t>
      </w:r>
    </w:p>
    <w:p>
      <w:pPr>
        <w:spacing w:after="0" w:line="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purchase accounting adjustments subsequent to the acquisition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ind w:right="512"/>
              <w:spacing w:after="0"/>
              <w:rPr>
                <w:sz w:val="20"/>
                <w:szCs w:val="20"/>
                <w:color w:val="auto"/>
              </w:rPr>
            </w:pPr>
            <w:r>
              <w:rPr>
                <w:rFonts w:ascii="Arial" w:cs="Arial" w:eastAsia="Arial" w:hAnsi="Arial"/>
                <w:sz w:val="14"/>
                <w:szCs w:val="14"/>
                <w:b w:val="1"/>
                <w:bCs w:val="1"/>
                <w:color w:val="auto"/>
              </w:rPr>
              <w:t>Final Valuation</w:t>
            </w:r>
          </w:p>
        </w:tc>
        <w:tc>
          <w:tcPr>
            <w:tcW w:w="120" w:type="dxa"/>
            <w:vAlign w:val="bottom"/>
          </w:tcPr>
          <w:p>
            <w:pPr>
              <w:spacing w:after="0"/>
              <w:rPr>
                <w:sz w:val="16"/>
                <w:szCs w:val="16"/>
                <w:color w:val="auto"/>
              </w:rPr>
            </w:pPr>
          </w:p>
        </w:tc>
        <w:tc>
          <w:tcPr>
            <w:tcW w:w="1820" w:type="dxa"/>
            <w:vAlign w:val="bottom"/>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53"/>
        </w:trPr>
        <w:tc>
          <w:tcPr>
            <w:tcW w:w="7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58"/>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jc w:val="right"/>
              <w:ind w:right="31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78,300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year</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73,765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Goodwill related to the Derma Sciences acquisition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this acquisition is not deductible for income tax purposes. During the first quarter of 2018, the Company completed its purchase accounting of Derma Sciences.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realized loss of $2.3 million included in other income, net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- 22</w:t>
      </w:r>
    </w:p>
    <w:p>
      <w:pPr>
        <w:sectPr>
          <w:pgSz w:w="11900" w:h="16838" w:orient="portrait"/>
          <w:cols w:equalWidth="0" w:num="1">
            <w:col w:w="11420"/>
          </w:cols>
          <w:pgMar w:left="240" w:top="121"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not receive a tax benefit and deferred tax liability $0.5 million related to various deferred items. In the second quarter of 2017, the Company decreased the preliminary estimated value of the net deferred tax assets by $1.5 million to reflect adjustments to preliminary estimated fair values of assets and liabilities acquired. In fourth quarter of 2017, the Company decreased the preliminary value of the deferred tax asset by $3.3 million to reflect returns filed for periods prior to the acquisition date and adjustments for expected effective state tax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 with the FDA to communicate its disagreement with the FDA’s assertion that certain products are more than minimally manipulated. The FDA has not changed its position that certain of the BioD acquired products are not eligible for marketing solely under Section 361.</w:t>
      </w:r>
    </w:p>
    <w:p>
      <w:pPr>
        <w:spacing w:after="0" w:line="5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tissue-based products fall into the high-risk category. As of February 26, 2019, the Company has not received any further notice of enforcement action from the FDA regarding its morselized amniotic tissue-based products. Nonetheless, the Company can make no assurances that the FDA will continue to exercise its enforcement discretion with respect to the Company’s amniotic membrane tissue-based products, and any potential action of the FDA could have a financial impact regarding the sales of such products. The Company has been evaluating and is considering regulatory approval pathways for its morselized amniotic membrane tissue-based products.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material-based products for the year ended December 31, 2018 were less than 1.0% of consolidated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57"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24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date of the acquisition, net sales used in estimating the BioD Earnout Payments is based on the weighted average of different possible scenarios using revenue volatility of 13.5% .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The Company made no additional payments after the final earn out period ended on June 30, 2018. As of December 31, 2017, the estimated fair value of the remaining portion of the BioD Earnout Payments was $0.3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was included in cash used in business acquisition, net of cash acquired within investing activities in the condensed consolidated statements of cash flows since the payment was made shortly after the acquisition.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the acquisition, net sales used in estimating the Medihoney Earnout Payments was based on the weighted average of different possible scenarios using revenue volatility of 27.5%. The Medihoney Earnout Payments were valued using a discount rate of 4.5%. The maximum payout related to the Medihoney Earnout Payments is $5.0 million. During the second quarter of 2018, the Company paid $2.0 million for the Medihoney Earnout Payment. The estimated fair value as of December 31, 2018 was $0.2 million. The estimated fair value as of February 24, 2017 and December 31, 2017 was $1.4 million.</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Contingent consideration is re-measured to fair value at each reporting date until the contingency is resolved, and those changes in fair value are recognized in earnings. Depending on the expected timing of the estimated payments, the acquisition date fair values and subsequent remeasurement could be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2017 and 2016 as if the acquisitions of Codman Neurosurgery, Derma Sciences and divestiture to Natus, which were completed by the Company during 2017 had been completed as of the beginning 2016. The pro forma results are based upon certain assumptions and estimates, and they give effect to actual operating results prior to the acquisitions and adjustments to reflect (i) the change in interest expense, depreciation expense, intangible asset amortization and fair value inventory step-up,</w:t>
      </w:r>
    </w:p>
    <w:p>
      <w:pPr>
        <w:spacing w:after="0" w:line="2" w:lineRule="exact"/>
        <w:rPr>
          <w:sz w:val="20"/>
          <w:szCs w:val="20"/>
          <w:color w:val="auto"/>
        </w:rPr>
      </w:pPr>
    </w:p>
    <w:p>
      <w:pPr>
        <w:jc w:val="both"/>
        <w:ind w:firstLine="8"/>
        <w:spacing w:after="0" w:line="281" w:lineRule="auto"/>
        <w:tabs>
          <w:tab w:leader="none" w:pos="2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timing of recognition for certain expenses that will not be recurring in the post-acquisition period, which includes $2.9 million incurred by Derma Sciences prior to acquisition and $24.9 million incurred by Integra, (iii) gain from the sale of business of $2.6 million related to the Divestiture to Natus, and</w:t>
      </w:r>
    </w:p>
    <w:p>
      <w:pPr>
        <w:spacing w:after="0" w:line="1" w:lineRule="exact"/>
        <w:rPr>
          <w:rFonts w:ascii="Arial" w:cs="Arial" w:eastAsia="Arial" w:hAnsi="Arial"/>
          <w:sz w:val="16"/>
          <w:szCs w:val="16"/>
          <w:color w:val="auto"/>
        </w:rPr>
      </w:pPr>
    </w:p>
    <w:p>
      <w:pPr>
        <w:jc w:val="both"/>
        <w:ind w:firstLine="8"/>
        <w:spacing w:after="0" w:line="255" w:lineRule="auto"/>
        <w:tabs>
          <w:tab w:leader="none" w:pos="3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gridSpan w:val="2"/>
          </w:tcPr>
          <w:p>
            <w:pPr>
              <w:jc w:val="center"/>
              <w:ind w:left="760"/>
              <w:spacing w:after="0"/>
              <w:rPr>
                <w:sz w:val="20"/>
                <w:szCs w:val="20"/>
                <w:color w:val="auto"/>
              </w:rPr>
            </w:pPr>
            <w:r>
              <w:rPr>
                <w:rFonts w:ascii="Arial" w:cs="Arial" w:eastAsia="Arial" w:hAnsi="Arial"/>
                <w:sz w:val="14"/>
                <w:szCs w:val="14"/>
                <w:b w:val="1"/>
                <w:bCs w:val="1"/>
                <w:color w:val="auto"/>
                <w:w w:val="93"/>
              </w:rPr>
              <w:t>Year Ended December 31,</w:t>
            </w:r>
          </w:p>
        </w:tc>
        <w:tc>
          <w:tcPr>
            <w:tcW w:w="1320" w:type="dxa"/>
            <w:vAlign w:val="bottom"/>
          </w:tcPr>
          <w:p>
            <w:pPr>
              <w:spacing w:after="0"/>
              <w:rPr>
                <w:sz w:val="16"/>
                <w:szCs w:val="16"/>
                <w:color w:val="auto"/>
              </w:rPr>
            </w:pPr>
          </w:p>
        </w:tc>
      </w:tr>
      <w:tr>
        <w:trPr>
          <w:trHeight w:val="276"/>
        </w:trPr>
        <w:tc>
          <w:tcPr>
            <w:tcW w:w="2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2016</w:t>
            </w:r>
          </w:p>
        </w:tc>
      </w:tr>
      <w:tr>
        <w:trPr>
          <w:trHeight w:val="250"/>
        </w:trPr>
        <w:tc>
          <w:tcPr>
            <w:tcW w:w="27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2"/>
          </w:tcPr>
          <w:p>
            <w:pPr>
              <w:jc w:val="center"/>
              <w:ind w:left="740"/>
              <w:spacing w:after="0"/>
              <w:rPr>
                <w:sz w:val="20"/>
                <w:szCs w:val="20"/>
                <w:color w:val="auto"/>
              </w:rPr>
            </w:pPr>
            <w:r>
              <w:rPr>
                <w:rFonts w:ascii="Arial" w:cs="Arial" w:eastAsia="Arial" w:hAnsi="Arial"/>
                <w:sz w:val="14"/>
                <w:szCs w:val="14"/>
                <w:b w:val="1"/>
                <w:bCs w:val="1"/>
                <w:color w:val="auto"/>
                <w:w w:val="98"/>
              </w:rPr>
              <w:t>(Pro forma)</w:t>
            </w:r>
          </w:p>
        </w:tc>
        <w:tc>
          <w:tcPr>
            <w:tcW w:w="1320" w:type="dxa"/>
            <w:vAlign w:val="bottom"/>
            <w:tcBorders>
              <w:bottom w:val="single" w:sz="8" w:color="auto"/>
            </w:tcBorders>
          </w:tcPr>
          <w:p>
            <w:pPr>
              <w:spacing w:after="0"/>
              <w:rPr>
                <w:sz w:val="21"/>
                <w:szCs w:val="21"/>
                <w:color w:val="auto"/>
              </w:rPr>
            </w:pPr>
          </w:p>
        </w:tc>
      </w:tr>
      <w:tr>
        <w:trPr>
          <w:trHeight w:val="190"/>
        </w:trPr>
        <w:tc>
          <w:tcPr>
            <w:tcW w:w="27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20" w:type="dxa"/>
            <w:vAlign w:val="bottom"/>
            <w:gridSpan w:val="3"/>
          </w:tcPr>
          <w:p>
            <w:pPr>
              <w:jc w:val="center"/>
              <w:ind w:right="414"/>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55"/>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Total revenue from continuing operations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40"/>
              <w:spacing w:after="0"/>
              <w:rPr>
                <w:sz w:val="20"/>
                <w:szCs w:val="20"/>
                <w:color w:val="auto"/>
              </w:rPr>
            </w:pPr>
            <w:r>
              <w:rPr>
                <w:rFonts w:ascii="Arial" w:cs="Arial" w:eastAsia="Arial" w:hAnsi="Arial"/>
                <w:sz w:val="18"/>
                <w:szCs w:val="18"/>
                <w:color w:val="auto"/>
              </w:rPr>
              <w:t>1,428,491</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1,446,903</w:t>
            </w:r>
          </w:p>
        </w:tc>
      </w:tr>
      <w:tr>
        <w:trPr>
          <w:trHeight w:val="27"/>
        </w:trPr>
        <w:tc>
          <w:tcPr>
            <w:tcW w:w="2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81,730</w:t>
            </w:r>
          </w:p>
        </w:tc>
        <w:tc>
          <w:tcPr>
            <w:tcW w:w="9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27,520</w:t>
            </w:r>
          </w:p>
        </w:tc>
      </w:tr>
      <w:tr>
        <w:trPr>
          <w:trHeight w:val="324"/>
        </w:trPr>
        <w:tc>
          <w:tcPr>
            <w:tcW w:w="2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from continuing operations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9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r>
      <w:tr>
        <w:trPr>
          <w:trHeight w:val="257"/>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Consortium of Focused Orthopedists</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January 8, 2019, the Company announced that it had signed a license and development agreement with Consortium of Focused Orthopedists, LLC, for a short stem and stemless shoulder system. The Company is assessing the economics of the transaction and expects to complete the accounting for the transaction during the first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1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ectPr>
          <w:pgSz w:w="11900" w:h="16838" w:orient="portrait"/>
          <w:cols w:equalWidth="0" w:num="1">
            <w:col w:w="11420"/>
          </w:cols>
          <w:pgMar w:left="240" w:top="121"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6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Execution of May 2018 Amendment through March 31, 2019</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5.50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 through March 31, 2020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June 30, 2020 through March 31, 2021</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4.50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 and thereafter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71" w:lineRule="exact"/>
        <w:rPr>
          <w:sz w:val="20"/>
          <w:szCs w:val="20"/>
          <w:color w:val="auto"/>
        </w:rPr>
      </w:pPr>
    </w:p>
    <w:p>
      <w:pPr>
        <w:ind w:left="660" w:right="5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right="68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 plus the applicable rate (ranging from 0% to 0.75%),</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0.35%),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2018 and 2017, there was $345.0 million and $655.0 million outstanding, respectively, under the revolving portion of the Senior Credit Facility at a weighted average interest rate of 4.0% and 3.7%, respectively. At December 31, 2018 and 2017, there was $900.0 million and $1.2 billion outstanding under the Term Loan component of the Senior Credit Facility at a weighted average interest rate of 3.9% and 3.6%,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2018 the Company was in compliance with all such covenants. The Company capitalized $4.2 million and $19.1 million of incremental financing costs in 2018 and 2017, respectively, in connection with the modifications of the Senior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Senior Credit Facility are due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5860" w:type="dxa"/>
            <w:vAlign w:val="bottom"/>
            <w:gridSpan w:val="3"/>
          </w:tcPr>
          <w:p>
            <w:pPr>
              <w:jc w:val="right"/>
              <w:ind w:right="4060"/>
              <w:spacing w:after="0"/>
              <w:rPr>
                <w:sz w:val="20"/>
                <w:szCs w:val="20"/>
                <w:color w:val="auto"/>
              </w:rPr>
            </w:pPr>
            <w:r>
              <w:rPr>
                <w:rFonts w:ascii="Arial" w:cs="Arial" w:eastAsia="Arial" w:hAnsi="Arial"/>
                <w:sz w:val="16"/>
                <w:szCs w:val="16"/>
                <w:b w:val="1"/>
                <w:bCs w:val="1"/>
                <w:color w:val="auto"/>
                <w:w w:val="90"/>
              </w:rPr>
              <w:t>Year Ended December 31,</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2"/>
              </w:rPr>
              <w:t>Principal Repayment</w:t>
            </w:r>
          </w:p>
        </w:tc>
      </w:tr>
      <w:tr>
        <w:trPr>
          <w:trHeight w:val="48"/>
        </w:trPr>
        <w:tc>
          <w:tcPr>
            <w:tcW w:w="36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3680" w:type="dxa"/>
            <w:vAlign w:val="bottom"/>
          </w:tcPr>
          <w:p>
            <w:pPr>
              <w:jc w:val="right"/>
              <w:ind w:right="3190"/>
              <w:spacing w:after="0"/>
              <w:rPr>
                <w:sz w:val="20"/>
                <w:szCs w:val="20"/>
                <w:color w:val="auto"/>
              </w:rPr>
            </w:pPr>
            <w:r>
              <w:rPr>
                <w:rFonts w:ascii="Arial" w:cs="Arial" w:eastAsia="Arial" w:hAnsi="Arial"/>
                <w:sz w:val="18"/>
                <w:szCs w:val="18"/>
                <w:color w:val="auto"/>
                <w:w w:val="94"/>
              </w:rPr>
              <w:t>2019</w:t>
            </w:r>
          </w:p>
        </w:tc>
        <w:tc>
          <w:tcPr>
            <w:tcW w:w="5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jc w:val="right"/>
              <w:ind w:right="3190"/>
              <w:spacing w:after="0"/>
              <w:rPr>
                <w:sz w:val="20"/>
                <w:szCs w:val="20"/>
                <w:color w:val="auto"/>
              </w:rPr>
            </w:pPr>
            <w:r>
              <w:rPr>
                <w:rFonts w:ascii="Arial" w:cs="Arial" w:eastAsia="Arial" w:hAnsi="Arial"/>
                <w:sz w:val="18"/>
                <w:szCs w:val="18"/>
                <w:color w:val="auto"/>
                <w:w w:val="94"/>
              </w:rPr>
              <w:t>2020</w:t>
            </w:r>
          </w:p>
        </w:tc>
        <w:tc>
          <w:tcPr>
            <w:tcW w:w="18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r>
      <w:tr>
        <w:trPr>
          <w:trHeight w:val="243"/>
        </w:trPr>
        <w:tc>
          <w:tcPr>
            <w:tcW w:w="3680" w:type="dxa"/>
            <w:vAlign w:val="bottom"/>
          </w:tcPr>
          <w:p>
            <w:pPr>
              <w:jc w:val="right"/>
              <w:ind w:right="3190"/>
              <w:spacing w:after="0"/>
              <w:rPr>
                <w:sz w:val="20"/>
                <w:szCs w:val="20"/>
                <w:color w:val="auto"/>
              </w:rPr>
            </w:pPr>
            <w:r>
              <w:rPr>
                <w:rFonts w:ascii="Arial" w:cs="Arial" w:eastAsia="Arial" w:hAnsi="Arial"/>
                <w:sz w:val="18"/>
                <w:szCs w:val="18"/>
                <w:color w:val="auto"/>
                <w:w w:val="94"/>
              </w:rPr>
              <w:t>2021</w:t>
            </w:r>
          </w:p>
        </w:tc>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56,250</w:t>
            </w: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jc w:val="right"/>
              <w:ind w:right="3190"/>
              <w:spacing w:after="0"/>
              <w:rPr>
                <w:sz w:val="20"/>
                <w:szCs w:val="20"/>
                <w:color w:val="auto"/>
              </w:rPr>
            </w:pPr>
            <w:r>
              <w:rPr>
                <w:rFonts w:ascii="Arial" w:cs="Arial" w:eastAsia="Arial" w:hAnsi="Arial"/>
                <w:sz w:val="18"/>
                <w:szCs w:val="18"/>
                <w:color w:val="auto"/>
                <w:w w:val="94"/>
              </w:rPr>
              <w:t>2022</w:t>
            </w:r>
          </w:p>
        </w:tc>
        <w:tc>
          <w:tcPr>
            <w:tcW w:w="18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67,500</w:t>
            </w:r>
          </w:p>
        </w:tc>
      </w:tr>
      <w:tr>
        <w:trPr>
          <w:trHeight w:val="243"/>
        </w:trPr>
        <w:tc>
          <w:tcPr>
            <w:tcW w:w="3680" w:type="dxa"/>
            <w:vAlign w:val="bottom"/>
          </w:tcPr>
          <w:p>
            <w:pPr>
              <w:jc w:val="right"/>
              <w:ind w:right="3190"/>
              <w:spacing w:after="0"/>
              <w:rPr>
                <w:sz w:val="20"/>
                <w:szCs w:val="20"/>
                <w:color w:val="auto"/>
              </w:rPr>
            </w:pPr>
            <w:r>
              <w:rPr>
                <w:rFonts w:ascii="Arial" w:cs="Arial" w:eastAsia="Arial" w:hAnsi="Arial"/>
                <w:sz w:val="18"/>
                <w:szCs w:val="18"/>
                <w:color w:val="auto"/>
                <w:w w:val="94"/>
              </w:rPr>
              <w:t>2023</w:t>
            </w:r>
          </w:p>
        </w:tc>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708,750</w:t>
            </w:r>
          </w:p>
        </w:tc>
      </w:tr>
      <w:tr>
        <w:trPr>
          <w:trHeight w:val="27"/>
        </w:trPr>
        <w:tc>
          <w:tcPr>
            <w:tcW w:w="36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revolving credit component of the Senior Credit Facility is due on May 3,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is for an initial three-year term and may be extended. The agreement governing the Securitization Facility contains certain covenants and termination events. An occurrence of an event of default or a termination event under this Securitization Facility may give rise to the right of its counterparty to terminate this facility. As of December 31, 2018, the Company was in compliance with the covenants,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none of the termination events had occurred. As of December 31, 2018, the Company had $121.2 million of outstanding borrowings under its Securitization Facility at a weighted average interest rate of 3.4%.</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 at December 31, 2018 were approximately $322.2 million and $852.1 million, respectively. The fair value of the outstanding borrowing of the Securitization facility at December 31, 2018 was approximately $116.4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December 31, 2018 and 2017 totaled $0.6 million, respectively. There were no amounts drawn as of December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2018 (dollar amounts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Hedged Item</w:t>
      </w:r>
    </w:p>
    <w:p>
      <w:pPr>
        <w:spacing w:after="0" w:line="200" w:lineRule="exact"/>
        <w:rPr>
          <w:sz w:val="20"/>
          <w:szCs w:val="20"/>
          <w:color w:val="auto"/>
        </w:r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3-month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1-month USD LIBOR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interest rate</w:t>
      </w:r>
    </w:p>
    <w:p>
      <w:pPr>
        <w:ind w:left="1320"/>
        <w:spacing w:after="0" w:line="221" w:lineRule="auto"/>
        <w:rPr>
          <w:sz w:val="20"/>
          <w:szCs w:val="20"/>
          <w:color w:val="auto"/>
        </w:rPr>
      </w:pPr>
      <w:r>
        <w:rPr>
          <w:rFonts w:ascii="Arial" w:cs="Arial" w:eastAsia="Arial" w:hAnsi="Arial"/>
          <w:sz w:val="14"/>
          <w:szCs w:val="14"/>
          <w:color w:val="auto"/>
        </w:rPr>
        <w:t>derivatives</w:t>
      </w:r>
    </w:p>
    <w:p>
      <w:pPr>
        <w:ind w:left="1320"/>
        <w:spacing w:after="0"/>
        <w:rPr>
          <w:sz w:val="20"/>
          <w:szCs w:val="20"/>
          <w:color w:val="auto"/>
        </w:rPr>
      </w:pPr>
      <w:r>
        <w:rPr>
          <w:rFonts w:ascii="Arial" w:cs="Arial" w:eastAsia="Arial" w:hAnsi="Arial"/>
          <w:sz w:val="11"/>
          <w:szCs w:val="11"/>
          <w:color w:val="auto"/>
        </w:rPr>
        <w:t>designated as cash</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flow hedges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1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Estimated Fair</w:t>
            </w:r>
          </w:p>
        </w:tc>
      </w:tr>
      <w:tr>
        <w:trPr>
          <w:trHeight w:val="174"/>
        </w:trPr>
        <w:tc>
          <w:tcPr>
            <w:tcW w:w="1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Floating Rate</w:t>
            </w:r>
          </w:p>
        </w:tc>
        <w:tc>
          <w:tcPr>
            <w:tcW w:w="10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86"/>
              </w:rPr>
              <w:t>Value</w:t>
            </w:r>
          </w:p>
        </w:tc>
      </w:tr>
      <w:tr>
        <w:trPr>
          <w:trHeight w:val="163"/>
        </w:trPr>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78"/>
              </w:rPr>
              <w:t>Assets</w:t>
            </w:r>
          </w:p>
        </w:tc>
      </w:tr>
      <w:tr>
        <w:trPr>
          <w:trHeight w:val="182"/>
        </w:trPr>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(Liabilities)</w:t>
            </w:r>
          </w:p>
        </w:tc>
      </w:tr>
      <w:tr>
        <w:trPr>
          <w:trHeight w:val="256"/>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410</w:t>
            </w:r>
          </w:p>
        </w:tc>
      </w:tr>
      <w:tr>
        <w:trPr>
          <w:trHeight w:val="338"/>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415</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July 12,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1.834%</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619</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1,287</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1.971%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1,246</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1,491</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1,460</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418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162</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2.313%</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2,076</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3.220%</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(2,594)</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3.199%</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(2,551)</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3.209%</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(2,568)</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2.885%</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351"/>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2.867%</w:t>
            </w: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w:t>
            </w:r>
          </w:p>
        </w:tc>
      </w:tr>
      <w:tr>
        <w:trPr>
          <w:trHeight w:val="95"/>
        </w:trPr>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8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1,475,000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-3601085</wp:posOffset>
            </wp:positionV>
            <wp:extent cx="583184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3">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-3154680</wp:posOffset>
            </wp:positionV>
            <wp:extent cx="583184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4">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-2708910</wp:posOffset>
            </wp:positionV>
            <wp:extent cx="583184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5">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-2263140</wp:posOffset>
            </wp:positionV>
            <wp:extent cx="583184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6">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-1817370</wp:posOffset>
            </wp:positionV>
            <wp:extent cx="583184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7">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-1370965</wp:posOffset>
            </wp:positionV>
            <wp:extent cx="583184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8">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-925195</wp:posOffset>
            </wp:positionV>
            <wp:extent cx="583184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9">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-479425</wp:posOffset>
            </wp:positionV>
            <wp:extent cx="583184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50">
                      <a:extLst>
                        <a:ext uri="{28A0092B-C50C-407E-A947-70E740481C1C}"/>
                      </a:extLst>
                    </a:blip>
                    <a:srcRect/>
                    <a:stretch>
                      <a:fillRect/>
                    </a:stretch>
                  </pic:blipFill>
                  <pic:spPr bwMode="auto">
                    <a:xfrm>
                      <a:off x="0" y="0"/>
                      <a:ext cx="5831840" cy="22288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146050</wp:posOffset>
            </wp:positionV>
            <wp:extent cx="5486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163195</wp:posOffset>
            </wp:positionV>
            <wp:extent cx="548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488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5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889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4">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-4055110</wp:posOffset>
            </wp:positionV>
            <wp:extent cx="5831840"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5">
                      <a:extLst>
                        <a:ext uri="{28A0092B-C50C-407E-A947-70E740481C1C}"/>
                      </a:extLst>
                    </a:blip>
                    <a:srcRect/>
                    <a:stretch>
                      <a:fillRect/>
                    </a:stretch>
                  </pic:blipFill>
                  <pic:spPr bwMode="auto">
                    <a:xfrm>
                      <a:off x="0" y="0"/>
                      <a:ext cx="5831840" cy="231775"/>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2340" w:space="240"/>
            <w:col w:w="8840"/>
          </w:cols>
          <w:pgMar w:left="240" w:top="121"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the following interest rate swaps as of December 31, 2017 (dollar amounts in thousands):</w:t>
      </w:r>
    </w:p>
    <w:p>
      <w:pPr>
        <w:sectPr>
          <w:pgSz w:w="11900" w:h="16838" w:orient="portrait"/>
          <w:cols w:equalWidth="0" w:num="1">
            <w:col w:w="11420"/>
          </w:cols>
          <w:pgMar w:left="240" w:top="121" w:right="23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Estimated Fair</w:t>
            </w:r>
          </w:p>
        </w:tc>
        <w:tc>
          <w:tcPr>
            <w:tcW w:w="0" w:type="dxa"/>
            <w:vAlign w:val="bottom"/>
          </w:tcPr>
          <w:p>
            <w:pPr>
              <w:spacing w:after="0"/>
              <w:rPr>
                <w:sz w:val="1"/>
                <w:szCs w:val="1"/>
                <w:color w:val="auto"/>
              </w:rPr>
            </w:pPr>
          </w:p>
        </w:tc>
      </w:tr>
      <w:tr>
        <w:trPr>
          <w:trHeight w:val="174"/>
        </w:trPr>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Designation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Termination Date</w:t>
            </w: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Rate</w:t>
            </w:r>
          </w:p>
        </w:tc>
        <w:tc>
          <w:tcPr>
            <w:tcW w:w="1420" w:type="dxa"/>
            <w:vAlign w:val="bottom"/>
            <w:gridSpan w:val="2"/>
          </w:tcPr>
          <w:p>
            <w:pPr>
              <w:ind w:left="280"/>
              <w:spacing w:after="0"/>
              <w:rPr>
                <w:sz w:val="20"/>
                <w:szCs w:val="20"/>
                <w:color w:val="auto"/>
              </w:rPr>
            </w:pPr>
            <w:r>
              <w:rPr>
                <w:rFonts w:ascii="Arial" w:cs="Arial" w:eastAsia="Arial" w:hAnsi="Arial"/>
                <w:sz w:val="13"/>
                <w:szCs w:val="13"/>
                <w:b w:val="1"/>
                <w:bCs w:val="1"/>
                <w:color w:val="auto"/>
              </w:rPr>
              <w:t>Floating Rate</w:t>
            </w:r>
          </w:p>
        </w:tc>
        <w:tc>
          <w:tcPr>
            <w:tcW w:w="80" w:type="dxa"/>
            <w:vAlign w:val="bottom"/>
          </w:tcPr>
          <w:p>
            <w:pPr>
              <w:spacing w:after="0"/>
              <w:rPr>
                <w:sz w:val="15"/>
                <w:szCs w:val="15"/>
                <w:color w:val="auto"/>
              </w:rPr>
            </w:pPr>
          </w:p>
        </w:tc>
        <w:tc>
          <w:tcPr>
            <w:tcW w:w="78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ind w:right="33"/>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8"/>
        </w:trPr>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ind w:right="33"/>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145"/>
        </w:trPr>
        <w:tc>
          <w:tcPr>
            <w:tcW w:w="14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3-month USD LIBOR</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5"/>
              </w:rPr>
              <w:t>June 22, 2016</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3-month USD LIBOR</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05"/>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85"/>
              </w:rPr>
              <w:t>June 22, 2016</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2"/>
              </w:rPr>
              <w:t>1.062%</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91"/>
        </w:trPr>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July 12, 2016</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tcPr>
          <w:p>
            <w:pPr>
              <w:spacing w:after="0"/>
              <w:rPr>
                <w:sz w:val="14"/>
                <w:szCs w:val="14"/>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86"/>
              </w:rPr>
              <w:t>February 6, 2017</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2"/>
              </w:rPr>
              <w:t>1.834%</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91"/>
        </w:trPr>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6"/>
              </w:rPr>
              <w:t>February 6, 2017</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tcPr>
          <w:p>
            <w:pPr>
              <w:spacing w:after="0"/>
              <w:rPr>
                <w:sz w:val="14"/>
                <w:szCs w:val="14"/>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2021</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2"/>
              </w:rPr>
              <w:t>1.971%</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91"/>
        </w:trPr>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6"/>
              </w:rPr>
              <w:t>December 31, 2022</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86"/>
              </w:rPr>
              <w:t>December 31, 2022</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2"/>
              </w:rPr>
              <w:t>2.201%</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91"/>
        </w:trPr>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5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2"/>
              </w:rPr>
              <w:t>2.423%</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91"/>
        </w:trPr>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6"/>
              </w:rPr>
              <w:t>December 31, 2024</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w w:val="92"/>
              </w:rPr>
              <w:t>2.313%</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1-month USD LIBOR</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Total interest rate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derivatives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3"/>
              </w:rPr>
              <w:t>1,050,000</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91"/>
        </w:trPr>
        <w:tc>
          <w:tcPr>
            <w:tcW w:w="1460" w:type="dxa"/>
            <w:vAlign w:val="bottom"/>
            <w:gridSpan w:val="2"/>
            <w:vMerge w:val="restart"/>
          </w:tcPr>
          <w:p>
            <w:pPr>
              <w:ind w:left="180"/>
              <w:spacing w:after="0"/>
              <w:rPr>
                <w:sz w:val="20"/>
                <w:szCs w:val="20"/>
                <w:color w:val="auto"/>
              </w:rPr>
            </w:pPr>
            <w:r>
              <w:rPr>
                <w:rFonts w:ascii="Arial" w:cs="Arial" w:eastAsia="Arial" w:hAnsi="Arial"/>
                <w:sz w:val="14"/>
                <w:szCs w:val="14"/>
                <w:color w:val="auto"/>
              </w:rPr>
              <w:t>designated as cash</w:t>
            </w:r>
          </w:p>
        </w:tc>
        <w:tc>
          <w:tcPr>
            <w:tcW w:w="1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-300355</wp:posOffset>
            </wp:positionV>
            <wp:extent cx="5814695"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56">
                      <a:extLst>
                        <a:ext uri="{28A0092B-C50C-407E-A947-70E740481C1C}"/>
                      </a:extLst>
                    </a:blip>
                    <a:srcRect/>
                    <a:stretch>
                      <a:fillRect/>
                    </a:stretch>
                  </pic:blipFill>
                  <pic:spPr bwMode="auto">
                    <a:xfrm>
                      <a:off x="0" y="0"/>
                      <a:ext cx="5814695" cy="4114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4"/>
          <w:szCs w:val="14"/>
          <w:color w:val="auto"/>
        </w:rPr>
        <w:t>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17145</wp:posOffset>
            </wp:positionV>
            <wp:extent cx="548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7">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17145</wp:posOffset>
            </wp:positionV>
            <wp:extent cx="488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5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designated these derivative instruments as cash flow hedges. Changes in the fair value of a derivative that is designated as a cash flow hedge and is highly effective are recorded in accumulated other comprehensive income / (loss) until the underlying transaction affects earnings and are then reclassified to earnings in the same account as the hedged transaction. If the hedged cash flow does not occur, or if it becomes probable that it will not occur, the Company will reclassify the amount of any gain or loss on the related cash flow hedge to interest expense at that time.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For contracts that are designated as hedging instruments, the Company assesses the effectiveness of the contracts. The change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 in fair value of the contracts are recognized in other income (expense), net in the consolidated statements of operation, along with the offsetting foreign currency gain or loss on the underlying assets or liabilities.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currencies.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For the years ended December 31, 2018 and 2017, the Company recognized a $0.2 million loss and a $0.1 million gain, respectively, from the change in fair value of the contract, which was included in other income (expense), net in the consolidated statement of operations. The foreign currency forward contract was settled on September 28,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CHF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 held the following cross-currency rate swaps designated as cash flow hedges as of December 31, 2018 and 2017 (dollar amounts in thousands):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8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Aggregate Notional</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3"/>
                <w:szCs w:val="13"/>
                <w:color w:val="auto"/>
              </w:rPr>
            </w:pPr>
          </w:p>
        </w:tc>
        <w:tc>
          <w:tcPr>
            <w:tcW w:w="13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05"/>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9"/>
                <w:szCs w:val="9"/>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Asset (Liability)</w:t>
            </w:r>
          </w:p>
        </w:tc>
        <w:tc>
          <w:tcPr>
            <w:tcW w:w="180" w:type="dxa"/>
            <w:vAlign w:val="bottom"/>
          </w:tcPr>
          <w:p>
            <w:pPr>
              <w:spacing w:after="0"/>
              <w:rPr>
                <w:sz w:val="9"/>
                <w:szCs w:val="9"/>
                <w:color w:val="auto"/>
              </w:rPr>
            </w:pPr>
          </w:p>
        </w:tc>
        <w:tc>
          <w:tcPr>
            <w:tcW w:w="13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October 2, 2020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97,065</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35"/>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October 2, 2021</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35"/>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October 2, 2022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135"/>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cross-currency swaps are carried on the consolidated balance sheet at fair value, and changes in the fair values are recorded as unrealized gains or losses in AOCI. For the years ended December 31, 2018 and 2017, the Company recorded a gain of $2.2 million and $1.1 million, respectively, in other income, net related to change in fair value related to the foreign currency rate translation to offset the gains or losses recognized on the intercompany loan.</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2018 and 2017, the Company recorded a gain of $9.1 million and loss $2.1 million, respectively, in AOCI related to change in fair value of the cross-currency swaps.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2018 and 2017, the Company recorded a gain of $7.9 million and $1.9 million, respectively, in other income, net included in the consolidated statements of operations related to the interest rate differential of the cross-currency swaps.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gain that is expected to be reclassified to other income, net from AOCI as of December 31, 2018 within the next twelve months is $7.6 million. As of December 31, 2018, the Company does not expect any gains or losses will be reclassified into earnings as a result of the discontinuance of these cash flow hedges because the original forecasted transaction will not occur.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in its international operations from foreign currency purchases, net investments in foreign subsidiaries, and foreign currency assets and liabilities created in the normal course of business.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net investment hedges, the effective portion of the gains and losses on the instruments arising from the effects of foreign exchange are recorded in the currency translation adjustment component of accumulated other comprehensive income / (loss), consistent with the underlying hedged item.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 2018, the Company entered into cross-currency swap agreements designated as net investment hedges to partially offset the effects of foreign currency translation on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the following cross-currency rate swaps designated as net investment hedges as of December 31, 2018 (dollar amounts in thousands):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4"/>
                <w:szCs w:val="14"/>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Fixed Rate</w:t>
            </w:r>
          </w:p>
        </w:tc>
        <w:tc>
          <w:tcPr>
            <w:tcW w:w="2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Aggregate Notional</w:t>
            </w:r>
          </w:p>
        </w:tc>
        <w:tc>
          <w:tcPr>
            <w:tcW w:w="1680" w:type="dxa"/>
            <w:vAlign w:val="bottom"/>
          </w:tcPr>
          <w:p>
            <w:pPr>
              <w:jc w:val="right"/>
              <w:ind w:right="5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680" w:type="dxa"/>
            <w:vAlign w:val="bottom"/>
          </w:tcPr>
          <w:p>
            <w:pPr>
              <w:jc w:val="right"/>
              <w:ind w:right="414"/>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3, 2018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EUR</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70,738</w:t>
            </w:r>
          </w:p>
        </w:tc>
        <w:tc>
          <w:tcPr>
            <w:tcW w:w="30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0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82,000</w:t>
            </w:r>
          </w:p>
        </w:tc>
        <w:tc>
          <w:tcPr>
            <w:tcW w:w="30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3, 2018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EUR</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51,760</w:t>
            </w:r>
          </w:p>
        </w:tc>
        <w:tc>
          <w:tcPr>
            <w:tcW w:w="30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0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60,000</w:t>
            </w:r>
          </w:p>
        </w:tc>
        <w:tc>
          <w:tcPr>
            <w:tcW w:w="30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3, 2018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EUR</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38,820</w:t>
            </w:r>
          </w:p>
        </w:tc>
        <w:tc>
          <w:tcPr>
            <w:tcW w:w="30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GBP</w:t>
            </w:r>
          </w:p>
        </w:tc>
        <w:tc>
          <w:tcPr>
            <w:tcW w:w="120" w:type="dxa"/>
            <w:vAlign w:val="bottom"/>
            <w:shd w:val="clear" w:color="auto" w:fill="CCEEFF"/>
          </w:tcPr>
          <w:p>
            <w:pPr>
              <w:spacing w:after="0"/>
              <w:rPr>
                <w:sz w:val="23"/>
                <w:szCs w:val="23"/>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3, 2018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GBP</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30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10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167,500</w:t>
            </w:r>
          </w:p>
        </w:tc>
        <w:tc>
          <w:tcPr>
            <w:tcW w:w="30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3, 2018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CHF</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165,172</w:t>
            </w:r>
          </w:p>
        </w:tc>
        <w:tc>
          <w:tcPr>
            <w:tcW w:w="30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10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GBP</w:t>
            </w:r>
          </w:p>
        </w:tc>
        <w:tc>
          <w:tcPr>
            <w:tcW w:w="12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GBP</w:t>
            </w: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30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AOCI. For the year ended December 31, 2018, the Company recorded a gain of $1.7 million in AOCI related to the change in fair value of the cross-currency swaps.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 ended December 31, 2018, the Company recorded a gain of $2.4 million in interest income included in the consolidated statements of operations related to the interest rate differential of the cross-currency swaps.</w:t>
      </w:r>
    </w:p>
    <w:p>
      <w:pPr>
        <w:spacing w:after="0" w:line="35" w:lineRule="exact"/>
        <w:rPr>
          <w:sz w:val="20"/>
          <w:szCs w:val="20"/>
          <w:color w:val="auto"/>
        </w:rPr>
      </w:pPr>
    </w:p>
    <w:p>
      <w:pPr>
        <w:ind w:right="180"/>
        <w:spacing w:after="0" w:line="344" w:lineRule="auto"/>
        <w:rPr>
          <w:sz w:val="20"/>
          <w:szCs w:val="20"/>
          <w:color w:val="auto"/>
        </w:rPr>
      </w:pPr>
      <w:r>
        <w:rPr>
          <w:rFonts w:ascii="Arial" w:cs="Arial" w:eastAsia="Arial" w:hAnsi="Arial"/>
          <w:sz w:val="18"/>
          <w:szCs w:val="18"/>
          <w:color w:val="auto"/>
        </w:rPr>
        <w:t xml:space="preserve">The estimated gain that is expected to be reclassified to interest income from AOCI as of December 31, 2018 within the next twelve months is $8.9 million.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 for derivatives designated as hedging instruments:</w:t>
      </w:r>
    </w:p>
    <w:p>
      <w:pPr>
        <w:spacing w:after="0" w:line="375"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Fair Value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Location on Balance Sheet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b w:val="1"/>
          <w:bCs w:val="1"/>
          <w:color w:val="auto"/>
        </w:rPr>
        <w:t>Derivatives designated as hedges — Assets: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Cash Flow Hedges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Cross-currency swap</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6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940" w:val="left"/>
          <w:tab w:leader="none" w:pos="160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4,654</w:t>
        <w:tab/>
        <w:t>$</w:t>
      </w:r>
      <w:r>
        <w:rPr>
          <w:sz w:val="20"/>
          <w:szCs w:val="20"/>
          <w:color w:val="auto"/>
        </w:rPr>
        <w:tab/>
      </w:r>
      <w:r>
        <w:rPr>
          <w:rFonts w:ascii="Arial" w:cs="Arial" w:eastAsia="Arial" w:hAnsi="Arial"/>
          <w:sz w:val="16"/>
          <w:szCs w:val="16"/>
          <w:color w:val="auto"/>
        </w:rPr>
        <w:t>1,521</w:t>
      </w:r>
    </w:p>
    <w:p>
      <w:pPr>
        <w:spacing w:after="0" w:line="63"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7,615</w:t>
      </w:r>
      <w:r>
        <w:rPr>
          <w:sz w:val="20"/>
          <w:szCs w:val="20"/>
          <w:color w:val="auto"/>
        </w:rPr>
        <w:tab/>
      </w:r>
      <w:r>
        <w:rPr>
          <w:rFonts w:ascii="Arial" w:cs="Arial" w:eastAsia="Arial" w:hAnsi="Arial"/>
          <w:sz w:val="18"/>
          <w:szCs w:val="18"/>
          <w:color w:val="auto"/>
        </w:rPr>
        <w:t>7,757</w:t>
      </w:r>
    </w:p>
    <w:p>
      <w:pPr>
        <w:spacing w:after="0" w:line="320"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CCEEFF"/>
          </w:tcPr>
          <w:p>
            <w:pPr>
              <w:spacing w:after="0"/>
              <w:rPr>
                <w:sz w:val="23"/>
                <w:szCs w:val="23"/>
                <w:color w:val="auto"/>
              </w:rPr>
            </w:pPr>
          </w:p>
        </w:tc>
        <w:tc>
          <w:tcPr>
            <w:tcW w:w="8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8060" w:type="dxa"/>
            <w:vAlign w:val="bottom"/>
            <w:gridSpan w:val="3"/>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2,491</w:t>
            </w: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806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 —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8060" w:type="dxa"/>
            <w:vAlign w:val="bottom"/>
            <w:gridSpan w:val="3"/>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1,845</w:t>
            </w:r>
          </w:p>
        </w:tc>
      </w:tr>
      <w:tr>
        <w:trPr>
          <w:trHeight w:val="250"/>
        </w:trPr>
        <w:tc>
          <w:tcPr>
            <w:tcW w:w="83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8060" w:type="dxa"/>
            <w:vAlign w:val="bottom"/>
            <w:gridSpan w:val="3"/>
            <w:shd w:val="clear" w:color="auto" w:fill="CCEEFF"/>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280" w:type="dxa"/>
            <w:vAlign w:val="bottom"/>
          </w:tcPr>
          <w:p>
            <w:pPr>
              <w:spacing w:after="0"/>
              <w:rPr>
                <w:sz w:val="21"/>
                <w:szCs w:val="21"/>
                <w:color w:val="auto"/>
              </w:rPr>
            </w:pPr>
          </w:p>
        </w:tc>
        <w:tc>
          <w:tcPr>
            <w:tcW w:w="806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11,714</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806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designated as hedges —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3" w:lineRule="auto"/>
        <w:tabs>
          <w:tab w:leader="none" w:pos="34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At December 31, 2018 and 2017, the total notional amounts related to the Company’s interest rate swaps were $1.5 billion and $1.1 billion,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consolidated statements of operations during the years ended December 31, 2018 and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9"/>
              </w:rPr>
              <w:t>Balance in AOCI</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8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End of Year</w:t>
            </w:r>
          </w:p>
        </w:tc>
        <w:tc>
          <w:tcPr>
            <w:tcW w:w="22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68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income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10,148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(6,190)</w:t>
            </w:r>
          </w:p>
        </w:tc>
        <w:tc>
          <w:tcPr>
            <w:tcW w:w="228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w:t>
            </w:r>
          </w:p>
        </w:tc>
        <w:tc>
          <w:tcPr>
            <w:tcW w:w="2280" w:type="dxa"/>
            <w:vAlign w:val="bottom"/>
          </w:tcPr>
          <w:p>
            <w:pPr>
              <w:ind w:left="140"/>
              <w:spacing w:after="0"/>
              <w:rPr>
                <w:sz w:val="20"/>
                <w:szCs w:val="20"/>
                <w:color w:val="auto"/>
              </w:rPr>
            </w:pPr>
            <w:r>
              <w:rPr>
                <w:rFonts w:ascii="Arial" w:cs="Arial" w:eastAsia="Arial" w:hAnsi="Arial"/>
                <w:sz w:val="18"/>
                <w:szCs w:val="18"/>
                <w:color w:val="auto"/>
              </w:rPr>
              <w:t>Interest income (expense)</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592</w:t>
            </w:r>
          </w:p>
        </w:tc>
        <w:tc>
          <w:tcPr>
            <w:tcW w:w="2280" w:type="dxa"/>
            <w:vAlign w:val="bottom"/>
          </w:tcPr>
          <w:p>
            <w:pPr>
              <w:ind w:left="140"/>
              <w:spacing w:after="0"/>
              <w:rPr>
                <w:sz w:val="20"/>
                <w:szCs w:val="20"/>
                <w:color w:val="auto"/>
              </w:rPr>
            </w:pPr>
            <w:r>
              <w:rPr>
                <w:rFonts w:ascii="Arial" w:cs="Arial" w:eastAsia="Arial" w:hAnsi="Arial"/>
                <w:sz w:val="18"/>
                <w:szCs w:val="18"/>
                <w:color w:val="auto"/>
              </w:rPr>
              <w:t>Interest income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F - 31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third quarter of 2018, the Company elected to bypass the qualitative assessment for its three reporting units and perform a quantitative test. The assumptions used in evaluating goodwill for impairment are subject to change and are tracked against historical results by management.</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estimated the fair value of its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134"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3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In performing this test, the Company utilized a discount rate of 9.0%.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Given the excess of the estimated fair values over their carrying values, no impairment was recognized.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2018 and 2017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Codman Specialty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Orthopedics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Tissue</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Surgical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January 1, 2017</w:t>
            </w:r>
          </w:p>
        </w:tc>
        <w:tc>
          <w:tcPr>
            <w:tcW w:w="29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226,213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510,571</w:t>
            </w:r>
          </w:p>
        </w:tc>
        <w:tc>
          <w:tcPr>
            <w:tcW w:w="0" w:type="dxa"/>
            <w:vAlign w:val="bottom"/>
          </w:tcPr>
          <w:p>
            <w:pPr>
              <w:spacing w:after="0"/>
              <w:rPr>
                <w:sz w:val="1"/>
                <w:szCs w:val="1"/>
                <w:color w:val="auto"/>
              </w:rPr>
            </w:pPr>
          </w:p>
        </w:tc>
      </w:tr>
      <w:tr>
        <w:trPr>
          <w:trHeight w:val="324"/>
        </w:trPr>
        <w:tc>
          <w:tcPr>
            <w:tcW w:w="4700" w:type="dxa"/>
            <w:vAlign w:val="bottom"/>
          </w:tcPr>
          <w:p>
            <w:pPr>
              <w:ind w:left="40"/>
              <w:spacing w:after="0"/>
              <w:rPr>
                <w:sz w:val="20"/>
                <w:szCs w:val="20"/>
                <w:color w:val="auto"/>
              </w:rPr>
            </w:pPr>
            <w:r>
              <w:rPr>
                <w:rFonts w:ascii="Arial" w:cs="Arial" w:eastAsia="Arial" w:hAnsi="Arial"/>
                <w:sz w:val="18"/>
                <w:szCs w:val="18"/>
                <w:color w:val="auto"/>
              </w:rPr>
              <w:t>Derma Sciences acquisition</w:t>
            </w: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00" w:type="dxa"/>
            <w:vAlign w:val="bottom"/>
            <w:vMerge w:val="restart"/>
          </w:tcPr>
          <w:p>
            <w:pPr>
              <w:jc w:val="right"/>
              <w:ind w:right="34"/>
              <w:spacing w:after="0"/>
              <w:rPr>
                <w:sz w:val="20"/>
                <w:szCs w:val="20"/>
                <w:color w:val="auto"/>
              </w:rPr>
            </w:pPr>
            <w:r>
              <w:rPr>
                <w:rFonts w:ascii="Arial" w:cs="Arial" w:eastAsia="Arial" w:hAnsi="Arial"/>
                <w:sz w:val="18"/>
                <w:szCs w:val="18"/>
                <w:color w:val="auto"/>
              </w:rPr>
              <w:t>73,765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73,765</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Codman acquisition</w:t>
            </w:r>
          </w:p>
        </w:tc>
        <w:tc>
          <w:tcPr>
            <w:tcW w:w="2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346,220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346,220</w:t>
            </w:r>
          </w:p>
        </w:tc>
        <w:tc>
          <w:tcPr>
            <w:tcW w:w="0" w:type="dxa"/>
            <w:vAlign w:val="bottom"/>
          </w:tcPr>
          <w:p>
            <w:pPr>
              <w:spacing w:after="0"/>
              <w:rPr>
                <w:sz w:val="1"/>
                <w:szCs w:val="1"/>
                <w:color w:val="auto"/>
              </w:rPr>
            </w:pPr>
          </w:p>
        </w:tc>
      </w:tr>
      <w:tr>
        <w:trPr>
          <w:trHeight w:val="88"/>
        </w:trPr>
        <w:tc>
          <w:tcPr>
            <w:tcW w:w="470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40"/>
              <w:spacing w:after="0"/>
              <w:rPr>
                <w:sz w:val="20"/>
                <w:szCs w:val="20"/>
                <w:color w:val="auto"/>
              </w:rPr>
            </w:pPr>
            <w:r>
              <w:rPr>
                <w:rFonts w:ascii="Arial" w:cs="Arial" w:eastAsia="Arial" w:hAnsi="Arial"/>
                <w:sz w:val="18"/>
                <w:szCs w:val="18"/>
                <w:color w:val="auto"/>
              </w:rPr>
              <w:t>Divestment to Natus</w:t>
            </w: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 at December 31, 2017</w:t>
            </w:r>
          </w:p>
        </w:tc>
        <w:tc>
          <w:tcPr>
            <w:tcW w:w="27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634,767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303,138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acquisition measurement period adjustments</w:t>
            </w:r>
          </w:p>
        </w:tc>
        <w:tc>
          <w:tcPr>
            <w:tcW w:w="2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at December 31, 2018</w:t>
            </w:r>
          </w:p>
        </w:tc>
        <w:tc>
          <w:tcPr>
            <w:tcW w:w="29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625,760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300,715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926,475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00" w:type="dxa"/>
            <w:vAlign w:val="bottom"/>
          </w:tcPr>
          <w:p>
            <w:pPr>
              <w:spacing w:after="0"/>
              <w:rPr>
                <w:sz w:val="24"/>
                <w:szCs w:val="24"/>
                <w:color w:val="auto"/>
              </w:rPr>
            </w:pPr>
          </w:p>
        </w:tc>
        <w:tc>
          <w:tcPr>
            <w:tcW w:w="2980" w:type="dxa"/>
            <w:vAlign w:val="bottom"/>
            <w:gridSpan w:val="2"/>
          </w:tcPr>
          <w:p>
            <w:pPr>
              <w:jc w:val="right"/>
              <w:ind w:right="1679"/>
              <w:spacing w:after="0"/>
              <w:rPr>
                <w:sz w:val="20"/>
                <w:szCs w:val="20"/>
                <w:color w:val="auto"/>
              </w:rPr>
            </w:pPr>
            <w:r>
              <w:rPr>
                <w:rFonts w:ascii="Arial" w:cs="Arial" w:eastAsia="Arial" w:hAnsi="Arial"/>
                <w:sz w:val="18"/>
                <w:szCs w:val="18"/>
                <w:color w:val="auto"/>
              </w:rPr>
              <w:t>F - 32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855,679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688,295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231,448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124,589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162,054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1,398,921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1,079,496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 2017</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years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869,174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141,469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162,900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11,511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1,416,615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1,159,627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2018 and 2017, all other included IPR&amp;D of $1.0 million, which was indefinite-lived.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for research and development expenses related to IPR&amp;D projects during 2018 and 2017.</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During the third quarter of 2018, the Company elected to bypass the qualitative assessment for its Codman Tradename intangible asset and perform a quantitative test. In performing this test, the Company utilized a discount rate of 13.0%.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2018, the Company recorded an impairment charge of $4.9 million in cost of goods sold related to completed technology assets acquired from Koby Ventures II, L.P dba Metasurg ("Metasurg Technology") due to recent contract negotiations and revised future projections. Metasurg Technology is included in the Orthopedic and Tissue Technology segment. Of the total impairment charge of $4.9 million, $2.5 million was related to an out-of-period adjustment included in the twelve months ended December 31, 2018. The out-of-period adjustment is attributed to the timing of performing the impairment test based on the contract termination associated with the intangible asset. The Company determined that the adjustment was not material to the consolidated financial statements for any previously reported annual or interim period and the adjustment to correct the misstatements is not material to the period ended December 31, 2018.</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(including amounts reported in cost of product revenues, but excluding any possible future amortization associated with acquired IPR&amp;D) for the years ended December 31, 2018, 2017 and 2016 was $71.6 million, $52.8 million and $41.5 million, respectively. Annual amortization expense is expected to approximate $66.2 million in 2019, $65.9 million in 2020, $64.8 million in 2021, $61.3 million in 2022, $60.4 million in 2023 and $596.6 million thereafter. Amortization of product technology based intangible assets totaled $50.4 million, $35.7 million and $27.6 million for the years ended December 31, 2018, 2017 and 2016, respectively, and is presented by the Company within cost of goods sold.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2.9 million shares of treasury stock outstanding as of December 31, 2018 and 2017, with cost of $120.6 million and $121.6 million, respectively, at a weighted average of $41.87 and $41.77 per share, respectively.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during the years ended December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6,741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tax benefit related to stock-based compensation expense for the year ended December 31, 2018 does not include adjustments related to the effect of 2017 Tax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2018, 2.0 million shares remain available for purchase under the ESPP. During the years ended December 31, 2018, 2017 and 2016, the Company issued 16,721 shares, 12,168 shares and 12,494 shares under the ESPP for $0.7 million, $0.6 million and $0.5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Restricted stock issued under the Plans vests ratably over specified periods, generally three years after the date of grant.</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for all employees holding outstanding awards to provide holders performance stock, restricted stock, and contract stock in the company that employs such employee following the separation. The adjustments to the Company's stock-based compensation awards resulted in an increase in incremental fair value of $4.4 million, of which $0.0 million, $0.3 million and $0.7 million was recorded during the year ended December 31, 2018, 2017 and 2016,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adopted </w:t>
      </w:r>
      <w:r>
        <w:rPr>
          <w:rFonts w:ascii="Arial" w:cs="Arial" w:eastAsia="Arial" w:hAnsi="Arial"/>
          <w:sz w:val="16"/>
          <w:szCs w:val="16"/>
          <w:i w:val="1"/>
          <w:iCs w:val="1"/>
          <w:color w:val="auto"/>
        </w:rPr>
        <w:t>ASU 2016-09</w:t>
      </w:r>
      <w:r>
        <w:rPr>
          <w:rFonts w:ascii="Arial" w:cs="Arial" w:eastAsia="Arial" w:hAnsi="Arial"/>
          <w:sz w:val="16"/>
          <w:szCs w:val="16"/>
          <w:color w:val="auto"/>
        </w:rPr>
        <w:t xml:space="preserve"> and elected to account for forfeitures as they occur.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28%</w:t>
            </w:r>
          </w:p>
        </w:tc>
        <w:tc>
          <w:tcPr>
            <w:tcW w:w="1600" w:type="dxa"/>
            <w:vAlign w:val="bottom"/>
            <w:gridSpan w:val="3"/>
          </w:tcPr>
          <w:p>
            <w:pPr>
              <w:jc w:val="center"/>
              <w:ind w:left="33"/>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2.79%</w:t>
            </w:r>
          </w:p>
        </w:tc>
        <w:tc>
          <w:tcPr>
            <w:tcW w:w="1600" w:type="dxa"/>
            <w:vAlign w:val="bottom"/>
            <w:tcBorders>
              <w:bottom w:val="single" w:sz="8" w:color="CCEEFF"/>
            </w:tcBorders>
            <w:gridSpan w:val="3"/>
            <w:shd w:val="clear" w:color="auto" w:fill="CCEEFF"/>
          </w:tcPr>
          <w:p>
            <w:pPr>
              <w:jc w:val="center"/>
              <w:ind w:left="13"/>
              <w:spacing w:after="0"/>
              <w:rPr>
                <w:sz w:val="20"/>
                <w:szCs w:val="20"/>
                <w:color w:val="auto"/>
              </w:rPr>
            </w:pPr>
            <w:r>
              <w:rPr>
                <w:rFonts w:ascii="Arial" w:cs="Arial" w:eastAsia="Arial" w:hAnsi="Arial"/>
                <w:sz w:val="18"/>
                <w:szCs w:val="18"/>
                <w:color w:val="auto"/>
                <w:w w:val="90"/>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1.94%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2018</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27.91</w:t>
            </w:r>
          </w:p>
        </w:tc>
        <w:tc>
          <w:tcPr>
            <w:tcW w:w="16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intrinsic value of options exercised for the years ended December 31, 2018, 2017 and 2016 were $16.9 million, $16.2 million and $9.7 million, respectively. The weighted average grant date fair value of options granted during the years ended December 31, 2018, 2017 and 2016 was $21.78, $16.95 and $12.48, respectively. Cash received from option exercises was $9.4 million, $9.8 million and $10.5 million, for the years ended December 31, 2018, 2017 and 2016, respectively. The realized tax benefit from options exercised were $3.1 million, $6.2 million and $3.7 million for the years ended December 31, 2018, 2017 and 2016, respectively.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there was approximately $4.1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January 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Adjustments for performance achievement related to award target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Vested but not released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$18.1 million, $18.5 million and $15.6 million in expense related to such awards during the years ended December 31, 2018, 2017 and 2016, respectively. The total fair market value of shares vested and released in 2018, 2017 and 2016 was $24.8 million, $22.2 million and $16.2 million, respectively. Vested awards include shares that have been fully earned but had not been delivered as of December 31, 2018.</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2018, there was approximately $20.2 million of total unrecognized compensation costs related to unvested restricted stock, performance stock and contract stock awards. These costs are expected to be recognized over a weighted-average period of approximately two years.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2018, there are approximately 0.5 million vested Restricted Units and 0.2 million vested performance share units held by various employees for which the related shares have not yet been issued. The final determination of the number of shares to be issued in respect of an award based on achievement of pre-defined performance metrics is made by the Company's Compensation Committee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there were approximately 3.0 million shares available for grant under the Plans.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capitalized into inventory, share based compensation costs of $0.4 million, $0.5 million and $0.5 million for the years ended December 31, 2018, 2017 and 2016, respectively. Such share-based compensation was recognized as cost of goods sold when related inventory was sold.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acquisition of Codman Neurosurgery in 2017, the Company assumed various defined benefit which covers certain employees acquired with Codman Neurosurgery in Austria, France, Japan, Germany and Switzerland.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benefit costs for the Company’s defined benefit pension plans for the years ended December 31, 2018 and 2017 included the following (amounts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7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95</w:t>
            </w:r>
          </w:p>
        </w:tc>
      </w:tr>
      <w:tr>
        <w:trPr>
          <w:trHeight w:val="27"/>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period benefit cost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2,119</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444</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- 36</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costs and the actuarial present values of projected pension benefit obligations for the years ended December 31, 2018 and 2017, respectively:</w:t>
      </w:r>
    </w:p>
    <w:p>
      <w:pPr>
        <w:spacing w:after="0" w:line="27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34290</wp:posOffset>
            </wp:positionV>
            <wp:extent cx="2160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discount rates are determined by considering current yield curves representing high quality, long-term fixed income instruments. The resulting discount rates are consistent with the duration of plan liabilities. In 2018 and 2017, the discount rates were prescribed as the current yield on corporate bonds with an average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2018 and 2017 and a reconciliation of the funded status at December 31, 2018 and 2017, respectively (amounts in thousands):</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7"/>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Projected benefit obligations,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47,661</w:t>
            </w:r>
          </w:p>
        </w:tc>
        <w:tc>
          <w:tcPr>
            <w:tcW w:w="10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Employee contribution</w:t>
            </w:r>
          </w:p>
        </w:tc>
        <w:tc>
          <w:tcPr>
            <w:tcW w:w="28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paid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Benefit payment</w:t>
            </w: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Plans transferred in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46,448</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Projected benefit obligations,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52,542</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47,661</w:t>
            </w: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27"/>
        </w:trPr>
        <w:tc>
          <w:tcPr>
            <w:tcW w:w="9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Plan assets at fair value,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26,943</w:t>
            </w:r>
          </w:p>
        </w:tc>
        <w:tc>
          <w:tcPr>
            <w:tcW w:w="10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Employee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paid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96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Plans transferred in</w:t>
            </w:r>
          </w:p>
        </w:tc>
        <w:tc>
          <w:tcPr>
            <w:tcW w:w="28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26,477</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60" w:type="dxa"/>
            <w:vAlign w:val="bottom"/>
          </w:tcPr>
          <w:p>
            <w:pPr>
              <w:spacing w:after="0"/>
              <w:rPr>
                <w:sz w:val="23"/>
                <w:szCs w:val="23"/>
                <w:color w:val="auto"/>
              </w:rPr>
            </w:pPr>
          </w:p>
        </w:tc>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7"/>
        </w:trPr>
        <w:tc>
          <w:tcPr>
            <w:tcW w:w="9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Plan assets at fair value,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31,103</w:t>
            </w:r>
          </w:p>
        </w:tc>
        <w:tc>
          <w:tcPr>
            <w:tcW w:w="1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26,943</w:t>
            </w: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46"/>
        </w:trPr>
        <w:tc>
          <w:tcPr>
            <w:tcW w:w="9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ind w:left="680"/>
              <w:spacing w:after="0"/>
              <w:rPr>
                <w:sz w:val="20"/>
                <w:szCs w:val="20"/>
                <w:color w:val="auto"/>
              </w:rPr>
            </w:pPr>
            <w:r>
              <w:rPr>
                <w:rFonts w:ascii="Arial" w:cs="Arial" w:eastAsia="Arial" w:hAnsi="Arial"/>
                <w:sz w:val="18"/>
                <w:szCs w:val="18"/>
                <w:b w:val="1"/>
                <w:bCs w:val="1"/>
                <w:color w:val="auto"/>
                <w:w w:val="91"/>
              </w:rPr>
              <w:t>Year ended December 31,</w:t>
            </w:r>
          </w:p>
        </w:tc>
        <w:tc>
          <w:tcPr>
            <w:tcW w:w="60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6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Reconciliation Of Funded Status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gridSpan w:val="2"/>
          </w:tcPr>
          <w:p>
            <w:pPr>
              <w:ind w:left="26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31,103</w:t>
            </w:r>
          </w:p>
        </w:tc>
        <w:tc>
          <w:tcPr>
            <w:tcW w:w="12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26,943</w:t>
            </w:r>
          </w:p>
        </w:tc>
      </w:tr>
      <w:tr>
        <w:trPr>
          <w:trHeight w:val="27"/>
        </w:trPr>
        <w:tc>
          <w:tcPr>
            <w:tcW w:w="6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Benefit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52,542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47,661</w:t>
            </w:r>
          </w:p>
        </w:tc>
      </w:tr>
      <w:tr>
        <w:trPr>
          <w:trHeight w:val="257"/>
        </w:trPr>
        <w:tc>
          <w:tcPr>
            <w:tcW w:w="6120" w:type="dxa"/>
            <w:vAlign w:val="bottom"/>
            <w:gridSpan w:val="2"/>
          </w:tcPr>
          <w:p>
            <w:pPr>
              <w:ind w:left="260"/>
              <w:spacing w:after="0"/>
              <w:rPr>
                <w:sz w:val="20"/>
                <w:szCs w:val="20"/>
                <w:color w:val="auto"/>
              </w:rPr>
            </w:pPr>
            <w:r>
              <w:rPr>
                <w:rFonts w:ascii="Arial" w:cs="Arial" w:eastAsia="Arial" w:hAnsi="Arial"/>
                <w:sz w:val="18"/>
                <w:szCs w:val="18"/>
                <w:b w:val="1"/>
                <w:bCs w:val="1"/>
                <w:color w:val="auto"/>
              </w:rPr>
              <w:t>Unfunded benefit obligations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21,439</w:t>
            </w:r>
          </w:p>
        </w:tc>
        <w:tc>
          <w:tcPr>
            <w:tcW w:w="1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20,718</w:t>
            </w:r>
          </w:p>
        </w:tc>
      </w:tr>
      <w:tr>
        <w:trPr>
          <w:trHeight w:val="20"/>
        </w:trPr>
        <w:tc>
          <w:tcPr>
            <w:tcW w:w="9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unfunded benefit obligations are included in other liabilities in the consolidated balance sheets at December 31, 2018 and 2017, respectively.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and 2017, the Company had a $0.6 million and $0.4 million gain recognized within accumulated other comprehensive income (loss) that has not been recognized as a component of net periodic benefit cost. The combined accumulated benefit obligations for the defined benefit plans was $49.6 million and $42.9 million as of December 31, 2018 and 2017, respectively.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investment strategy for the Company’s defined benefit plans is both to meet the liabilities of the plans as they fall due and to maximize the return on invested assets within appropriate risk tolerances. The benefit plans in Austria, France and Germany had no assets at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no plan assets are expected to be returned to the Company in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2020</w:t>
            </w:r>
          </w:p>
        </w:tc>
        <w:tc>
          <w:tcPr>
            <w:tcW w:w="49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1,516</w:t>
            </w:r>
          </w:p>
        </w:tc>
      </w:tr>
      <w:tr>
        <w:trPr>
          <w:trHeight w:val="27"/>
        </w:trPr>
        <w:tc>
          <w:tcPr>
            <w:tcW w:w="52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2022</w:t>
            </w:r>
          </w:p>
        </w:tc>
        <w:tc>
          <w:tcPr>
            <w:tcW w:w="49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1,433</w:t>
            </w:r>
          </w:p>
        </w:tc>
      </w:tr>
      <w:tr>
        <w:trPr>
          <w:trHeight w:val="27"/>
        </w:trPr>
        <w:tc>
          <w:tcPr>
            <w:tcW w:w="52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Next five years</w:t>
            </w:r>
          </w:p>
        </w:tc>
        <w:tc>
          <w:tcPr>
            <w:tcW w:w="49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2,978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contributions expected to be paid to the plan in 2019 is $1.9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$8.1 million, $7.2 million and $5.6 million for the years ended December 31, 2018, 2017 and 2016,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2018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102,399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166,498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169,702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for the years ended December 31, 2018, 2017 and 2016 and was $16.3 million, $12.9 million and $10.3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capital leases at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Until December 27, 2016, the Company leased certain production equipment from a corporation whose sole stockholder was a general partnership, of which the Company’s principal owner and former Chairman and director is a partner and the President. Under the terms of the lease agreement, the Company paid $0.1 million per year to the related party lessor. Effective December 27, 2016, the Company purchased the production equipment for $0.4 million.</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also leases its manufacturing facility in Plainsboro, New Jersey, from a general partnership that is 50% owned by a corporation whose shareholders are trusts, whose beneficiaries include family members of the Company’s principal owner and former Chairman and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44,025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39,055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57,403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90,406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made significant changes to the previous tax law. Included among the numerous changes were a reduction of the federal statutory rate from 35% to 21%, limitations on the deductibility of interest expense and executive compensation, and the elimination of certain domestic tax deductions such as the domestic production activities deduction. Additionally, the 2017 Tax Act imposed a one-time repatriation tax on accumulated foreign subsidiaries’ untaxed foreign earnings (the “Toll Tax”).</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implemented a territorial tax system and included base erosion provisions on non-U.S. earnings, which subjects certain foreign earnings to additional taxation as global intangible low-taxed income (“GILTI”). These provisions were effective on January 1, 2018. As of December 31, 2017, the Company had not completed its full analysis related to the GILTI provisions. Upon further analysis of the 2017 Tax Act during 2018, the Company has elected to account for GILTI as a period cost in the year the tax is incurred.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tax assets and liabilities are measured at the enacted tax rate expected to apply when they are realized or settled. During 2017, the Company recognized a provisional benefit of $43.4 million from the remeasurement of the Company's net deferred tax liabilities at the reduced rate of 21%. The Company has finalized the remeasurement of its net deferred tax liabilities, as a result of the reduced rate, as of December 31, 2018.</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2017 Tax Act eliminated the deferral of U.S. income tax on unrepatriated earnings from foreign subsidiaries through the imposition of the Toll Tax, a one-time tax in 2017 on deemed repatriated foreign earnings, which is paid over an eight-year period. The tax is assessed on the foreign subsidiary's accumulated foreign earnings that were not previously taxed. Foreign earnings in cash and cash equivalents are taxed at 15.5% and all other earnings are taxed at 8.0%. The calculation of the Toll Tax allows for the ability to offset positive foreign earnings with existing foreign deficits and use of foreign tax credits. The Company prepared a reasonable estimate of the Toll tax as of December 31, 2017 amounting to an expense of $5.5 million, of which $0.4 million was expected to be paid within one year. As the Company finalized its 2017 income tax returns during 2018, the Company recorded a benefit of $1.0 million to reduce the provisional estimate to the final total Toll Tax of $4.5 million.</w:t>
      </w:r>
    </w:p>
    <w:p>
      <w:pPr>
        <w:spacing w:after="0" w:line="17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2018,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2018.</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has made reasonable estimates of the impact of the 2017 Tax Act on its consolidated financial statements and has recognized the provisional tax impacts related to deemed repatriated earnings and the revaluation of deferred tax assets and liabilities, as well as its indefinite reinvestment assertion and included these amounts in its consolidated financial statements for the year ended December 31, 2017. The Company applied the guidance of SAB No. 118 when accounting for the enactment date impact of the 2017 Tax Act in 2017 throughout 2018. The Company finalized its calculations and completed its accounting for the income tax effect of the 2017 Tax Act in December of 2018.</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200" w:lineRule="exact"/>
        <w:rPr>
          <w:sz w:val="20"/>
          <w:szCs w:val="20"/>
          <w:color w:val="auto"/>
        </w:rPr>
      </w:pPr>
    </w:p>
    <w:p>
      <w:pPr>
        <w:spacing w:after="0" w:line="21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420" w:type="dxa"/>
            <w:vAlign w:val="bottom"/>
            <w:gridSpan w:val="2"/>
          </w:tcPr>
          <w:p>
            <w:pPr>
              <w:ind w:left="220"/>
              <w:spacing w:after="0"/>
              <w:rPr>
                <w:sz w:val="20"/>
                <w:szCs w:val="20"/>
                <w:color w:val="auto"/>
              </w:rPr>
            </w:pPr>
            <w:r>
              <w:rPr>
                <w:rFonts w:ascii="Arial" w:cs="Arial" w:eastAsia="Arial" w:hAnsi="Arial"/>
                <w:sz w:val="18"/>
                <w:szCs w:val="18"/>
                <w:color w:val="auto"/>
              </w:rPr>
              <w:t>Excess tax benefits from stock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Charitable contributions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meals and entertainment</w:t>
            </w:r>
          </w:p>
        </w:tc>
        <w:tc>
          <w:tcPr>
            <w:tcW w:w="6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Domestic production activities deduction</w:t>
            </w: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Intercompany profit in inventory</w:t>
            </w:r>
          </w:p>
        </w:tc>
        <w:tc>
          <w:tcPr>
            <w:tcW w:w="64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Nondeductible facilitative costs</w:t>
            </w: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Changes in valuation allowances</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Uncertain tax positions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Return to provision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Reduction of book gain on sale of assets</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 reform — Toll Tax</w:t>
            </w: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60"/>
              <w:spacing w:after="0"/>
              <w:rPr>
                <w:sz w:val="20"/>
                <w:szCs w:val="20"/>
                <w:color w:val="auto"/>
              </w:rPr>
            </w:pPr>
            <w:r>
              <w:rPr>
                <w:rFonts w:ascii="Arial" w:cs="Arial" w:eastAsia="Arial" w:hAnsi="Arial"/>
                <w:sz w:val="18"/>
                <w:szCs w:val="18"/>
                <w:color w:val="auto"/>
              </w:rPr>
              <w:t>Tax reform — remeasurement of deferred tax assets and liabilities</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Global intangible low-taxed income ("GILTI")</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executive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Carryback of Federal net operating loss ("NOL")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increased by 462.8% in 2018 compared with 2017. The increase was primarily a result of the $43.4 million benefit recorded during 2017 in relation to the reduction of the U.S. tax rate from 35% to 21%. Additional drivers of the higher 2018 tax rate include an expense of $2.0 million related to GILTI and an expense of $0.9 million for nondeductible executive compensation, offset by a $2.1 million benefit from a carryback of federal net operating loss from 2017 to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Company's foreign operations generated a $3.1 million increase in income tax expense when compared with 2017, because of the geographic and business mix of taxable earnings and losses, among other factors. The 2018 foreign effective tax rate is 11.6%, a decrease of approximately 2.0% over the rate in 2017. The Company's foreign tax rate is primarily based upon statutory rates.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negotiating a reduced corporate tax rate of 8% for the manufacturing operations in Switzerland. Once finalized, the negotiated rate will be available through 2024.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the Company's foreign operations generated a $1.2 million increase in income tax expense when compared with 2016, as a result of, among other factors, the geographic and business mix of taxable earnings and losses. The 2017 foreign effective tax rate is 15.7%, a decrease of approximately 2.9% over the rate in 2016. The Company's foreign tax rate is primarily based upon statutory tax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(3,880)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13,700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6,113</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(8,184)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29,266</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Charitable contributions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96,499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97,977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and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(146,327)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net deferred tax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deferred tax assets and liabilities are measured based on the enacted tax rates that apply in years in which the temporary differences are expected to be realized or incurred. The Company remeasured its deferred tax assets and liabilities as a result of the 2017 Tax Act, using a provisional estimate under SAB No. 118 during 2017. The primary impact of the re-measurement was a decrease in the net deferred tax liability for the reduction of the U.S. statutory income tax rate from 35% to 21%. There were no material changes to the provisional amounts when the amounts were finalized in December of 2018.</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Company had net operating loss carryforwards of $118.4 million for federal income tax purposes, $34.5 million for foreign income tax purposes and $25.6 million for state income tax purposes to offset future taxable income.</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- 42</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federal net operating loss carryforwards expire through 2035, $0.9 million of the foreign net operating loss carryforwards expire through 2025 with the remaining $33.6 million having an indefinite carry forward period. The state net operating loss carryforwards expire through 2037.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of $7.0 million, $8.0 million and $3.6 million is recorded against the Company’s gross deferred tax assets of $105.0 million, $96.5 million, and $78.2 million recorded at December 31, 2018, 2017 and 2016,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valuation allowance decreased by $1.0 million, and increased by $4.4 million in 2018 and 2017, respectively. The 2018 overall decrease in the valuation allowance was primarily due to the realization of certain deferred tax assets related to Derma Sciences and the impact of current year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Statute of limitations lapses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$0.7 million of the balance at December 31, 2018 relates to uncertain tax positions that, if recognized, would affect the annual effective tax rate. There are no amounts within the balance of uncertain tax positions at December 31, 2018 related to tax positions for which it is reasonably possible that the amounts could be reduced during the twelve months following December 31, 2018.</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2018, 2017 and 2016. The Company had minimal interest and penalties accrued for the years ended December 31, 2018 and 2017 and 2016.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U.S. consolidated Federal income tax returns by the IRS through fiscal year 2014, however an examination of a pre-acquisition Federal tax return is ongoing for one of the Company's subsidiaries. All significant state and local matters have been concluded through fiscal 2012. All significant foreign matters have been settled through fiscal 2012.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- 43</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1"/>
                <w:szCs w:val="21"/>
                <w:color w:val="auto"/>
              </w:rPr>
            </w:pPr>
          </w:p>
        </w:tc>
      </w:tr>
      <w:tr>
        <w:trPr>
          <w:trHeight w:val="209"/>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60,801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64,743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74,564</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74,386</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net income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60,801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74,564</w:t>
            </w:r>
          </w:p>
        </w:tc>
      </w:tr>
      <w:tr>
        <w:trPr>
          <w:trHeight w:val="32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74,386</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2016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1,166</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79,121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79,194</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r>
      <w:tr>
        <w:trPr>
          <w:trHeight w:val="27"/>
        </w:trPr>
        <w:tc>
          <w:tcPr>
            <w:tcW w:w="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of approximately 0.2 million shares at December 31, 2018, 2017, and 2016 that are issuable through exercise of dilutive securities were not included in the computation of diluted net income per share because their effect would have been anti-dilutive.</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period from January 1, 2016 to December 15, 2016, the date of 2016 Convertible Notes settlement, the potential excess conversion value on the 2016 Convertible Notes was included in the Company's dilutive share calculation because the average stock price for period outstanding exceeded the conversion price. On December 15, 2016, the Company settled the 2016 Convertible Notes and issued 2.9 million shares of common stock related to the conversion premium of 2016 Convertible Notes. The Company also exercised the call option with hedge participants and received 2.9 million shares of common stock.</w:t>
      </w:r>
    </w:p>
    <w:p>
      <w:pPr>
        <w:spacing w:after="0" w:line="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also had warrants outstanding related to its 2016 Convertible Notes for the year ended 2016. These warrants and the excess conversion value of the 2016 Convertible Notes are included in the diluted earnings per share calculation using the treasury stock method, unless the effect of including such items would be anti-dilutive. For the year ended December 31, 2017, the potential excess conversion value on the 2016 Notes was included in the Company's dilutive share calculation because the average stock price for the year ended December 31, 2017 exceeded the conversion price.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Changes in accumulated other comprehensive income (loss) by component between December 31, 2018 and 2017 are presented in the table below, net of tax: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Gains and Losses on</w:t>
            </w:r>
          </w:p>
        </w:tc>
        <w:tc>
          <w:tcPr>
            <w:tcW w:w="1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Defined Benefit Pension</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Foreign Currency Items</w:t>
            </w:r>
          </w:p>
        </w:tc>
        <w:tc>
          <w:tcPr>
            <w:tcW w:w="38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2"/>
              </w:rPr>
              <w:t>Items</w:t>
            </w:r>
          </w:p>
        </w:tc>
        <w:tc>
          <w:tcPr>
            <w:tcW w:w="18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Other comprehensive (loss) income, net</w:t>
            </w:r>
          </w:p>
        </w:tc>
        <w:tc>
          <w:tcPr>
            <w:tcW w:w="16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8,937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(19,159)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Less: Amounts reclassified from accumulated other</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10,239</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Less: Reclassification of stranded tax effect</w:t>
            </w:r>
          </w:p>
        </w:tc>
        <w:tc>
          <w:tcPr>
            <w:tcW w:w="16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 ended December 31, 2018, the Company reclassified gains of $7.8 million and $2.4 million from AOCI to other income (expenses), net and interest income,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January 14, 2019, only one active case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December 31, 2018, no indemnification payments were received nor owed in relation to the lawsuits.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2018 and 2017 to reflect the change in estimate, additions, payments, transfers and the time value of money during the period.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 ended December 31, 2018 and 2017 is as follows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Contingent Consideration Liabilities</w:t>
            </w:r>
          </w:p>
        </w:tc>
        <w:tc>
          <w:tcPr>
            <w:tcW w:w="180" w:type="dxa"/>
            <w:vAlign w:val="bottom"/>
          </w:tcPr>
          <w:p>
            <w:pPr>
              <w:spacing w:after="0"/>
              <w:rPr>
                <w:sz w:val="14"/>
                <w:szCs w:val="14"/>
                <w:color w:val="auto"/>
              </w:rPr>
            </w:pPr>
          </w:p>
        </w:tc>
        <w:tc>
          <w:tcPr>
            <w:tcW w:w="242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4"/>
              </w:rPr>
              <w:t>Contingent Consideration Liability</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7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Related to Acquisition of Derma Sciences</w:t>
            </w:r>
          </w:p>
        </w:tc>
        <w:tc>
          <w:tcPr>
            <w:tcW w:w="180" w:type="dxa"/>
            <w:vAlign w:val="bottom"/>
          </w:tcPr>
          <w:p>
            <w:pPr>
              <w:spacing w:after="0"/>
              <w:rPr>
                <w:sz w:val="12"/>
                <w:szCs w:val="12"/>
                <w:color w:val="auto"/>
              </w:rPr>
            </w:pPr>
          </w:p>
        </w:tc>
        <w:tc>
          <w:tcPr>
            <w:tcW w:w="2420" w:type="dxa"/>
            <w:vAlign w:val="bottom"/>
            <w:gridSpan w:val="4"/>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Related to Acquisition of Confluent</w:t>
            </w:r>
          </w:p>
        </w:tc>
        <w:tc>
          <w:tcPr>
            <w:tcW w:w="100" w:type="dxa"/>
            <w:vAlign w:val="bottom"/>
          </w:tcPr>
          <w:p>
            <w:pPr>
              <w:spacing w:after="0"/>
              <w:rPr>
                <w:sz w:val="12"/>
                <w:szCs w:val="12"/>
                <w:color w:val="auto"/>
              </w:rPr>
            </w:pPr>
          </w:p>
        </w:tc>
        <w:tc>
          <w:tcPr>
            <w:tcW w:w="21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Location in Financial Statements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1"/>
              </w:rPr>
              <w:t>(See Note 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4"/>
              </w:rPr>
              <w:t>Surgical, Inc.</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Balance as of January 1, 2017</w:t>
            </w:r>
          </w:p>
        </w:tc>
        <w:tc>
          <w:tcPr>
            <w:tcW w:w="1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22,036</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from acquisition of Derma Sciences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Transfers from long-term to current portion</w:t>
            </w:r>
          </w:p>
        </w:tc>
        <w:tc>
          <w:tcPr>
            <w:tcW w:w="1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(Gain)/Loss from change in fair value of</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122"/>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contingent consideration liabilities</w:t>
            </w: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108"/>
        </w:trPr>
        <w:tc>
          <w:tcPr>
            <w:tcW w:w="37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Transfers from long-term to current portion</w:t>
            </w:r>
          </w:p>
        </w:tc>
        <w:tc>
          <w:tcPr>
            <w:tcW w:w="1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Loss from change in fair value of contingent</w:t>
            </w:r>
          </w:p>
        </w:tc>
        <w:tc>
          <w:tcPr>
            <w:tcW w:w="180" w:type="dxa"/>
            <w:vAlign w:val="bottom"/>
          </w:tcPr>
          <w:p>
            <w:pPr>
              <w:spacing w:after="0"/>
              <w:rPr>
                <w:sz w:val="19"/>
                <w:szCs w:val="19"/>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122"/>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consideration liabilities</w:t>
            </w: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108"/>
        </w:trPr>
        <w:tc>
          <w:tcPr>
            <w:tcW w:w="37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in October of 2018.</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these assumptions on an ongoing basis as additional information affecting the assumptions is obtained. The contingent consideration balances included in the table above were included in other liabilities at December 31, 2018 and accrued expenses and other current liabilities and other liabilities at December 31,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are essentially flat through the third anniversary of the agreement, and then increase significantly in each of the following three years.</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its supply agreement liability and above market supply agreement liability with Covidien for the year ended December 31, 2018 and 2017 to reflect the payments, change in estimate and the time value of money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(in thousands):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3"/>
            <w:vMerge w:val="restart"/>
          </w:tcPr>
          <w:p>
            <w:pPr>
              <w:jc w:val="right"/>
              <w:ind w:right="53"/>
              <w:spacing w:after="0"/>
              <w:rPr>
                <w:sz w:val="20"/>
                <w:szCs w:val="20"/>
                <w:color w:val="auto"/>
              </w:rPr>
            </w:pPr>
            <w:r>
              <w:rPr>
                <w:rFonts w:ascii="Arial" w:cs="Arial" w:eastAsia="Arial" w:hAnsi="Arial"/>
                <w:sz w:val="14"/>
                <w:szCs w:val="14"/>
                <w:b w:val="1"/>
                <w:bCs w:val="1"/>
                <w:color w:val="auto"/>
              </w:rPr>
              <w:t>Supply Agreement Liability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ind w:left="80"/>
              <w:spacing w:after="0"/>
              <w:rPr>
                <w:sz w:val="20"/>
                <w:szCs w:val="20"/>
                <w:color w:val="auto"/>
              </w:rPr>
            </w:pPr>
            <w:r>
              <w:rPr>
                <w:rFonts w:ascii="Arial" w:cs="Arial" w:eastAsia="Arial" w:hAnsi="Arial"/>
                <w:sz w:val="14"/>
                <w:szCs w:val="14"/>
                <w:b w:val="1"/>
                <w:bCs w:val="1"/>
                <w:color w:val="auto"/>
              </w:rPr>
              <w:t>Above Market Supply Agreement</w:t>
            </w:r>
          </w:p>
        </w:tc>
        <w:tc>
          <w:tcPr>
            <w:tcW w:w="12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Location in Statement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Short-term</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Long-term</w:t>
            </w:r>
          </w:p>
        </w:tc>
        <w:tc>
          <w:tcPr>
            <w:tcW w:w="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January 1, 2017</w:t>
            </w:r>
          </w:p>
        </w:tc>
        <w:tc>
          <w:tcPr>
            <w:tcW w:w="2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Transfer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(Gain)/loss from change in fair value</w:t>
            </w:r>
          </w:p>
        </w:tc>
        <w:tc>
          <w:tcPr>
            <w:tcW w:w="22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122"/>
        </w:trPr>
        <w:tc>
          <w:tcPr>
            <w:tcW w:w="366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135"/>
        </w:trPr>
        <w:tc>
          <w:tcPr>
            <w:tcW w:w="3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(Gain)/loss from change in fair value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122"/>
        </w:trPr>
        <w:tc>
          <w:tcPr>
            <w:tcW w:w="36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restart"/>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to 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supply agreement liability and above market supply agreement liability were estimated using a discounted cash flow model using discount rate of 12.0%. The Company assesses the assumptions on an ongoing basis as additional information impacting assumptions is obtained. The above market supply agreement liability - short-term was included in accrued expenses and other current liabilities in the consolidated balance sheets at December 31, 2018 and 2017, respectively.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transfers between Level 1, 2 or 3 during 2018 or 2017. If the Company's estimates regarding the fair value of its contingent consideration, supply agreement liability and above market supply agreement liability are inaccurate, a future adjustment to these estimated fair values may be required which could change significantly.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Note 4 - </w:t>
      </w:r>
      <w:r>
        <w:rPr>
          <w:rFonts w:ascii="Arial" w:cs="Arial" w:eastAsia="Arial" w:hAnsi="Arial"/>
          <w:sz w:val="17"/>
          <w:szCs w:val="17"/>
          <w:i w:val="1"/>
          <w:iCs w:val="1"/>
          <w:color w:val="auto"/>
        </w:rPr>
        <w:t>Acquisitions and Pro Forma Results</w:t>
      </w:r>
      <w:r>
        <w:rPr>
          <w:rFonts w:ascii="Arial" w:cs="Arial" w:eastAsia="Arial" w:hAnsi="Arial"/>
          <w:sz w:val="17"/>
          <w:szCs w:val="17"/>
          <w:color w:val="auto"/>
        </w:rPr>
        <w:t>, Integra assumed this contingent liability in connection with its acquisition of Derma Sciences. The action for a</w:t>
      </w:r>
      <w:r>
        <w:rPr>
          <w:rFonts w:ascii="Arial" w:cs="Arial" w:eastAsia="Arial" w:hAnsi="Arial"/>
          <w:sz w:val="17"/>
          <w:szCs w:val="17"/>
          <w:i w:val="1"/>
          <w:iCs w:val="1"/>
          <w:color w:val="auto"/>
        </w:rPr>
        <w:t xml:space="preserve"> </w:t>
      </w:r>
      <w:r>
        <w:rPr>
          <w:rFonts w:ascii="Arial" w:cs="Arial" w:eastAsia="Arial" w:hAnsi="Arial"/>
          <w:sz w:val="17"/>
          <w:szCs w:val="17"/>
          <w:color w:val="auto"/>
        </w:rPr>
        <w:t>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Company leveraged the globally recognized Codman name by rebranding the Specialty Surgical Solutions segment as Codman Specialty Surgical.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11" w:lineRule="exact"/>
        <w:rPr>
          <w:sz w:val="20"/>
          <w:szCs w:val="20"/>
          <w:color w:val="auto"/>
        </w:rPr>
      </w:pPr>
    </w:p>
    <w:p>
      <w:pPr>
        <w:ind w:left="660" w:right="200" w:hanging="328"/>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171"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- 47</w:t>
      </w:r>
    </w:p>
    <w:p>
      <w:pPr>
        <w:sectPr>
          <w:pgSz w:w="11900" w:h="16838" w:orient="portrait"/>
          <w:cols w:equalWidth="0" w:num="1">
            <w:col w:w="11420"/>
          </w:cols>
          <w:pgMar w:left="240" w:top="121"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2018, 2017 and 2016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963,929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720,301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632,524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508,512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467,935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359,551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1,472,441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1,188,236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992,075</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363,336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292,971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256,629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103,852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512,846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422,668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360,481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(231,279)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110,998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 to geographic areas based on the location of the customer. Total revenue, net and long-lived assets (tangible) by major geographic area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United States*</w:t>
            </w:r>
          </w:p>
        </w:tc>
        <w:tc>
          <w:tcPr>
            <w:tcW w:w="38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Europe</w:t>
            </w:r>
          </w:p>
        </w:tc>
        <w:tc>
          <w:tcPr>
            <w:tcW w:w="260" w:type="dxa"/>
            <w:vAlign w:val="bottom"/>
          </w:tcPr>
          <w:p>
            <w:pPr>
              <w:spacing w:after="0"/>
              <w:rPr>
                <w:sz w:val="16"/>
                <w:szCs w:val="16"/>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rPr>
              <w:t>Asia Pacific</w:t>
            </w:r>
          </w:p>
        </w:tc>
        <w:tc>
          <w:tcPr>
            <w:tcW w:w="240" w:type="dxa"/>
            <w:vAlign w:val="bottom"/>
          </w:tcPr>
          <w:p>
            <w:pPr>
              <w:spacing w:after="0"/>
              <w:rPr>
                <w:sz w:val="16"/>
                <w:szCs w:val="16"/>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Rest of the World</w:t>
            </w:r>
          </w:p>
        </w:tc>
        <w:tc>
          <w:tcPr>
            <w:tcW w:w="300" w:type="dxa"/>
            <w:vAlign w:val="bottom"/>
          </w:tcPr>
          <w:p>
            <w:pPr>
              <w:spacing w:after="0"/>
              <w:rPr>
                <w:sz w:val="16"/>
                <w:szCs w:val="16"/>
                <w:color w:val="auto"/>
              </w:rPr>
            </w:pPr>
          </w:p>
        </w:tc>
        <w:tc>
          <w:tcPr>
            <w:tcW w:w="116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Consolidated</w:t>
            </w:r>
          </w:p>
        </w:tc>
      </w:tr>
      <w:tr>
        <w:trPr>
          <w:trHeight w:val="53"/>
        </w:trPr>
        <w:tc>
          <w:tcPr>
            <w:tcW w:w="4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0"/>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(In thousands)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jc w:val="right"/>
              <w:ind w:right="3390"/>
              <w:spacing w:after="0"/>
              <w:rPr>
                <w:sz w:val="20"/>
                <w:szCs w:val="20"/>
                <w:color w:val="auto"/>
              </w:rPr>
            </w:pPr>
            <w:r>
              <w:rPr>
                <w:rFonts w:ascii="Arial" w:cs="Arial" w:eastAsia="Arial" w:hAnsi="Arial"/>
                <w:sz w:val="18"/>
                <w:szCs w:val="18"/>
                <w:color w:val="auto"/>
              </w:rPr>
              <w:t>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1,045,887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201,354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144,253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80,947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1,472,441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jc w:val="right"/>
              <w:ind w:right="33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894,260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150,147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80,636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63,193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1,188,236</w:t>
            </w:r>
          </w:p>
        </w:tc>
      </w:tr>
      <w:tr>
        <w:trPr>
          <w:trHeight w:val="243"/>
        </w:trPr>
        <w:tc>
          <w:tcPr>
            <w:tcW w:w="4120" w:type="dxa"/>
            <w:vAlign w:val="bottom"/>
          </w:tcPr>
          <w:p>
            <w:pPr>
              <w:jc w:val="right"/>
              <w:ind w:right="33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765,608</w:t>
            </w: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120,588</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59,985</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45,894</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992,075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jc w:val="right"/>
              <w:ind w:right="3390"/>
              <w:spacing w:after="0"/>
              <w:rPr>
                <w:sz w:val="20"/>
                <w:szCs w:val="20"/>
                <w:color w:val="auto"/>
              </w:rPr>
            </w:pPr>
            <w:r>
              <w:rPr>
                <w:rFonts w:ascii="Arial" w:cs="Arial" w:eastAsia="Arial" w:hAnsi="Arial"/>
                <w:sz w:val="18"/>
                <w:szCs w:val="18"/>
                <w:color w:val="auto"/>
              </w:rPr>
              <w:t>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280,382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32,679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3,765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320,029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12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247,154</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30,942</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3,044</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285,329</w:t>
            </w:r>
          </w:p>
        </w:tc>
      </w:tr>
      <w:tr>
        <w:trPr>
          <w:trHeight w:val="27"/>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INFORMATION -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revenue, net</w:t>
            </w:r>
          </w:p>
        </w:tc>
        <w:tc>
          <w:tcPr>
            <w:tcW w:w="20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margin</w:t>
            </w:r>
          </w:p>
        </w:tc>
        <w:tc>
          <w:tcPr>
            <w:tcW w:w="260" w:type="dxa"/>
            <w:vAlign w:val="bottom"/>
          </w:tcPr>
          <w:p>
            <w:pPr>
              <w:spacing w:after="0"/>
              <w:rPr>
                <w:sz w:val="14"/>
                <w:szCs w:val="14"/>
                <w:color w:val="auto"/>
              </w:rPr>
            </w:pPr>
          </w:p>
        </w:tc>
        <w:tc>
          <w:tcPr>
            <w:tcW w:w="12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Per Share - Basic (1)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 - Diluted</w:t>
            </w:r>
          </w:p>
        </w:tc>
        <w:tc>
          <w:tcPr>
            <w:tcW w:w="0" w:type="dxa"/>
            <w:vAlign w:val="bottom"/>
          </w:tcPr>
          <w:p>
            <w:pPr>
              <w:spacing w:after="0"/>
              <w:rPr>
                <w:sz w:val="1"/>
                <w:szCs w:val="1"/>
                <w:color w:val="auto"/>
              </w:rPr>
            </w:pPr>
          </w:p>
        </w:tc>
      </w:tr>
      <w:tr>
        <w:trPr>
          <w:trHeight w:val="158"/>
        </w:trPr>
        <w:tc>
          <w:tcPr>
            <w:tcW w:w="37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10,992</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Second</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366,190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228,625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365,854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Fourth</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383,315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236,851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25,138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1,472,441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900,945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1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258,636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6,394</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Second</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282,164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183,166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278,834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Fourth (2)</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368,602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220,431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44,355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1,188,236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752,725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580" w:hanging="248"/>
        <w:spacing w:after="0" w:line="264" w:lineRule="auto"/>
        <w:tabs>
          <w:tab w:leader="none" w:pos="5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73" w:lineRule="exact"/>
        <w:rPr>
          <w:rFonts w:ascii="Arial" w:cs="Arial" w:eastAsia="Arial" w:hAnsi="Arial"/>
          <w:sz w:val="18"/>
          <w:szCs w:val="18"/>
          <w:color w:val="auto"/>
        </w:rPr>
      </w:pPr>
    </w:p>
    <w:p>
      <w:pPr>
        <w:ind w:left="580" w:hanging="248"/>
        <w:spacing w:after="0" w:line="308" w:lineRule="auto"/>
        <w:tabs>
          <w:tab w:leader="none" w:pos="5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net income for the fourth quarter of 2017 includes benefit from income taxes of $43.4 million related to the re-measurement of our deferred taxes resulting from a reduction of the federal statutory rate from 35% to 21% from the 2017 Tax Act (see Note 12,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Charged to</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Costs 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6"/>
              <w:spacing w:after="0" w:line="125" w:lineRule="exact"/>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1"/>
                <w:szCs w:val="11"/>
                <w:color w:val="auto"/>
              </w:rPr>
            </w:pPr>
          </w:p>
        </w:tc>
        <w:tc>
          <w:tcPr>
            <w:tcW w:w="940" w:type="dxa"/>
            <w:vAlign w:val="bottom"/>
          </w:tcPr>
          <w:p>
            <w:pPr>
              <w:jc w:val="center"/>
              <w:ind w:right="97"/>
              <w:spacing w:after="0" w:line="125" w:lineRule="exact"/>
              <w:rPr>
                <w:sz w:val="20"/>
                <w:szCs w:val="20"/>
                <w:color w:val="auto"/>
              </w:rPr>
            </w:pPr>
            <w:r>
              <w:rPr>
                <w:rFonts w:ascii="Arial" w:cs="Arial" w:eastAsia="Arial" w:hAnsi="Arial"/>
                <w:sz w:val="14"/>
                <w:szCs w:val="14"/>
                <w:b w:val="1"/>
                <w:bCs w:val="1"/>
                <w:color w:val="auto"/>
                <w:w w:val="85"/>
              </w:rPr>
              <w:t>Expenses</w:t>
            </w:r>
          </w:p>
        </w:tc>
        <w:tc>
          <w:tcPr>
            <w:tcW w:w="280" w:type="dxa"/>
            <w:vAlign w:val="bottom"/>
          </w:tcPr>
          <w:p>
            <w:pPr>
              <w:spacing w:after="0"/>
              <w:rPr>
                <w:sz w:val="11"/>
                <w:szCs w:val="11"/>
                <w:color w:val="auto"/>
              </w:rPr>
            </w:pPr>
          </w:p>
        </w:tc>
        <w:tc>
          <w:tcPr>
            <w:tcW w:w="760" w:type="dxa"/>
            <w:vAlign w:val="bottom"/>
          </w:tcPr>
          <w:p>
            <w:pPr>
              <w:jc w:val="right"/>
              <w:ind w:right="193"/>
              <w:spacing w:after="0" w:line="12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520"/>
              <w:spacing w:after="0" w:line="125"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1"/>
                <w:szCs w:val="11"/>
                <w:color w:val="auto"/>
              </w:rPr>
            </w:pPr>
          </w:p>
        </w:tc>
        <w:tc>
          <w:tcPr>
            <w:tcW w:w="860" w:type="dxa"/>
            <w:vAlign w:val="bottom"/>
          </w:tcPr>
          <w:p>
            <w:pPr>
              <w:jc w:val="right"/>
              <w:ind w:right="153"/>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8,882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557</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7"/>
              <w:spacing w:after="0" w:line="270" w:lineRule="exact"/>
              <w:rPr>
                <w:sz w:val="20"/>
                <w:szCs w:val="20"/>
                <w:color w:val="auto"/>
              </w:rPr>
            </w:pPr>
            <w:r>
              <w:rPr>
                <w:rFonts w:ascii="Arial" w:cs="Arial" w:eastAsia="Arial" w:hAnsi="Arial"/>
                <w:sz w:val="18"/>
                <w:szCs w:val="18"/>
                <w:color w:val="auto"/>
              </w:rPr>
              <w:t xml:space="preserve">(4,649) </w:t>
            </w:r>
            <w:r>
              <w:rPr>
                <w:rFonts w:ascii="Arial" w:cs="Arial" w:eastAsia="Arial" w:hAnsi="Arial"/>
                <w:sz w:val="25"/>
                <w:szCs w:val="25"/>
                <w:b w:val="1"/>
                <w:bCs w:val="1"/>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70" w:lineRule="exact"/>
              <w:rPr>
                <w:sz w:val="20"/>
                <w:szCs w:val="20"/>
                <w:color w:val="auto"/>
              </w:rPr>
            </w:pPr>
            <w:r>
              <w:rPr>
                <w:rFonts w:ascii="Arial" w:cs="Arial" w:eastAsia="Arial" w:hAnsi="Arial"/>
                <w:sz w:val="18"/>
                <w:szCs w:val="18"/>
                <w:color w:val="auto"/>
              </w:rPr>
              <w:t xml:space="preserve">(1,071) </w:t>
            </w:r>
            <w:r>
              <w:rPr>
                <w:rFonts w:ascii="Arial" w:cs="Arial" w:eastAsia="Arial" w:hAnsi="Arial"/>
                <w:sz w:val="25"/>
                <w:szCs w:val="25"/>
                <w:b w:val="1"/>
                <w:bCs w:val="1"/>
                <w:color w:val="auto"/>
                <w:vertAlign w:val="superscript"/>
              </w:rPr>
              <w:t>(2)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(894)</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4,920</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line="270" w:lineRule="exact"/>
              <w:rPr>
                <w:sz w:val="20"/>
                <w:szCs w:val="20"/>
                <w:color w:val="auto"/>
              </w:rPr>
            </w:pPr>
            <w:r>
              <w:rPr>
                <w:rFonts w:ascii="Arial" w:cs="Arial" w:eastAsia="Arial" w:hAnsi="Arial"/>
                <w:sz w:val="18"/>
                <w:szCs w:val="18"/>
                <w:color w:val="auto"/>
              </w:rPr>
              <w:t xml:space="preserve">(3,875) </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3,604</w:t>
            </w:r>
          </w:p>
        </w:tc>
        <w:tc>
          <w:tcPr>
            <w:tcW w:w="24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3,617</w:t>
            </w:r>
          </w:p>
        </w:tc>
        <w:tc>
          <w:tcPr>
            <w:tcW w:w="320" w:type="dxa"/>
            <w:vAlign w:val="bottom"/>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5,572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2,009</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83" w:lineRule="exact"/>
              <w:rPr>
                <w:sz w:val="20"/>
                <w:szCs w:val="20"/>
                <w:color w:val="auto"/>
              </w:rPr>
            </w:pPr>
            <w:r>
              <w:rPr>
                <w:rFonts w:ascii="Arial" w:cs="Arial" w:eastAsia="Arial" w:hAnsi="Arial"/>
                <w:sz w:val="18"/>
                <w:szCs w:val="18"/>
                <w:color w:val="auto"/>
              </w:rPr>
              <w:t xml:space="preserve">(1,262) </w:t>
            </w:r>
            <w:r>
              <w:rPr>
                <w:rFonts w:ascii="Arial" w:cs="Arial" w:eastAsia="Arial" w:hAnsi="Arial"/>
                <w:sz w:val="25"/>
                <w:szCs w:val="25"/>
                <w:b w:val="1"/>
                <w:bCs w:val="1"/>
                <w:color w:val="auto"/>
                <w:vertAlign w:val="superscript"/>
              </w:rPr>
              <w:t>(2)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4,887</w:t>
            </w:r>
          </w:p>
        </w:tc>
        <w:tc>
          <w:tcPr>
            <w:tcW w:w="24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(1,228)</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3773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6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340" w:hanging="332"/>
        <w:spacing w:after="0" w:line="202"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above amounts primarily relate to amounts acquired through acquisition of Derma Sciences and effect of foreign currency translations.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Deductions primarily relates to allowance for doubtful accounts written off during the year, net of recoveries and other adjustments.</w:t>
      </w:r>
    </w:p>
    <w:p>
      <w:pPr>
        <w:spacing w:after="0" w:line="2" w:lineRule="exact"/>
        <w:rPr>
          <w:rFonts w:ascii="Arial" w:cs="Arial" w:eastAsia="Arial" w:hAnsi="Arial"/>
          <w:sz w:val="24"/>
          <w:szCs w:val="24"/>
          <w:color w:val="auto"/>
          <w:vertAlign w:val="superscript"/>
        </w:rPr>
      </w:pPr>
    </w:p>
    <w:p>
      <w:pPr>
        <w:ind w:left="340" w:right="20" w:hanging="332"/>
        <w:spacing w:after="0" w:line="208"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Company transferred sales returns and allowances from accounts receivable, net to accrued expenses and other current liabilities upon adopting Topic 606 on January 1, 2018 using the modified retrospective method.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10.3(c)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INDEMNIFICATION AGREEMENT</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_____________ by and between Integra LifeSciences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 This Agreement supersedes and replaces any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all previous agreements between the Company and Indemnitee covering the subject matter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3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directors, officers, and other persons in service to publicly-held corporations and other business enterprises are subjected to expensive and time-consuming litigation relating to, among other things, matters that traditionally would have been brought only against the corporation or business enterprise itself;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light of the litigation costs and risks, highly competent persons are likely to be reluctant to serve as directors or in other capacities of publicly-held corporations without adequate protection through insurance and indemnification against litigation costs and risks arising out of their service to and activities on behalf of the corporation;</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WHEREAS,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has determined that, in order to attract and retain qualified individuals to serve the Company, the Company will attempt to maintain on an ongoing basis, at its sole expense, liability insurance for the benefit of such persons;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General Corporation Law of the State of Delaware (the “</w:t>
      </w:r>
      <w:r>
        <w:rPr>
          <w:rFonts w:ascii="Arial" w:cs="Arial" w:eastAsia="Arial" w:hAnsi="Arial"/>
          <w:sz w:val="20"/>
          <w:szCs w:val="20"/>
          <w:u w:val="single" w:color="auto"/>
          <w:color w:val="auto"/>
        </w:rPr>
        <w:t>DGCL</w:t>
      </w:r>
      <w:r>
        <w:rPr>
          <w:rFonts w:ascii="Arial" w:cs="Arial" w:eastAsia="Arial" w:hAnsi="Arial"/>
          <w:sz w:val="20"/>
          <w:szCs w:val="20"/>
          <w:color w:val="auto"/>
        </w:rPr>
        <w:t>”) permits, and the By-laws of the Company require, indemnification of the officers and directors of the Company; each expressly provides that the indemnification provisions set forth therein are not exclusive, and thereby contemplate that contracts may be entered into between the Company and members of the Board, officers and other persons with respect to indemnification;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it is reasonable, prudent and necessary for the Company to obligate itself contractually to indemnify, and to advance expenses on behalf of, such persons to the fullest extent permitted by applicable law so that they will serve or continue to serve the Company free from undue concern regarding the abovementioned litigation costs and risks;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the Company desires Indemnitee to serve (or continue to serve) as an officer or director (and may have requested or may request in the future that Indemnitee serve the Enterprise (as defined below) in other capacities); in order to induce Indemnitee to serve (or continue to serve) in such capacity, the Company is entering into this Agreement; the indemnification provisions of this Agreement are a supplement to and in furtherance of the By-laws of the Company (and shall not be deemed a substitute therefor, nor to diminish or abrogate any rights of Indemnitee thereunder); and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Indemnitee is willing to serve or continue to serve as a director, officer or in another capacity, as applicable, on the condition that Indemnitee be so indemnified.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covenants contained herein, the Company and Indemnitee do hereby covenant and agree as follows:</w:t>
      </w:r>
    </w:p>
    <w:p>
      <w:pPr>
        <w:spacing w:after="0" w:line="190"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Services to the Company</w:t>
      </w:r>
      <w:r>
        <w:rPr>
          <w:rFonts w:ascii="Arial" w:cs="Arial" w:eastAsia="Arial" w:hAnsi="Arial"/>
          <w:sz w:val="20"/>
          <w:szCs w:val="20"/>
          <w:color w:val="auto"/>
        </w:rPr>
        <w:t>. Indemnitee agrees to serve, or continue to serve, as a director, officer, employee and Agent (as defined below) of the Company and/or, as applicable, its subsidiaries and any Enterprise (as defined below). Indemnitee may at any time and for any reason resign from any such</w:t>
      </w:r>
    </w:p>
    <w:p>
      <w:pPr>
        <w:sectPr>
          <w:pgSz w:w="11900" w:h="16838" w:orient="portrait"/>
          <w:cols w:equalWidth="0" w:num="1">
            <w:col w:w="11420"/>
          </w:cols>
          <w:pgMar w:left="240" w:top="850" w:right="239" w:bottom="1440" w:gutter="0" w:footer="0" w:header="0"/>
        </w:sectPr>
      </w:pPr>
    </w:p>
    <w:bookmarkStart w:id="115" w:name="page116"/>
    <w:bookmarkEnd w:id="115"/>
    <w:p>
      <w:pPr>
        <w:jc w:val="both"/>
        <w:spacing w:after="0" w:line="303" w:lineRule="auto"/>
        <w:rPr>
          <w:sz w:val="20"/>
          <w:szCs w:val="20"/>
          <w:color w:val="auto"/>
        </w:rPr>
      </w:pPr>
      <w:r>
        <w:rPr>
          <w:rFonts w:ascii="Arial" w:cs="Arial" w:eastAsia="Arial" w:hAnsi="Arial"/>
          <w:sz w:val="18"/>
          <w:szCs w:val="18"/>
          <w:color w:val="auto"/>
        </w:rPr>
        <w:t xml:space="preserve">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Indemnitee may be discharged at any time for any reason, with or without cause, except as may be otherwise provided in any written employment contract between Indemnitee and the Company (or any such subsidiary or Enterprise), other applicable formal severance policies duly adopted by the Board, or, with respect to service as a director or officer of the Company, by the Company’s Certificate of Incorporation, the Company’s By-laws and the DGCL. The foregoing notwithstanding, this Agreement shall continue in force after Indemnitee has ceased to serve as a director, officer, employee and Agent of the Company or any of its subsidiaries or other Enterprise as provided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hereof.</w:t>
      </w:r>
    </w:p>
    <w:p>
      <w:pPr>
        <w:spacing w:after="0" w:line="16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w:t>
      </w:r>
    </w:p>
    <w:p>
      <w:pPr>
        <w:spacing w:after="0" w:line="243" w:lineRule="exact"/>
        <w:rPr>
          <w:sz w:val="20"/>
          <w:szCs w:val="20"/>
          <w:color w:val="auto"/>
        </w:rPr>
      </w:pPr>
    </w:p>
    <w:p>
      <w:pPr>
        <w:jc w:val="both"/>
        <w:ind w:firstLine="656"/>
        <w:spacing w:after="0" w:line="283" w:lineRule="auto"/>
        <w:tabs>
          <w:tab w:leader="none" w:pos="1109" w:val="left"/>
        </w:tabs>
        <w:numPr>
          <w:ilvl w:val="0"/>
          <w:numId w:val="40"/>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shall mean any person who is or was a director, officer or employee of the Company or other person authorized by the Company to act for the Company, to include any person serving in such capacity as a director, officer, employee, fiduciary or other official of another corporation, partnership, limited liability company, joint venture, trust, employee benefit plan or other Enterprise (including any subsidiary of the Company) at the request of, for the convenience of, or to represent the interests of the Company.</w:t>
      </w:r>
    </w:p>
    <w:p>
      <w:pPr>
        <w:spacing w:after="0" w:line="198" w:lineRule="exact"/>
        <w:rPr>
          <w:rFonts w:ascii="Arial" w:cs="Arial" w:eastAsia="Arial" w:hAnsi="Arial"/>
          <w:sz w:val="21"/>
          <w:szCs w:val="21"/>
          <w:color w:val="auto"/>
        </w:rPr>
      </w:pPr>
    </w:p>
    <w:p>
      <w:pPr>
        <w:ind w:firstLine="656"/>
        <w:spacing w:after="0" w:line="265" w:lineRule="auto"/>
        <w:tabs>
          <w:tab w:leader="none" w:pos="1188" w:val="left"/>
        </w:tabs>
        <w:numPr>
          <w:ilvl w:val="0"/>
          <w:numId w:val="40"/>
        </w:numPr>
        <w:rPr>
          <w:rFonts w:ascii="Arial" w:cs="Arial" w:eastAsia="Arial" w:hAnsi="Arial"/>
          <w:sz w:val="22"/>
          <w:szCs w:val="22"/>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be deemed to occur upon the earliest to occur after the date of this Agreement of any of the following events:</w:t>
      </w:r>
    </w:p>
    <w:p>
      <w:pPr>
        <w:spacing w:after="0" w:line="209" w:lineRule="exact"/>
        <w:rPr>
          <w:rFonts w:ascii="Arial" w:cs="Arial" w:eastAsia="Arial" w:hAnsi="Arial"/>
          <w:sz w:val="22"/>
          <w:szCs w:val="22"/>
          <w:color w:val="auto"/>
        </w:rPr>
      </w:pPr>
    </w:p>
    <w:p>
      <w:pPr>
        <w:jc w:val="both"/>
        <w:ind w:left="660" w:firstLine="1293"/>
        <w:spacing w:after="0" w:line="266" w:lineRule="auto"/>
        <w:tabs>
          <w:tab w:leader="none" w:pos="2291" w:val="left"/>
        </w:tabs>
        <w:numPr>
          <w:ilvl w:val="1"/>
          <w:numId w:val="40"/>
        </w:numPr>
        <w:rPr>
          <w:rFonts w:ascii="Arial" w:cs="Arial" w:eastAsia="Arial" w:hAnsi="Arial"/>
          <w:sz w:val="22"/>
          <w:szCs w:val="22"/>
          <w:color w:val="auto"/>
        </w:rPr>
      </w:pPr>
      <w:r>
        <w:rPr>
          <w:rFonts w:ascii="Arial" w:cs="Arial" w:eastAsia="Arial" w:hAnsi="Arial"/>
          <w:sz w:val="20"/>
          <w:szCs w:val="20"/>
          <w:i w:val="1"/>
          <w:iCs w:val="1"/>
          <w:color w:val="auto"/>
        </w:rPr>
        <w:t>Acquisition of Stock by Third Party</w:t>
      </w:r>
      <w:r>
        <w:rPr>
          <w:rFonts w:ascii="Arial" w:cs="Arial" w:eastAsia="Arial" w:hAnsi="Arial"/>
          <w:sz w:val="20"/>
          <w:szCs w:val="20"/>
          <w:color w:val="auto"/>
        </w:rPr>
        <w:t>. Any Person (as defined below), other than Richard E. Caruso, Ph.D., Provco</w:t>
      </w:r>
      <w:r>
        <w:rPr>
          <w:rFonts w:ascii="Arial" w:cs="Arial" w:eastAsia="Arial" w:hAnsi="Arial"/>
          <w:sz w:val="20"/>
          <w:szCs w:val="20"/>
          <w:i w:val="1"/>
          <w:iCs w:val="1"/>
          <w:color w:val="auto"/>
        </w:rPr>
        <w:t xml:space="preserve"> </w:t>
      </w:r>
      <w:r>
        <w:rPr>
          <w:rFonts w:ascii="Arial" w:cs="Arial" w:eastAsia="Arial" w:hAnsi="Arial"/>
          <w:sz w:val="20"/>
          <w:szCs w:val="20"/>
          <w:color w:val="auto"/>
        </w:rPr>
        <w:t>Leasing Corporation or Tru St Partnership, L.P., is or becomes the Beneficial Owner (as defined below), directly or indirectly, of securities of the Company representing fifteen percent (15%) or more of the combined voting power of the Company’s then outstanding securities;</w:t>
      </w:r>
    </w:p>
    <w:p>
      <w:pPr>
        <w:spacing w:after="0" w:line="210" w:lineRule="exact"/>
        <w:rPr>
          <w:rFonts w:ascii="Arial" w:cs="Arial" w:eastAsia="Arial" w:hAnsi="Arial"/>
          <w:sz w:val="22"/>
          <w:szCs w:val="22"/>
          <w:color w:val="auto"/>
        </w:rPr>
      </w:pPr>
    </w:p>
    <w:p>
      <w:pPr>
        <w:jc w:val="both"/>
        <w:ind w:left="660" w:firstLine="1293"/>
        <w:spacing w:after="0" w:line="266" w:lineRule="auto"/>
        <w:tabs>
          <w:tab w:leader="none" w:pos="2338" w:val="left"/>
        </w:tabs>
        <w:numPr>
          <w:ilvl w:val="1"/>
          <w:numId w:val="40"/>
        </w:numPr>
        <w:rPr>
          <w:rFonts w:ascii="Arial" w:cs="Arial" w:eastAsia="Arial" w:hAnsi="Arial"/>
          <w:sz w:val="22"/>
          <w:szCs w:val="22"/>
          <w:color w:val="auto"/>
        </w:rPr>
      </w:pPr>
      <w:r>
        <w:rPr>
          <w:rFonts w:ascii="Arial" w:cs="Arial" w:eastAsia="Arial" w:hAnsi="Arial"/>
          <w:sz w:val="20"/>
          <w:szCs w:val="20"/>
          <w:i w:val="1"/>
          <w:iCs w:val="1"/>
          <w:color w:val="auto"/>
        </w:rPr>
        <w:t>Change in Board of Directors</w:t>
      </w:r>
      <w:r>
        <w:rPr>
          <w:rFonts w:ascii="Arial" w:cs="Arial" w:eastAsia="Arial" w:hAnsi="Arial"/>
          <w:sz w:val="20"/>
          <w:szCs w:val="20"/>
          <w:color w:val="auto"/>
        </w:rPr>
        <w:t>. During any period of two (2) consecutive years (not including any period prior to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20"/>
          <w:szCs w:val="20"/>
          <w:u w:val="single" w:color="auto"/>
          <w:color w:val="auto"/>
        </w:rPr>
        <w:t>Sections 2(b)(i)</w:t>
      </w:r>
      <w:r>
        <w:rPr>
          <w:rFonts w:ascii="Arial" w:cs="Arial" w:eastAsia="Arial" w:hAnsi="Arial"/>
          <w:sz w:val="20"/>
          <w:szCs w:val="20"/>
          <w:color w:val="auto"/>
        </w:rPr>
        <w:t xml:space="preserve">, </w:t>
      </w:r>
      <w:r>
        <w:rPr>
          <w:rFonts w:ascii="Arial" w:cs="Arial" w:eastAsia="Arial" w:hAnsi="Arial"/>
          <w:sz w:val="20"/>
          <w:szCs w:val="20"/>
          <w:u w:val="single" w:color="auto"/>
          <w:color w:val="auto"/>
        </w:rPr>
        <w:t>2(b)(iii)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2(b)(iv)</w:t>
      </w:r>
      <w:r>
        <w:rPr>
          <w:rFonts w:ascii="Arial" w:cs="Arial" w:eastAsia="Arial" w:hAnsi="Arial"/>
          <w:sz w:val="20"/>
          <w:szCs w:val="20"/>
          <w:color w:val="auto"/>
        </w:rPr>
        <w:t xml:space="preserve"> hereof)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216" w:lineRule="exact"/>
        <w:rPr>
          <w:rFonts w:ascii="Arial" w:cs="Arial" w:eastAsia="Arial" w:hAnsi="Arial"/>
          <w:sz w:val="22"/>
          <w:szCs w:val="22"/>
          <w:color w:val="auto"/>
        </w:rPr>
      </w:pPr>
    </w:p>
    <w:p>
      <w:pPr>
        <w:jc w:val="both"/>
        <w:ind w:left="660" w:firstLine="1293"/>
        <w:spacing w:after="0" w:line="266" w:lineRule="auto"/>
        <w:tabs>
          <w:tab w:leader="none" w:pos="2425" w:val="left"/>
        </w:tabs>
        <w:numPr>
          <w:ilvl w:val="1"/>
          <w:numId w:val="40"/>
        </w:numPr>
        <w:rPr>
          <w:rFonts w:ascii="Arial" w:cs="Arial" w:eastAsia="Arial" w:hAnsi="Arial"/>
          <w:sz w:val="22"/>
          <w:szCs w:val="22"/>
          <w:color w:val="auto"/>
        </w:rPr>
      </w:pPr>
      <w:r>
        <w:rPr>
          <w:rFonts w:ascii="Arial" w:cs="Arial" w:eastAsia="Arial" w:hAnsi="Arial"/>
          <w:sz w:val="20"/>
          <w:szCs w:val="20"/>
          <w:i w:val="1"/>
          <w:iCs w:val="1"/>
          <w:color w:val="auto"/>
        </w:rPr>
        <w:t>Corporate Transactions</w:t>
      </w:r>
      <w:r>
        <w:rPr>
          <w:rFonts w:ascii="Arial" w:cs="Arial" w:eastAsia="Arial" w:hAnsi="Arial"/>
          <w:sz w:val="20"/>
          <w:szCs w:val="20"/>
          <w:color w:val="auto"/>
        </w:rPr>
        <w:t>. The effective date of a merger or consolidation of the Company with any other entity,</w:t>
      </w:r>
      <w:r>
        <w:rPr>
          <w:rFonts w:ascii="Arial" w:cs="Arial" w:eastAsia="Arial" w:hAnsi="Arial"/>
          <w:sz w:val="20"/>
          <w:szCs w:val="20"/>
          <w:i w:val="1"/>
          <w:iCs w:val="1"/>
          <w:color w:val="auto"/>
        </w:rPr>
        <w:t xml:space="preserve"> </w:t>
      </w:r>
      <w:r>
        <w:rPr>
          <w:rFonts w:ascii="Arial" w:cs="Arial" w:eastAsia="Arial" w:hAnsi="Arial"/>
          <w:sz w:val="20"/>
          <w:szCs w:val="20"/>
          <w:color w:val="auto"/>
        </w:rPr>
        <w:t>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214" w:lineRule="exact"/>
        <w:rPr>
          <w:rFonts w:ascii="Arial" w:cs="Arial" w:eastAsia="Arial" w:hAnsi="Arial"/>
          <w:sz w:val="22"/>
          <w:szCs w:val="22"/>
          <w:color w:val="auto"/>
        </w:rPr>
      </w:pPr>
    </w:p>
    <w:p>
      <w:pPr>
        <w:ind w:left="660" w:firstLine="1293"/>
        <w:spacing w:after="0" w:line="291" w:lineRule="auto"/>
        <w:tabs>
          <w:tab w:leader="none" w:pos="2399" w:val="left"/>
        </w:tabs>
        <w:numPr>
          <w:ilvl w:val="1"/>
          <w:numId w:val="40"/>
        </w:numPr>
        <w:rPr>
          <w:rFonts w:ascii="Arial" w:cs="Arial" w:eastAsia="Arial" w:hAnsi="Arial"/>
          <w:sz w:val="21"/>
          <w:szCs w:val="21"/>
          <w:color w:val="auto"/>
        </w:rPr>
      </w:pPr>
      <w:r>
        <w:rPr>
          <w:rFonts w:ascii="Arial" w:cs="Arial" w:eastAsia="Arial" w:hAnsi="Arial"/>
          <w:sz w:val="19"/>
          <w:szCs w:val="19"/>
          <w:i w:val="1"/>
          <w:iCs w:val="1"/>
          <w:color w:val="auto"/>
        </w:rPr>
        <w:t>Liquidation</w:t>
      </w:r>
      <w:r>
        <w:rPr>
          <w:rFonts w:ascii="Arial" w:cs="Arial" w:eastAsia="Arial" w:hAnsi="Arial"/>
          <w:sz w:val="19"/>
          <w:szCs w:val="19"/>
          <w:color w:val="auto"/>
        </w:rPr>
        <w:t>. The approval by the stockholders of the Company of a complete liquidation of the Company or an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for the sale or disposition by the Company of all or substantially all of the Company’s assets;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9" w:right="239" w:bottom="1440" w:gutter="0" w:footer="0" w:header="0"/>
        </w:sectPr>
      </w:pPr>
    </w:p>
    <w:bookmarkStart w:id="116" w:name="page117"/>
    <w:bookmarkEnd w:id="116"/>
    <w:p>
      <w:pPr>
        <w:jc w:val="both"/>
        <w:ind w:left="660" w:firstLine="1293"/>
        <w:spacing w:after="0" w:line="284" w:lineRule="auto"/>
        <w:tabs>
          <w:tab w:leader="none" w:pos="2325" w:val="left"/>
        </w:tabs>
        <w:numPr>
          <w:ilvl w:val="0"/>
          <w:numId w:val="41"/>
        </w:numPr>
        <w:rPr>
          <w:rFonts w:ascii="Arial" w:cs="Arial" w:eastAsia="Arial" w:hAnsi="Arial"/>
          <w:sz w:val="21"/>
          <w:szCs w:val="21"/>
          <w:color w:val="auto"/>
        </w:rPr>
      </w:pPr>
      <w:r>
        <w:rPr>
          <w:rFonts w:ascii="Arial" w:cs="Arial" w:eastAsia="Arial" w:hAnsi="Arial"/>
          <w:sz w:val="19"/>
          <w:szCs w:val="19"/>
          <w:i w:val="1"/>
          <w:iCs w:val="1"/>
          <w:color w:val="auto"/>
        </w:rPr>
        <w:t>Other Events</w:t>
      </w:r>
      <w:r>
        <w:rPr>
          <w:rFonts w:ascii="Arial" w:cs="Arial" w:eastAsia="Arial" w:hAnsi="Arial"/>
          <w:sz w:val="19"/>
          <w:szCs w:val="19"/>
          <w:color w:val="auto"/>
        </w:rPr>
        <w:t>. There occurs any other event of a nature that would be required to be reported in response to Item</w:t>
      </w:r>
      <w:r>
        <w:rPr>
          <w:rFonts w:ascii="Arial" w:cs="Arial" w:eastAsia="Arial" w:hAnsi="Arial"/>
          <w:sz w:val="19"/>
          <w:szCs w:val="19"/>
          <w:i w:val="1"/>
          <w:iCs w:val="1"/>
          <w:color w:val="auto"/>
        </w:rPr>
        <w:t xml:space="preserve"> </w:t>
      </w:r>
      <w:r>
        <w:rPr>
          <w:rFonts w:ascii="Arial" w:cs="Arial" w:eastAsia="Arial" w:hAnsi="Arial"/>
          <w:sz w:val="19"/>
          <w:szCs w:val="19"/>
          <w:color w:val="auto"/>
        </w:rPr>
        <w:t>6(e) of Schedule 14A of Regulation 14A (or a response to any similar item on any similar schedule or form) promulgated under the Exchange Act (as defined below), whether or not the Company is then subject to such reporting requirement.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2(b)</w:t>
      </w:r>
      <w:r>
        <w:rPr>
          <w:rFonts w:ascii="Arial" w:cs="Arial" w:eastAsia="Arial" w:hAnsi="Arial"/>
          <w:sz w:val="20"/>
          <w:szCs w:val="20"/>
          <w:color w:val="auto"/>
        </w:rPr>
        <w:t>, the following terms shall have the following meanings:</w:t>
      </w:r>
    </w:p>
    <w:p>
      <w:pPr>
        <w:spacing w:after="0" w:line="216" w:lineRule="exact"/>
        <w:rPr>
          <w:sz w:val="20"/>
          <w:szCs w:val="20"/>
          <w:color w:val="auto"/>
        </w:rPr>
      </w:pPr>
    </w:p>
    <w:p>
      <w:pPr>
        <w:ind w:left="2420" w:hanging="467"/>
        <w:spacing w:after="0"/>
        <w:tabs>
          <w:tab w:leader="none" w:pos="24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 from time to time.</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545"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xml:space="preserve">” shall have the meaning as set forth in Sections 13(d) and 14(d) of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Person shall exclude (i) the Company, (ii) any trustee or other fiduciary holding securities under an employee</w:t>
      </w:r>
      <w:r>
        <w:rPr>
          <w:rFonts w:ascii="Arial" w:cs="Arial" w:eastAsia="Arial" w:hAnsi="Arial"/>
          <w:sz w:val="20"/>
          <w:szCs w:val="20"/>
          <w:i w:val="1"/>
          <w:iCs w:val="1"/>
          <w:color w:val="auto"/>
        </w:rPr>
        <w:t xml:space="preserve"> </w:t>
      </w:r>
      <w:r>
        <w:rPr>
          <w:rFonts w:ascii="Arial" w:cs="Arial" w:eastAsia="Arial" w:hAnsi="Arial"/>
          <w:sz w:val="20"/>
          <w:szCs w:val="20"/>
          <w:color w:val="auto"/>
        </w:rPr>
        <w:t>benefit plan of the Company, and (iii) any corporation owned, directly or indirectly, by the stockholders of the Company in substantially the same proportions as their ownership of stock of the Company.</w:t>
      </w:r>
    </w:p>
    <w:p>
      <w:pPr>
        <w:spacing w:after="0" w:line="191" w:lineRule="exact"/>
        <w:rPr>
          <w:rFonts w:ascii="Arial" w:cs="Arial" w:eastAsia="Arial" w:hAnsi="Arial"/>
          <w:sz w:val="20"/>
          <w:szCs w:val="20"/>
          <w:color w:val="auto"/>
        </w:rPr>
      </w:pPr>
    </w:p>
    <w:p>
      <w:pPr>
        <w:jc w:val="both"/>
        <w:ind w:left="1300" w:firstLine="653"/>
        <w:spacing w:after="0" w:line="250" w:lineRule="auto"/>
        <w:tabs>
          <w:tab w:leader="none" w:pos="2423"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xml:space="preserve">” shall have the meaning given to such term in Rule 13d-3 under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Beneficial Owner shall exclude any Person otherwise becoming a Beneficial Owner by reason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of the Company approving a merger of the Company with another entity.</w:t>
      </w:r>
    </w:p>
    <w:p>
      <w:pPr>
        <w:spacing w:after="0" w:line="213" w:lineRule="exact"/>
        <w:rPr>
          <w:rFonts w:ascii="Arial" w:cs="Arial" w:eastAsia="Arial" w:hAnsi="Arial"/>
          <w:sz w:val="20"/>
          <w:szCs w:val="20"/>
          <w:color w:val="auto"/>
        </w:rPr>
      </w:pPr>
    </w:p>
    <w:p>
      <w:pPr>
        <w:jc w:val="both"/>
        <w:ind w:firstLine="656"/>
        <w:spacing w:after="0" w:line="284" w:lineRule="auto"/>
        <w:tabs>
          <w:tab w:leader="none" w:pos="1109" w:val="left"/>
        </w:tabs>
        <w:numPr>
          <w:ilvl w:val="0"/>
          <w:numId w:val="43"/>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Status</w:t>
      </w:r>
      <w:r>
        <w:rPr>
          <w:rFonts w:ascii="Arial" w:cs="Arial" w:eastAsia="Arial" w:hAnsi="Arial"/>
          <w:sz w:val="19"/>
          <w:szCs w:val="19"/>
          <w:color w:val="auto"/>
        </w:rPr>
        <w:t>” describes the status of a person who is or was a director, officer, employee or Agent of the Company or any other corporation, limited liability company, partnership or joint venture, trust, employee benefit plan or other Enterprise, in which capacity such person is or was serving at the request of, for the convenience of, or to represent the interests of the Company.</w:t>
      </w:r>
    </w:p>
    <w:p>
      <w:pPr>
        <w:spacing w:after="0" w:line="196" w:lineRule="exact"/>
        <w:rPr>
          <w:rFonts w:ascii="Arial" w:cs="Arial" w:eastAsia="Arial" w:hAnsi="Arial"/>
          <w:sz w:val="21"/>
          <w:szCs w:val="21"/>
          <w:color w:val="auto"/>
        </w:rPr>
      </w:pPr>
    </w:p>
    <w:p>
      <w:pPr>
        <w:ind w:firstLine="656"/>
        <w:spacing w:after="0" w:line="265" w:lineRule="auto"/>
        <w:tabs>
          <w:tab w:leader="none" w:pos="1148" w:val="left"/>
        </w:tabs>
        <w:numPr>
          <w:ilvl w:val="0"/>
          <w:numId w:val="4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Disinterested Director</w:t>
      </w:r>
      <w:r>
        <w:rPr>
          <w:rFonts w:ascii="Arial" w:cs="Arial" w:eastAsia="Arial" w:hAnsi="Arial"/>
          <w:sz w:val="20"/>
          <w:szCs w:val="20"/>
          <w:color w:val="auto"/>
        </w:rPr>
        <w:t>” shall mean a director of the Company who is not and was not a party to the Proceeding in respect of which indemnification is sought by Indemnitee.</w:t>
      </w:r>
    </w:p>
    <w:p>
      <w:pPr>
        <w:spacing w:after="0" w:line="209" w:lineRule="exact"/>
        <w:rPr>
          <w:rFonts w:ascii="Arial" w:cs="Arial" w:eastAsia="Arial" w:hAnsi="Arial"/>
          <w:sz w:val="22"/>
          <w:szCs w:val="22"/>
          <w:color w:val="auto"/>
        </w:rPr>
      </w:pPr>
    </w:p>
    <w:p>
      <w:pPr>
        <w:jc w:val="both"/>
        <w:ind w:firstLine="656"/>
        <w:spacing w:after="0" w:line="265" w:lineRule="auto"/>
        <w:tabs>
          <w:tab w:leader="none" w:pos="1176" w:val="left"/>
        </w:tabs>
        <w:numPr>
          <w:ilvl w:val="0"/>
          <w:numId w:val="4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Enterprise</w:t>
      </w:r>
      <w:r>
        <w:rPr>
          <w:rFonts w:ascii="Arial" w:cs="Arial" w:eastAsia="Arial" w:hAnsi="Arial"/>
          <w:sz w:val="20"/>
          <w:szCs w:val="20"/>
          <w:color w:val="auto"/>
        </w:rPr>
        <w:t>” shall mean the Company and any other corporation, limited liability company, partnership, joint venture, trust, employee benefit plan or other enterprise (including any subsidiary of the Company) of which Indemnitee is or was serving as a director, officer, employee or Agent at the request of, for the convenience of, or to represent the interests of the Company.</w:t>
      </w:r>
    </w:p>
    <w:p>
      <w:pPr>
        <w:spacing w:after="0" w:line="212" w:lineRule="exact"/>
        <w:rPr>
          <w:rFonts w:ascii="Arial" w:cs="Arial" w:eastAsia="Arial" w:hAnsi="Arial"/>
          <w:sz w:val="22"/>
          <w:szCs w:val="22"/>
          <w:color w:val="auto"/>
        </w:rPr>
      </w:pPr>
    </w:p>
    <w:p>
      <w:pPr>
        <w:jc w:val="both"/>
        <w:ind w:firstLine="656"/>
        <w:spacing w:after="0" w:line="301" w:lineRule="auto"/>
        <w:tabs>
          <w:tab w:leader="none" w:pos="1071" w:val="left"/>
        </w:tabs>
        <w:numPr>
          <w:ilvl w:val="0"/>
          <w:numId w:val="43"/>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shall include all reasonable attorneys’ fees,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or as a result of prosecuting, defending, preparing to prosecute or defend, investigating, being or preparing to be a deponent or witness in, or otherwise participating in, a Proceeding. Expenses also shall include, without limitation: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Arial" w:cs="Arial" w:eastAsia="Arial" w:hAnsi="Arial"/>
          <w:sz w:val="18"/>
          <w:szCs w:val="18"/>
          <w:u w:val="single" w:color="auto"/>
          <w:color w:val="auto"/>
        </w:rPr>
        <w:t>Section 14(d)</w:t>
      </w:r>
      <w:r>
        <w:rPr>
          <w:rFonts w:ascii="Arial" w:cs="Arial" w:eastAsia="Arial" w:hAnsi="Arial"/>
          <w:sz w:val="18"/>
          <w:szCs w:val="18"/>
          <w:color w:val="auto"/>
        </w:rPr>
        <w:t>,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93" w:right="239" w:bottom="1440" w:gutter="0" w:footer="0" w:header="0"/>
        </w:sectPr>
      </w:pPr>
    </w:p>
    <w:bookmarkStart w:id="117" w:name="page118"/>
    <w:bookmarkEnd w:id="117"/>
    <w:p>
      <w:pPr>
        <w:jc w:val="both"/>
        <w:ind w:firstLine="656"/>
        <w:spacing w:after="0" w:line="282" w:lineRule="auto"/>
        <w:tabs>
          <w:tab w:leader="none" w:pos="1148" w:val="left"/>
        </w:tabs>
        <w:numPr>
          <w:ilvl w:val="0"/>
          <w:numId w:val="4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Counsel</w:t>
      </w:r>
      <w:r>
        <w:rPr>
          <w:rFonts w:ascii="Arial" w:cs="Arial" w:eastAsia="Arial" w:hAnsi="Arial"/>
          <w:sz w:val="19"/>
          <w:szCs w:val="19"/>
          <w:color w:val="auto"/>
        </w:rPr>
        <w:t>” shall mean a law firm, or a member of a law firm, that is experienced in matters of corporate law and neither presently is, nor in the past five (5) years has been, retained to represent: (i) the Company or Indemnitee in any matter material to either such party (other than with respect to matters concerning Indemnitee’s right to indemnification under this Agreement, or of other indemnitees under similar indemnification agreements with the Company), or (ii) any other party to the Proceeding giving rise to a claim for indemnification hereunder. Notwithstanding the foregoing, the term “Independent Counsel” shall not include any law firm or member of a law firm who, under the applicable standards of professional conduct, would have a conflict of interest in representing either the Company or Indemnitee in an action to determine Indemnitee’s rights under this Agreement. The Company agrees to pay the reasonable fees and expenses of the Independent Counsel referred to above and to indemnify such counsel fully against any and all expenses, claims, liabilities and damages arising out of or relating to this Agreement or its engagement pursuant hereto.</w:t>
      </w:r>
    </w:p>
    <w:p>
      <w:pPr>
        <w:spacing w:after="0" w:line="201" w:lineRule="exact"/>
        <w:rPr>
          <w:rFonts w:ascii="Arial" w:cs="Arial" w:eastAsia="Arial" w:hAnsi="Arial"/>
          <w:sz w:val="21"/>
          <w:szCs w:val="21"/>
          <w:color w:val="auto"/>
        </w:rPr>
      </w:pPr>
    </w:p>
    <w:p>
      <w:pPr>
        <w:jc w:val="both"/>
        <w:ind w:firstLine="656"/>
        <w:spacing w:after="0" w:line="282" w:lineRule="auto"/>
        <w:tabs>
          <w:tab w:leader="none" w:pos="1134" w:val="left"/>
        </w:tabs>
        <w:numPr>
          <w:ilvl w:val="0"/>
          <w:numId w:val="44"/>
        </w:numPr>
        <w:rPr>
          <w:rFonts w:ascii="Arial" w:cs="Arial" w:eastAsia="Arial" w:hAnsi="Arial"/>
          <w:sz w:val="21"/>
          <w:szCs w:val="21"/>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Proceeding</w:t>
      </w:r>
      <w:r>
        <w:rPr>
          <w:rFonts w:ascii="Arial" w:cs="Arial" w:eastAsia="Arial" w:hAnsi="Arial"/>
          <w:sz w:val="19"/>
          <w:szCs w:val="19"/>
          <w:color w:val="auto"/>
        </w:rPr>
        <w:t>” shall include any threatened, pending or completed action, suit, arbitration, mediation, alternate dispute resolution process, investigation, inquiry, administrative hearing or any other actual, threatened or completed proceeding, whether brought by or in the right of the Company or otherwise, and whether of a civil, criminal, administrative, regulatory, legislative or investigative (formal or informal) nature, including any appeal therefrom, in which Indemnitee was, is or could be involved as a party, potential party, non-party witness or otherwise by reason of the fact that Indemnitee is or was a director, officer, employee or Agent of the Company and/or any other Enterprise, by reason of any action taken by him or of any action on his part while acting as a director, officer, employee or Agent of the Company and/or such other Enterprise,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such situation shall be considered a Proceeding under this paragraph.</w:t>
      </w:r>
    </w:p>
    <w:p>
      <w:pPr>
        <w:spacing w:after="0" w:line="201" w:lineRule="exact"/>
        <w:rPr>
          <w:rFonts w:ascii="Arial" w:cs="Arial" w:eastAsia="Arial" w:hAnsi="Arial"/>
          <w:sz w:val="21"/>
          <w:szCs w:val="21"/>
          <w:color w:val="auto"/>
        </w:rPr>
      </w:pPr>
    </w:p>
    <w:p>
      <w:pPr>
        <w:jc w:val="both"/>
        <w:ind w:firstLine="656"/>
        <w:spacing w:after="0" w:line="327" w:lineRule="auto"/>
        <w:tabs>
          <w:tab w:leader="none" w:pos="1032" w:val="left"/>
        </w:tabs>
        <w:numPr>
          <w:ilvl w:val="0"/>
          <w:numId w:val="44"/>
        </w:numPr>
        <w:rPr>
          <w:rFonts w:ascii="Arial" w:cs="Arial" w:eastAsia="Arial" w:hAnsi="Arial"/>
          <w:sz w:val="18"/>
          <w:szCs w:val="18"/>
          <w:color w:val="auto"/>
        </w:rPr>
      </w:pPr>
      <w:r>
        <w:rPr>
          <w:rFonts w:ascii="Arial" w:cs="Arial" w:eastAsia="Arial" w:hAnsi="Arial"/>
          <w:sz w:val="17"/>
          <w:szCs w:val="17"/>
          <w:color w:val="auto"/>
        </w:rPr>
        <w:t>References to “fines” shall include any excise tax assessed with respect to any employee benefit plan; references to “serving at the request of the Company”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xml:space="preserve">. The Company shall indemnify Indemnitee in accordance with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if Indemnitee is, or is threatened to be made, a party to or a participant in any Proceeding, other than a Proceeding by or in the right of the Company to procure a judgment in its favor. Pursuant to this </w:t>
      </w:r>
      <w:r>
        <w:rPr>
          <w:rFonts w:ascii="Arial" w:cs="Arial" w:eastAsia="Arial" w:hAnsi="Arial"/>
          <w:sz w:val="19"/>
          <w:szCs w:val="19"/>
          <w:u w:val="single" w:color="auto"/>
          <w:color w:val="auto"/>
        </w:rPr>
        <w:t>Section 3</w:t>
      </w:r>
      <w:r>
        <w:rPr>
          <w:rFonts w:ascii="Arial" w:cs="Arial" w:eastAsia="Arial" w:hAnsi="Arial"/>
          <w:sz w:val="19"/>
          <w:szCs w:val="19"/>
          <w:color w:val="auto"/>
        </w:rPr>
        <w:t>, Indemnitee shall be indemnified to the fullest extent permitted by applicable law against all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action or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Company’s Certificate of Incorporation, its By-Laws, vote of its stockholders or Disinterested Directors (or any committee thereof), or applicable law.</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Indemnity in Proceedings by or in the Right of the Company</w:t>
      </w:r>
      <w:r>
        <w:rPr>
          <w:rFonts w:ascii="Arial" w:cs="Arial" w:eastAsia="Arial" w:hAnsi="Arial"/>
          <w:sz w:val="20"/>
          <w:szCs w:val="20"/>
          <w:color w:val="auto"/>
        </w:rPr>
        <w:t xml:space="preserve">. The Company shall indemnify Indemnitee in accordance with the provisions of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if Indemnitee is, or is threatened to be made, a party to or a participant in any Proceeding by or in the right of the Company to procure 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93" w:right="23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19"/>
          <w:szCs w:val="19"/>
          <w:color w:val="auto"/>
        </w:rPr>
        <w:t xml:space="preserve">judgment in its favor. Pursuant to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indemnification for Expenses shall be made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i w:val="1"/>
          <w:iCs w:val="1"/>
          <w:color w:val="auto"/>
        </w:rPr>
        <w:t xml:space="preserve"> </w:t>
      </w:r>
      <w:r>
        <w:rPr>
          <w:rFonts w:ascii="Arial" w:cs="Arial" w:eastAsia="Arial" w:hAnsi="Arial"/>
          <w:sz w:val="19"/>
          <w:szCs w:val="19"/>
          <w:color w:val="auto"/>
        </w:rPr>
        <w:t>in respect of any claim, issue or matter as to which</w:t>
      </w:r>
      <w:r>
        <w:rPr>
          <w:rFonts w:ascii="Arial" w:cs="Arial" w:eastAsia="Arial" w:hAnsi="Arial"/>
          <w:sz w:val="19"/>
          <w:szCs w:val="19"/>
          <w:i w:val="1"/>
          <w:iCs w:val="1"/>
          <w:color w:val="auto"/>
        </w:rPr>
        <w:t xml:space="preserve"> </w:t>
      </w:r>
      <w:r>
        <w:rPr>
          <w:rFonts w:ascii="Arial" w:cs="Arial" w:eastAsia="Arial" w:hAnsi="Arial"/>
          <w:sz w:val="19"/>
          <w:szCs w:val="19"/>
          <w:color w:val="auto"/>
        </w:rPr>
        <w:t>Indemnitee shall have been finally adjudged by a court of competent jurisdiction to be liable to the Company, unless and only to the extent that the Delaware Court of Chancery or any court in which the Proceeding was brought or is pending shall determine upon application that, despite the adjudication of liability and in view of all the circumstances of the case, Indemnitee is fairly and reasonably entitled to indemnification for such Expenses that the Delaware Court of Chancery or such other court deems proper.</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Indemnification for Expenses of a Party Who is Wholly or Partially Successful</w:t>
      </w:r>
      <w:r>
        <w:rPr>
          <w:rFonts w:ascii="Arial" w:cs="Arial" w:eastAsia="Arial" w:hAnsi="Arial"/>
          <w:sz w:val="19"/>
          <w:szCs w:val="19"/>
          <w:color w:val="auto"/>
        </w:rPr>
        <w:t xml:space="preserve">. Notwithstanding any other provision of the Agreement, to the fullest extent permitted by applicable law and to the extent that Indemnitee is a party to (or a participant in) and is successful, on the merits or otherwise, in any Proceeding (including, without limitation, any Proceeding brought by or in right of the Company)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applicable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To the fullest extent permitted by applicable law and to the extent that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Indemnitee is, by reason of his Corporate Status, a witness, is forced to respond to discovery requests, or is otherwise asked to participate in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Proceeding to which Indemnitee is not a party, the Company shall indemnify him against, and advance as provided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Expenses actually and reasonably incurred by him or on his behalf in connection therewith.</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u w:val="single" w:color="auto"/>
          <w:color w:val="auto"/>
        </w:rPr>
        <w:t>Additional Indemnification</w:t>
      </w:r>
      <w:r>
        <w:rPr>
          <w:rFonts w:ascii="Arial" w:cs="Arial" w:eastAsia="Arial" w:hAnsi="Arial"/>
          <w:sz w:val="19"/>
          <w:szCs w:val="19"/>
          <w:color w:val="auto"/>
        </w:rPr>
        <w:t>.</w:t>
      </w:r>
    </w:p>
    <w:p>
      <w:pPr>
        <w:spacing w:after="0" w:line="243" w:lineRule="exact"/>
        <w:rPr>
          <w:sz w:val="20"/>
          <w:szCs w:val="20"/>
          <w:color w:val="auto"/>
        </w:rPr>
      </w:pPr>
    </w:p>
    <w:p>
      <w:pPr>
        <w:jc w:val="both"/>
        <w:ind w:firstLine="656"/>
        <w:spacing w:after="0" w:line="266" w:lineRule="auto"/>
        <w:tabs>
          <w:tab w:leader="none" w:pos="1190" w:val="left"/>
        </w:tabs>
        <w:numPr>
          <w:ilvl w:val="0"/>
          <w:numId w:val="45"/>
        </w:numPr>
        <w:rPr>
          <w:rFonts w:ascii="Arial" w:cs="Arial" w:eastAsia="Arial" w:hAnsi="Arial"/>
          <w:sz w:val="22"/>
          <w:szCs w:val="22"/>
          <w:color w:val="auto"/>
        </w:rPr>
      </w:pPr>
      <w:r>
        <w:rPr>
          <w:rFonts w:ascii="Arial" w:cs="Arial" w:eastAsia="Arial" w:hAnsi="Arial"/>
          <w:sz w:val="20"/>
          <w:szCs w:val="20"/>
          <w:color w:val="auto"/>
        </w:rPr>
        <w:t xml:space="preserve">Notwithstanding any limitation in </w:t>
      </w:r>
      <w:r>
        <w:rPr>
          <w:rFonts w:ascii="Arial" w:cs="Arial" w:eastAsia="Arial" w:hAnsi="Arial"/>
          <w:sz w:val="20"/>
          <w:szCs w:val="20"/>
          <w:u w:val="single" w:color="auto"/>
          <w:color w:val="auto"/>
        </w:rPr>
        <w:t>Sections 3</w:t>
      </w:r>
      <w:r>
        <w:rPr>
          <w:rFonts w:ascii="Arial" w:cs="Arial" w:eastAsia="Arial" w:hAnsi="Arial"/>
          <w:sz w:val="20"/>
          <w:szCs w:val="20"/>
          <w:color w:val="auto"/>
        </w:rPr>
        <w:t xml:space="preserve">, </w:t>
      </w:r>
      <w:r>
        <w:rPr>
          <w:rFonts w:ascii="Arial" w:cs="Arial" w:eastAsia="Arial" w:hAnsi="Arial"/>
          <w:sz w:val="20"/>
          <w:szCs w:val="20"/>
          <w:u w:val="single" w:color="auto"/>
          <w:color w:val="auto"/>
        </w:rPr>
        <w:t>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w:t>
      </w:r>
      <w:r>
        <w:rPr>
          <w:rFonts w:ascii="Arial" w:cs="Arial" w:eastAsia="Arial" w:hAnsi="Arial"/>
          <w:sz w:val="20"/>
          <w:szCs w:val="20"/>
          <w:color w:val="auto"/>
        </w:rPr>
        <w:t xml:space="preserve"> hereof,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spacing w:after="0" w:line="210" w:lineRule="exact"/>
        <w:rPr>
          <w:rFonts w:ascii="Arial" w:cs="Arial" w:eastAsia="Arial" w:hAnsi="Arial"/>
          <w:sz w:val="22"/>
          <w:szCs w:val="22"/>
          <w:color w:val="auto"/>
        </w:rPr>
      </w:pPr>
    </w:p>
    <w:p>
      <w:pPr>
        <w:ind w:firstLine="656"/>
        <w:spacing w:after="0" w:line="265" w:lineRule="auto"/>
        <w:tabs>
          <w:tab w:leader="none" w:pos="1107" w:val="left"/>
        </w:tabs>
        <w:numPr>
          <w:ilvl w:val="0"/>
          <w:numId w:val="45"/>
        </w:numPr>
        <w:rPr>
          <w:rFonts w:ascii="Arial" w:cs="Arial" w:eastAsia="Arial" w:hAnsi="Arial"/>
          <w:sz w:val="22"/>
          <w:szCs w:val="22"/>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8(a)</w:t>
      </w:r>
      <w:r>
        <w:rPr>
          <w:rFonts w:ascii="Arial" w:cs="Arial" w:eastAsia="Arial" w:hAnsi="Arial"/>
          <w:sz w:val="20"/>
          <w:szCs w:val="20"/>
          <w:color w:val="auto"/>
        </w:rPr>
        <w:t>, the meaning of the phrase “to the fullest extent permitted by applicable law” shall include, but not be limited to, the following:</w:t>
      </w:r>
    </w:p>
    <w:p>
      <w:pPr>
        <w:spacing w:after="0" w:line="209" w:lineRule="exact"/>
        <w:rPr>
          <w:rFonts w:ascii="Arial" w:cs="Arial" w:eastAsia="Arial" w:hAnsi="Arial"/>
          <w:sz w:val="22"/>
          <w:szCs w:val="22"/>
          <w:color w:val="auto"/>
        </w:rPr>
      </w:pPr>
    </w:p>
    <w:p>
      <w:pPr>
        <w:ind w:left="660" w:firstLine="1293"/>
        <w:spacing w:after="0" w:line="265" w:lineRule="auto"/>
        <w:tabs>
          <w:tab w:leader="none" w:pos="2467" w:val="left"/>
        </w:tabs>
        <w:numPr>
          <w:ilvl w:val="1"/>
          <w:numId w:val="45"/>
        </w:numPr>
        <w:rPr>
          <w:rFonts w:ascii="Arial" w:cs="Arial" w:eastAsia="Arial" w:hAnsi="Arial"/>
          <w:sz w:val="22"/>
          <w:szCs w:val="22"/>
          <w:color w:val="auto"/>
        </w:rPr>
      </w:pPr>
      <w:r>
        <w:rPr>
          <w:rFonts w:ascii="Arial" w:cs="Arial" w:eastAsia="Arial" w:hAnsi="Arial"/>
          <w:sz w:val="20"/>
          <w:szCs w:val="20"/>
          <w:color w:val="auto"/>
        </w:rPr>
        <w:t>to the fullest extent permitted by the provision of the DGCL that authorizes or contemplates additional indemnification by agreement, or the corresponding provision of any amendment to or replacement of the DGCL, 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6" w:right="239" w:bottom="1440" w:gutter="0" w:footer="0" w:header="0"/>
        </w:sectPr>
      </w:pPr>
    </w:p>
    <w:bookmarkStart w:id="119" w:name="page120"/>
    <w:bookmarkEnd w:id="119"/>
    <w:p>
      <w:pPr>
        <w:jc w:val="both"/>
        <w:ind w:left="660" w:firstLine="1293"/>
        <w:spacing w:after="0" w:line="265" w:lineRule="auto"/>
        <w:tabs>
          <w:tab w:leader="none" w:pos="2311" w:val="left"/>
        </w:tabs>
        <w:numPr>
          <w:ilvl w:val="0"/>
          <w:numId w:val="46"/>
        </w:numPr>
        <w:rPr>
          <w:rFonts w:ascii="Arial" w:cs="Arial" w:eastAsia="Arial" w:hAnsi="Arial"/>
          <w:sz w:val="22"/>
          <w:szCs w:val="22"/>
          <w:color w:val="auto"/>
        </w:rPr>
      </w:pPr>
      <w:r>
        <w:rPr>
          <w:rFonts w:ascii="Arial" w:cs="Arial" w:eastAsia="Arial" w:hAnsi="Arial"/>
          <w:sz w:val="20"/>
          <w:szCs w:val="20"/>
          <w:color w:val="auto"/>
        </w:rPr>
        <w:t>to the fullest extent authorized or permitted by any amendments to or replacements of the DGCL adopted after the date of this Agreement that increase the extent to which a Delaware corporation may indemnify its directors, officers, employees, and Agents of the Company or any of its subsidiaries.</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other provision in this Agreement, the Company shall not be obligated to indemnify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Indemnitee in connection with any claim against Indemnitee:</w:t>
      </w:r>
    </w:p>
    <w:p>
      <w:pPr>
        <w:spacing w:after="0" w:line="227" w:lineRule="exact"/>
        <w:rPr>
          <w:sz w:val="20"/>
          <w:szCs w:val="20"/>
          <w:color w:val="auto"/>
        </w:rPr>
      </w:pPr>
    </w:p>
    <w:p>
      <w:pPr>
        <w:ind w:left="1120" w:hanging="464"/>
        <w:spacing w:after="0"/>
        <w:tabs>
          <w:tab w:leader="none" w:pos="1120" w:val="left"/>
        </w:tabs>
        <w:numPr>
          <w:ilvl w:val="0"/>
          <w:numId w:val="47"/>
        </w:numPr>
        <w:rPr>
          <w:rFonts w:ascii="Arial" w:cs="Arial" w:eastAsia="Arial" w:hAnsi="Arial"/>
          <w:sz w:val="19"/>
          <w:szCs w:val="19"/>
          <w:color w:val="auto"/>
        </w:rPr>
      </w:pPr>
      <w:r>
        <w:rPr>
          <w:rFonts w:ascii="Arial" w:cs="Arial" w:eastAsia="Arial" w:hAnsi="Arial"/>
          <w:sz w:val="18"/>
          <w:szCs w:val="18"/>
          <w:color w:val="auto"/>
        </w:rPr>
        <w:t>to the extent that payment has actually been made to or on behalf of Indemnitee under any insurance policy or other indemnity</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provision; or</w:t>
      </w:r>
    </w:p>
    <w:p>
      <w:pPr>
        <w:spacing w:after="0" w:line="256" w:lineRule="exact"/>
        <w:rPr>
          <w:rFonts w:ascii="Arial" w:cs="Arial" w:eastAsia="Arial" w:hAnsi="Arial"/>
          <w:sz w:val="19"/>
          <w:szCs w:val="19"/>
          <w:color w:val="auto"/>
        </w:rPr>
      </w:pPr>
    </w:p>
    <w:p>
      <w:pPr>
        <w:jc w:val="both"/>
        <w:ind w:firstLine="656"/>
        <w:spacing w:after="0" w:line="282" w:lineRule="auto"/>
        <w:tabs>
          <w:tab w:leader="none" w:pos="1202" w:val="left"/>
        </w:tabs>
        <w:numPr>
          <w:ilvl w:val="0"/>
          <w:numId w:val="47"/>
        </w:numPr>
        <w:rPr>
          <w:rFonts w:ascii="Arial" w:cs="Arial" w:eastAsia="Arial" w:hAnsi="Arial"/>
          <w:sz w:val="21"/>
          <w:szCs w:val="21"/>
          <w:color w:val="auto"/>
        </w:rPr>
      </w:pPr>
      <w:r>
        <w:rPr>
          <w:rFonts w:ascii="Arial" w:cs="Arial" w:eastAsia="Arial" w:hAnsi="Arial"/>
          <w:sz w:val="19"/>
          <w:szCs w:val="19"/>
          <w:color w:val="auto"/>
        </w:rPr>
        <w:t xml:space="preserve">for (i) an accounting of profits made from the purchase and sale (or sale and purchase) by Indemnitee of securities of the Company within the meaning of Section 16(b) of the Exchange Act (as defined in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hereof) or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(as amended, the “</w:t>
      </w:r>
      <w:r>
        <w:rPr>
          <w:rFonts w:ascii="Arial" w:cs="Arial" w:eastAsia="Arial" w:hAnsi="Arial"/>
          <w:sz w:val="19"/>
          <w:szCs w:val="19"/>
          <w:u w:val="single" w:color="auto"/>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or</w:t>
      </w:r>
    </w:p>
    <w:p>
      <w:pPr>
        <w:spacing w:after="0" w:line="201" w:lineRule="exact"/>
        <w:rPr>
          <w:rFonts w:ascii="Arial" w:cs="Arial" w:eastAsia="Arial" w:hAnsi="Arial"/>
          <w:sz w:val="21"/>
          <w:szCs w:val="21"/>
          <w:color w:val="auto"/>
        </w:rPr>
      </w:pPr>
    </w:p>
    <w:p>
      <w:pPr>
        <w:jc w:val="both"/>
        <w:ind w:firstLine="656"/>
        <w:spacing w:after="0" w:line="266" w:lineRule="auto"/>
        <w:tabs>
          <w:tab w:leader="none" w:pos="1082" w:val="left"/>
        </w:tabs>
        <w:numPr>
          <w:ilvl w:val="0"/>
          <w:numId w:val="47"/>
        </w:numPr>
        <w:rPr>
          <w:rFonts w:ascii="Arial" w:cs="Arial" w:eastAsia="Arial" w:hAnsi="Arial"/>
          <w:sz w:val="22"/>
          <w:szCs w:val="22"/>
          <w:color w:val="auto"/>
        </w:rPr>
      </w:pPr>
      <w:r>
        <w:rPr>
          <w:rFonts w:ascii="Arial" w:cs="Arial" w:eastAsia="Arial" w:hAnsi="Arial"/>
          <w:sz w:val="20"/>
          <w:szCs w:val="20"/>
          <w:color w:val="auto"/>
        </w:rPr>
        <w:t xml:space="preserve">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such part of such Proceeding) prior to its initiation or (ii) the Company provides the indemnification, in its sole discretion, pursuant to the powers vested in the Company under applicable law;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this provision shall not apply to any claims related to the interpretation, enforcement or defense of Indemnitee’s rights under this Agreement by litigation or otherwise, including as provided in </w:t>
      </w:r>
      <w:r>
        <w:rPr>
          <w:rFonts w:ascii="Arial" w:cs="Arial" w:eastAsia="Arial" w:hAnsi="Arial"/>
          <w:sz w:val="20"/>
          <w:szCs w:val="20"/>
          <w:u w:val="single" w:color="auto"/>
          <w:color w:val="auto"/>
        </w:rPr>
        <w:t>Sections 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14(d)</w:t>
      </w:r>
      <w:r>
        <w:rPr>
          <w:rFonts w:ascii="Arial" w:cs="Arial" w:eastAsia="Arial" w:hAnsi="Arial"/>
          <w:sz w:val="20"/>
          <w:szCs w:val="20"/>
          <w:color w:val="auto"/>
        </w:rPr>
        <w:t xml:space="preserve"> hereof.</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Advances of Expenses.</w:t>
      </w:r>
      <w:r>
        <w:rPr>
          <w:rFonts w:ascii="Arial" w:cs="Arial" w:eastAsia="Arial" w:hAnsi="Arial"/>
          <w:sz w:val="19"/>
          <w:szCs w:val="19"/>
          <w:color w:val="auto"/>
        </w:rPr>
        <w:t xml:space="preserve"> In furtherance and not in limitation of the provisions of Section 6.02 of the By-laws of the Company, and notwithstanding any other provision of this Agreement to the contrary, the Company shall advance on a current and as-incurred basis, to the extent not prohibited by law, the Expenses incurred by Indemnitee in connection with any Proceeding, and such advancement shall be made within thirty (30) days after the receipt by the Company of a properly submitted written statement or statements requesting such advances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by Indemnitee in pursuing an action to enforce this right of advancement, including Expenses incurred preparing and forwarding statements to the Company to support the advances claimed. Indemnitee shall qualify for advances upon the execution and delivery to the Company of this Agreement, which shall constitute an undertaking by Indemnitee to repay (without interest) the amounts advanced to the extent that it is ultimately determined that Indemnitee is not entitled to be indemnified by the Company, and no other form of undertaking shall be required from Indemnitee other than the execution of this Agreement.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not apply to any claim made by Indemnitee for which indemnity is otherwise excluded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8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Procedure for Notification and Defense of Claim.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93" w:right="239" w:bottom="1440" w:gutter="0" w:footer="0" w:header="0"/>
        </w:sectPr>
      </w:pPr>
    </w:p>
    <w:bookmarkStart w:id="120" w:name="page121"/>
    <w:bookmarkEnd w:id="120"/>
    <w:p>
      <w:pPr>
        <w:jc w:val="both"/>
        <w:ind w:firstLine="656"/>
        <w:spacing w:after="0" w:line="301" w:lineRule="auto"/>
        <w:tabs>
          <w:tab w:leader="none" w:pos="1068" w:val="left"/>
        </w:tabs>
        <w:numPr>
          <w:ilvl w:val="0"/>
          <w:numId w:val="48"/>
        </w:numPr>
        <w:rPr>
          <w:rFonts w:ascii="Arial" w:cs="Arial" w:eastAsia="Arial" w:hAnsi="Arial"/>
          <w:sz w:val="19"/>
          <w:szCs w:val="19"/>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or Indemnitee’s becoming aware thereof (the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The Indemnification Notice shall include a description of the nature of the Proceeding and the facts underlying the Proceeding, in each case to the extent known to Indemnitee. To obtain indemnification under this Agreement, Indemnitee shall also submit to the Company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under this Agreement or otherwise, and any delay in so notifying the Company shall not constitute a waiver by Indemnitee of any rights under this Agreement. The Secretary of the Company shall, promptly upon receipt of the Indemnification Notice, advise the Board in writing that Indemnitee has requested indemnification and/or advancement of Expenses.</w:t>
      </w:r>
    </w:p>
    <w:p>
      <w:pPr>
        <w:spacing w:after="0" w:line="182" w:lineRule="exact"/>
        <w:rPr>
          <w:rFonts w:ascii="Arial" w:cs="Arial" w:eastAsia="Arial" w:hAnsi="Arial"/>
          <w:sz w:val="19"/>
          <w:szCs w:val="19"/>
          <w:color w:val="auto"/>
        </w:rPr>
      </w:pPr>
    </w:p>
    <w:p>
      <w:pPr>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0"/>
          <w:szCs w:val="20"/>
          <w:color w:val="auto"/>
        </w:rPr>
        <w:t>The Company will be entitled to participate in the Proceeding at its own expense.</w:t>
      </w:r>
    </w:p>
    <w:p>
      <w:pPr>
        <w:spacing w:after="0" w:line="20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Procedure Upon Application for Indemnification.</w:t>
      </w:r>
    </w:p>
    <w:p>
      <w:pPr>
        <w:spacing w:after="0" w:line="243" w:lineRule="exact"/>
        <w:rPr>
          <w:sz w:val="20"/>
          <w:szCs w:val="20"/>
          <w:color w:val="auto"/>
        </w:rPr>
      </w:pPr>
    </w:p>
    <w:p>
      <w:pPr>
        <w:jc w:val="both"/>
        <w:ind w:firstLine="656"/>
        <w:spacing w:after="0" w:line="301" w:lineRule="auto"/>
        <w:tabs>
          <w:tab w:leader="none" w:pos="1109" w:val="left"/>
        </w:tabs>
        <w:numPr>
          <w:ilvl w:val="0"/>
          <w:numId w:val="49"/>
        </w:numPr>
        <w:rPr>
          <w:rFonts w:ascii="Arial" w:cs="Arial" w:eastAsia="Arial" w:hAnsi="Arial"/>
          <w:sz w:val="19"/>
          <w:szCs w:val="19"/>
          <w:color w:val="auto"/>
        </w:rPr>
      </w:pPr>
      <w:r>
        <w:rPr>
          <w:rFonts w:ascii="Arial" w:cs="Arial" w:eastAsia="Arial" w:hAnsi="Arial"/>
          <w:sz w:val="18"/>
          <w:szCs w:val="18"/>
          <w:color w:val="auto"/>
        </w:rPr>
        <w:t xml:space="preserve">Upon delivery of the Indemnification Notice by Indemnitee under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 determination, if required by applicable law, with respect to Indemnitee’s entitlement thereto shall be made with respect to such request as follows: (i) by a majority vote of the Disinterested Directors, even though less than a quorum of the Board, (ii) by a committee of Disinterested Directors designated by a majority vote of the Disinterested Directors, even though less than a quorum of the Board, (iii) if there are no such Disinterested Directors or, if such Disinterested Directors so direct, by Independent Counsel in a written opinion to the Board, a copy of which shall be delivered to Indemnitee or (iv) if so directed by the Board,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the foregoing, in all cases, Indemnitee shall have the option, but not the obligation, to require, by delivery of a written request to the Company, that the determination with respect to Indemnitee’s entitlement to indemnification hereunder be made by Independent Counsel in a written opinion to the Board, a copy of which shall be delivered to Indemnitee (in which case such request shall be made prior to any determination by the Disinterested Directors (or any committee thereof) or prior to the submission of such matter to a vote by the stockholders of the Company).</w:t>
      </w:r>
    </w:p>
    <w:p>
      <w:pPr>
        <w:spacing w:after="0" w:line="185" w:lineRule="exact"/>
        <w:rPr>
          <w:rFonts w:ascii="Arial" w:cs="Arial" w:eastAsia="Arial" w:hAnsi="Arial"/>
          <w:sz w:val="19"/>
          <w:szCs w:val="19"/>
          <w:color w:val="auto"/>
        </w:rPr>
      </w:pPr>
    </w:p>
    <w:p>
      <w:pPr>
        <w:jc w:val="both"/>
        <w:ind w:firstLine="656"/>
        <w:spacing w:after="0" w:line="303" w:lineRule="auto"/>
        <w:tabs>
          <w:tab w:leader="none" w:pos="1094" w:val="left"/>
        </w:tabs>
        <w:numPr>
          <w:ilvl w:val="0"/>
          <w:numId w:val="49"/>
        </w:numPr>
        <w:rPr>
          <w:rFonts w:ascii="Arial" w:cs="Arial" w:eastAsia="Arial" w:hAnsi="Arial"/>
          <w:sz w:val="19"/>
          <w:szCs w:val="19"/>
          <w:color w:val="auto"/>
        </w:rPr>
      </w:pPr>
      <w:r>
        <w:rPr>
          <w:rFonts w:ascii="Arial" w:cs="Arial" w:eastAsia="Arial" w:hAnsi="Arial"/>
          <w:sz w:val="18"/>
          <w:szCs w:val="18"/>
          <w:color w:val="auto"/>
        </w:rPr>
        <w:t xml:space="preserve">If it is determined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hereof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written request any documentation or information that is not privileged or otherwise protected from disclosure and that is reasonably available to Indemnitee and reasonably necessary to such determination. Any Expenses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2" w:lineRule="exact"/>
        <w:rPr>
          <w:rFonts w:ascii="Arial" w:cs="Arial" w:eastAsia="Arial" w:hAnsi="Arial"/>
          <w:sz w:val="19"/>
          <w:szCs w:val="19"/>
          <w:color w:val="auto"/>
        </w:rPr>
      </w:pPr>
    </w:p>
    <w:p>
      <w:pPr>
        <w:jc w:val="both"/>
        <w:ind w:firstLine="656"/>
        <w:spacing w:after="0" w:line="266" w:lineRule="auto"/>
        <w:tabs>
          <w:tab w:leader="none" w:pos="1095" w:val="left"/>
        </w:tabs>
        <w:numPr>
          <w:ilvl w:val="0"/>
          <w:numId w:val="49"/>
        </w:numPr>
        <w:rPr>
          <w:rFonts w:ascii="Arial" w:cs="Arial" w:eastAsia="Arial" w:hAnsi="Arial"/>
          <w:sz w:val="22"/>
          <w:szCs w:val="22"/>
          <w:color w:val="auto"/>
        </w:rPr>
      </w:pPr>
      <w:r>
        <w:rPr>
          <w:rFonts w:ascii="Arial" w:cs="Arial" w:eastAsia="Arial" w:hAnsi="Arial"/>
          <w:sz w:val="20"/>
          <w:szCs w:val="20"/>
          <w:color w:val="auto"/>
        </w:rPr>
        <w:t xml:space="preserve">In the event the determination of entitlement to indemnification is to be made by Independent Counsel pursuant to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hereof, the Independent Counsel shall be selected as provided in this </w:t>
      </w:r>
      <w:r>
        <w:rPr>
          <w:rFonts w:ascii="Arial" w:cs="Arial" w:eastAsia="Arial" w:hAnsi="Arial"/>
          <w:sz w:val="20"/>
          <w:szCs w:val="20"/>
          <w:u w:val="single" w:color="auto"/>
          <w:color w:val="auto"/>
        </w:rPr>
        <w:t>Section 12(c)</w:t>
      </w:r>
      <w:r>
        <w:rPr>
          <w:rFonts w:ascii="Arial" w:cs="Arial" w:eastAsia="Arial" w:hAnsi="Arial"/>
          <w:sz w:val="20"/>
          <w:szCs w:val="20"/>
          <w:color w:val="auto"/>
        </w:rPr>
        <w:t>. If a Change in Control shall have occurred or if Indemnitee otherwise elects to require determination with respect to Indemnitee’s entitlement to indemnification hereunder to be made by Independent Counsel, the Independent Counsel shall be selected by Indemnitee (unless Indemnitee shall request that such selection be made by the Board, in which event the following sentence shall apply), and Indemnitee shall give written notice to the Company advising it of the identity of the Independent Counsel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93" w:right="239" w:bottom="1440" w:gutter="0" w:footer="0" w:header="0"/>
        </w:sectPr>
      </w:pPr>
    </w:p>
    <w:bookmarkStart w:id="121" w:name="page122"/>
    <w:bookmarkEnd w:id="121"/>
    <w:p>
      <w:pPr>
        <w:jc w:val="both"/>
        <w:spacing w:after="0" w:line="269" w:lineRule="auto"/>
        <w:rPr>
          <w:sz w:val="20"/>
          <w:szCs w:val="20"/>
          <w:color w:val="auto"/>
        </w:rPr>
      </w:pPr>
      <w:r>
        <w:rPr>
          <w:rFonts w:ascii="Arial" w:cs="Arial" w:eastAsia="Arial" w:hAnsi="Arial"/>
          <w:sz w:val="18"/>
          <w:szCs w:val="18"/>
          <w:color w:val="auto"/>
        </w:rPr>
        <w:t xml:space="preserve">so selected. If a Change in Control shall not have occurred and the determination with respect to Indemnitee’s entitlement to indemnification hereunder is to be made by Independent Counsel pursuant to </w:t>
      </w:r>
      <w:r>
        <w:rPr>
          <w:rFonts w:ascii="Arial" w:cs="Arial" w:eastAsia="Arial" w:hAnsi="Arial"/>
          <w:sz w:val="18"/>
          <w:szCs w:val="18"/>
          <w:u w:val="single" w:color="auto"/>
          <w:color w:val="auto"/>
        </w:rPr>
        <w:t>Section 12(a)(iii)</w:t>
      </w:r>
      <w:r>
        <w:rPr>
          <w:rFonts w:ascii="Arial" w:cs="Arial" w:eastAsia="Arial" w:hAnsi="Arial"/>
          <w:sz w:val="18"/>
          <w:szCs w:val="18"/>
          <w:color w:val="auto"/>
        </w:rPr>
        <w:t xml:space="preserve">, or if Indemnitee shall otherwise request, the Independent Counsel shall be selected by the Board, and the Company shall give written notice to Indemnitee advising him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objection may be asserted only on the ground that the Independent Counsel so selected does not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“Independent Counsel” as defined in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(i) submission by Indemnitee of a written request for indemnification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hereof and (ii) the final disposition of the Proceeding, no Independent Counsel shall have been selected and not objected to, either the Company or Indemnitee may petition a court of competent jurisdiction for resolution of any objection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hereof. Upon the due commencement of any judicial proceeding or arbitration pursuant to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243" w:lineRule="exact"/>
        <w:rPr>
          <w:sz w:val="20"/>
          <w:szCs w:val="20"/>
          <w:color w:val="auto"/>
        </w:rPr>
      </w:pPr>
    </w:p>
    <w:p>
      <w:pPr>
        <w:jc w:val="both"/>
        <w:ind w:firstLine="656"/>
        <w:spacing w:after="0" w:line="282" w:lineRule="auto"/>
        <w:tabs>
          <w:tab w:leader="none" w:pos="1136" w:val="left"/>
        </w:tabs>
        <w:numPr>
          <w:ilvl w:val="1"/>
          <w:numId w:val="50"/>
        </w:numPr>
        <w:rPr>
          <w:rFonts w:ascii="Arial" w:cs="Arial" w:eastAsia="Arial" w:hAnsi="Arial"/>
          <w:sz w:val="21"/>
          <w:szCs w:val="21"/>
          <w:color w:val="auto"/>
        </w:rPr>
      </w:pPr>
      <w:r>
        <w:rPr>
          <w:rFonts w:ascii="Arial" w:cs="Arial" w:eastAsia="Arial" w:hAnsi="Arial"/>
          <w:sz w:val="19"/>
          <w:szCs w:val="19"/>
          <w:color w:val="auto"/>
        </w:rPr>
        <w:t xml:space="preserve">In making a determination with respect to entitlement to indemnification hereunder, the person, persons or entity making such determination (including, without limitation, any Independent Counsel) shall, to the fullest extent not prohibited by law, presume that Indemnitee is entitled to indemnification under this Agreement if Indemnitee has submitted an Indemnification Notice in accordance with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at any time prior to the commencement of any action pursuant to this Agreement, as to whether indemnification is proper in the circumstances because Indemnitee has or has not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201" w:lineRule="exact"/>
        <w:rPr>
          <w:rFonts w:ascii="Arial" w:cs="Arial" w:eastAsia="Arial" w:hAnsi="Arial"/>
          <w:sz w:val="21"/>
          <w:szCs w:val="21"/>
          <w:color w:val="auto"/>
        </w:rPr>
      </w:pPr>
    </w:p>
    <w:p>
      <w:pPr>
        <w:jc w:val="both"/>
        <w:ind w:firstLine="656"/>
        <w:spacing w:after="0" w:line="292" w:lineRule="auto"/>
        <w:tabs>
          <w:tab w:leader="none" w:pos="1148" w:val="left"/>
        </w:tabs>
        <w:numPr>
          <w:ilvl w:val="1"/>
          <w:numId w:val="50"/>
        </w:numPr>
        <w:rPr>
          <w:rFonts w:ascii="Arial" w:cs="Arial" w:eastAsia="Arial" w:hAnsi="Arial"/>
          <w:sz w:val="19"/>
          <w:szCs w:val="19"/>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(which section allows determination regarding Indemnitee’s entitlement to indemnification under this Agreement to be deferred until following the final disposition of the Proceeding), if the person, persons or entity empowered or selected under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Agreement to determine whether Indemnitee is entitled to indemnification shall not have made a determination within sixty</w:t>
      </w:r>
    </w:p>
    <w:p>
      <w:pPr>
        <w:jc w:val="both"/>
        <w:ind w:firstLine="8"/>
        <w:spacing w:after="0" w:line="297" w:lineRule="auto"/>
        <w:tabs>
          <w:tab w:leader="none" w:pos="3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days after receipt by the Company of the Indemnification Notice from Indemnitee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sixty (60)-day period may be extended for a reasonable time, not to exceed an additional thirty</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days, if the person,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6" w:right="239" w:bottom="1440" w:gutter="0" w:footer="0" w:header="0"/>
        </w:sectPr>
      </w:pPr>
    </w:p>
    <w:bookmarkStart w:id="122" w:name="page123"/>
    <w:bookmarkEnd w:id="122"/>
    <w:p>
      <w:pPr>
        <w:jc w:val="both"/>
        <w:spacing w:after="0" w:line="256" w:lineRule="auto"/>
        <w:rPr>
          <w:sz w:val="20"/>
          <w:szCs w:val="20"/>
          <w:color w:val="auto"/>
        </w:rPr>
      </w:pPr>
      <w:r>
        <w:rPr>
          <w:rFonts w:ascii="Arial" w:cs="Arial" w:eastAsia="Arial" w:hAnsi="Arial"/>
          <w:sz w:val="19"/>
          <w:szCs w:val="19"/>
          <w:color w:val="auto"/>
        </w:rPr>
        <w:t xml:space="preserve">persons or entity making the determination with respect to entitlement to indemnification in good faith requires such additional time for the obtaining or evaluating of documentation and/or information relating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13(b)</w:t>
      </w:r>
      <w:r>
        <w:rPr>
          <w:rFonts w:ascii="Arial" w:cs="Arial" w:eastAsia="Arial" w:hAnsi="Arial"/>
          <w:sz w:val="19"/>
          <w:szCs w:val="19"/>
          <w:color w:val="auto"/>
        </w:rPr>
        <w:t xml:space="preserve"> shall not apply (i) if the determination of entitlement to indemnification is to be made by the stockholders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w:t>
      </w:r>
    </w:p>
    <w:p>
      <w:pPr>
        <w:spacing w:after="0" w:line="212" w:lineRule="exact"/>
        <w:rPr>
          <w:sz w:val="20"/>
          <w:szCs w:val="20"/>
          <w:color w:val="auto"/>
        </w:rPr>
      </w:pPr>
    </w:p>
    <w:p>
      <w:pPr>
        <w:jc w:val="both"/>
        <w:ind w:firstLine="656"/>
        <w:spacing w:after="0" w:line="283" w:lineRule="auto"/>
        <w:tabs>
          <w:tab w:leader="none" w:pos="1068" w:val="left"/>
        </w:tabs>
        <w:numPr>
          <w:ilvl w:val="0"/>
          <w:numId w:val="53"/>
        </w:numPr>
        <w:rPr>
          <w:rFonts w:ascii="Arial" w:cs="Arial" w:eastAsia="Arial" w:hAnsi="Arial"/>
          <w:sz w:val="21"/>
          <w:szCs w:val="21"/>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(except as otherwise expressly provided in this Agreement) in and of itself adversely affect the right of Indemnitee to indemnification or create a presumption (i) that Indemnitee did not act in good faith and in a manner which he reasonably believed to be in or not opposed to the best interests of the Company or, with respect to any criminal Proceeding, or (ii) that Indemnitee had reasonable cause to believe that his conduct was unlawful.</w:t>
      </w:r>
    </w:p>
    <w:p>
      <w:pPr>
        <w:spacing w:after="0" w:line="197" w:lineRule="exact"/>
        <w:rPr>
          <w:rFonts w:ascii="Arial" w:cs="Arial" w:eastAsia="Arial" w:hAnsi="Arial"/>
          <w:sz w:val="21"/>
          <w:szCs w:val="21"/>
          <w:color w:val="auto"/>
        </w:rPr>
      </w:pPr>
    </w:p>
    <w:p>
      <w:pPr>
        <w:jc w:val="both"/>
        <w:ind w:firstLine="656"/>
        <w:spacing w:after="0" w:line="304" w:lineRule="auto"/>
        <w:tabs>
          <w:tab w:leader="none" w:pos="1094" w:val="left"/>
        </w:tabs>
        <w:numPr>
          <w:ilvl w:val="0"/>
          <w:numId w:val="53"/>
        </w:numPr>
        <w:rPr>
          <w:rFonts w:ascii="Arial" w:cs="Arial" w:eastAsia="Arial" w:hAnsi="Arial"/>
          <w:sz w:val="19"/>
          <w:szCs w:val="19"/>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to have met the applicable standard of conduct set forth in this Agreement.</w:t>
      </w:r>
    </w:p>
    <w:p>
      <w:pPr>
        <w:spacing w:after="0" w:line="181" w:lineRule="exact"/>
        <w:rPr>
          <w:rFonts w:ascii="Arial" w:cs="Arial" w:eastAsia="Arial" w:hAnsi="Arial"/>
          <w:sz w:val="19"/>
          <w:szCs w:val="19"/>
          <w:color w:val="auto"/>
        </w:rPr>
      </w:pPr>
    </w:p>
    <w:p>
      <w:pPr>
        <w:ind w:firstLine="656"/>
        <w:spacing w:after="0" w:line="334" w:lineRule="auto"/>
        <w:tabs>
          <w:tab w:leader="none" w:pos="1122" w:val="left"/>
        </w:tabs>
        <w:numPr>
          <w:ilvl w:val="0"/>
          <w:numId w:val="53"/>
        </w:numPr>
        <w:rPr>
          <w:rFonts w:ascii="Arial" w:cs="Arial" w:eastAsia="Arial" w:hAnsi="Arial"/>
          <w:sz w:val="19"/>
          <w:szCs w:val="19"/>
          <w:color w:val="auto"/>
        </w:rPr>
      </w:pPr>
      <w:r>
        <w:rPr>
          <w:rFonts w:ascii="Arial" w:cs="Arial" w:eastAsia="Arial" w:hAnsi="Arial"/>
          <w:sz w:val="18"/>
          <w:szCs w:val="18"/>
          <w:color w:val="auto"/>
        </w:rPr>
        <w:t>The knowledge and/or actions, or failure to act, of any other director, officer, Agent or employee of the Company or any other Enterprise shall not be imputed to Indemnitee for purposes of determining Indemnitee’s right to indemnification under this Agreement.</w:t>
      </w:r>
    </w:p>
    <w:p>
      <w:pPr>
        <w:spacing w:after="0" w:line="12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u w:val="single" w:color="auto"/>
          <w:color w:val="auto"/>
        </w:rPr>
        <w:t>Remedies of Indemnitee.</w:t>
      </w:r>
    </w:p>
    <w:p>
      <w:pPr>
        <w:spacing w:after="0" w:line="243" w:lineRule="exact"/>
        <w:rPr>
          <w:sz w:val="20"/>
          <w:szCs w:val="20"/>
          <w:color w:val="auto"/>
        </w:rPr>
      </w:pPr>
    </w:p>
    <w:p>
      <w:pPr>
        <w:ind w:right="20" w:firstLine="656"/>
        <w:spacing w:after="0" w:line="265" w:lineRule="auto"/>
        <w:tabs>
          <w:tab w:leader="none" w:pos="1136" w:val="left"/>
        </w:tabs>
        <w:numPr>
          <w:ilvl w:val="0"/>
          <w:numId w:val="54"/>
        </w:numPr>
        <w:rPr>
          <w:rFonts w:ascii="Arial" w:cs="Arial" w:eastAsia="Arial" w:hAnsi="Arial"/>
          <w:sz w:val="22"/>
          <w:szCs w:val="22"/>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14(e)</w:t>
      </w:r>
      <w:r>
        <w:rPr>
          <w:rFonts w:ascii="Arial" w:cs="Arial" w:eastAsia="Arial" w:hAnsi="Arial"/>
          <w:sz w:val="20"/>
          <w:szCs w:val="20"/>
          <w:color w:val="auto"/>
        </w:rPr>
        <w:t xml:space="preserve"> (which section allows determination regarding Indemnitee’s entitlement to indemnification under this Agreement to be deferred until following the final disposition of the Proceeding), in the event that:</w:t>
      </w:r>
    </w:p>
    <w:p>
      <w:pPr>
        <w:spacing w:after="0" w:line="209" w:lineRule="exact"/>
        <w:rPr>
          <w:rFonts w:ascii="Arial" w:cs="Arial" w:eastAsia="Arial" w:hAnsi="Arial"/>
          <w:sz w:val="22"/>
          <w:szCs w:val="22"/>
          <w:color w:val="auto"/>
        </w:rPr>
      </w:pPr>
    </w:p>
    <w:p>
      <w:pPr>
        <w:ind w:left="660" w:firstLine="1293"/>
        <w:spacing w:after="0" w:line="265" w:lineRule="auto"/>
        <w:tabs>
          <w:tab w:leader="none" w:pos="2251" w:val="left"/>
        </w:tabs>
        <w:numPr>
          <w:ilvl w:val="1"/>
          <w:numId w:val="54"/>
        </w:numPr>
        <w:rPr>
          <w:rFonts w:ascii="Arial" w:cs="Arial" w:eastAsia="Arial" w:hAnsi="Arial"/>
          <w:sz w:val="22"/>
          <w:szCs w:val="22"/>
          <w:color w:val="auto"/>
        </w:rPr>
      </w:pPr>
      <w:r>
        <w:rPr>
          <w:rFonts w:ascii="Arial" w:cs="Arial" w:eastAsia="Arial" w:hAnsi="Arial"/>
          <w:sz w:val="20"/>
          <w:szCs w:val="20"/>
          <w:color w:val="auto"/>
        </w:rPr>
        <w:t xml:space="preserve">a determination is made pursuant to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of this Agreement that Indemnitee is not entitled to indemnification under this Agreement;</w:t>
      </w:r>
    </w:p>
    <w:p>
      <w:pPr>
        <w:spacing w:after="0" w:line="206" w:lineRule="exact"/>
        <w:rPr>
          <w:rFonts w:ascii="Arial" w:cs="Arial" w:eastAsia="Arial" w:hAnsi="Arial"/>
          <w:sz w:val="22"/>
          <w:szCs w:val="22"/>
          <w:color w:val="auto"/>
        </w:rPr>
      </w:pPr>
    </w:p>
    <w:p>
      <w:pPr>
        <w:ind w:left="2300" w:hanging="347"/>
        <w:spacing w:after="0"/>
        <w:tabs>
          <w:tab w:leader="none" w:pos="2300" w:val="left"/>
        </w:tabs>
        <w:numPr>
          <w:ilvl w:val="1"/>
          <w:numId w:val="54"/>
        </w:numPr>
        <w:rPr>
          <w:rFonts w:ascii="Arial" w:cs="Arial" w:eastAsia="Arial" w:hAnsi="Arial"/>
          <w:sz w:val="22"/>
          <w:szCs w:val="22"/>
          <w:color w:val="auto"/>
        </w:rPr>
      </w:pPr>
      <w:r>
        <w:rPr>
          <w:rFonts w:ascii="Arial" w:cs="Arial" w:eastAsia="Arial" w:hAnsi="Arial"/>
          <w:sz w:val="20"/>
          <w:szCs w:val="20"/>
          <w:color w:val="auto"/>
        </w:rPr>
        <w:t xml:space="preserve">advancement of Expenses is not timely made pursuant to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this Agreement;</w:t>
      </w:r>
    </w:p>
    <w:p>
      <w:pPr>
        <w:spacing w:after="0" w:line="235" w:lineRule="exact"/>
        <w:rPr>
          <w:rFonts w:ascii="Arial" w:cs="Arial" w:eastAsia="Arial" w:hAnsi="Arial"/>
          <w:sz w:val="22"/>
          <w:szCs w:val="22"/>
          <w:color w:val="auto"/>
        </w:rPr>
      </w:pPr>
    </w:p>
    <w:p>
      <w:pPr>
        <w:ind w:left="660" w:firstLine="1293"/>
        <w:spacing w:after="0" w:line="291" w:lineRule="auto"/>
        <w:tabs>
          <w:tab w:leader="none" w:pos="2506" w:val="left"/>
        </w:tabs>
        <w:numPr>
          <w:ilvl w:val="1"/>
          <w:numId w:val="54"/>
        </w:numPr>
        <w:rPr>
          <w:rFonts w:ascii="Arial" w:cs="Arial" w:eastAsia="Arial" w:hAnsi="Arial"/>
          <w:sz w:val="21"/>
          <w:szCs w:val="21"/>
          <w:color w:val="auto"/>
        </w:rPr>
      </w:pPr>
      <w:r>
        <w:rPr>
          <w:rFonts w:ascii="Arial" w:cs="Arial" w:eastAsia="Arial" w:hAnsi="Arial"/>
          <w:sz w:val="19"/>
          <w:szCs w:val="19"/>
          <w:color w:val="auto"/>
        </w:rPr>
        <w:t xml:space="preserve">no determination of entitlement to indemnification shall have been made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 within ninety (90) days after receipt by the Company of the Indemnification Notice, as provided in </w:t>
      </w:r>
      <w:r>
        <w:rPr>
          <w:rFonts w:ascii="Arial" w:cs="Arial" w:eastAsia="Arial" w:hAnsi="Arial"/>
          <w:sz w:val="19"/>
          <w:szCs w:val="19"/>
          <w:u w:val="single" w:color="auto"/>
          <w:color w:val="auto"/>
        </w:rPr>
        <w:t>Section 13(b)</w:t>
      </w:r>
      <w:r>
        <w:rPr>
          <w:rFonts w:ascii="Arial" w:cs="Arial" w:eastAsia="Arial" w:hAnsi="Arial"/>
          <w:sz w:val="19"/>
          <w:szCs w:val="19"/>
          <w:color w:val="auto"/>
        </w:rPr>
        <w:t>;</w:t>
      </w:r>
    </w:p>
    <w:p>
      <w:pPr>
        <w:spacing w:after="0" w:line="185" w:lineRule="exact"/>
        <w:rPr>
          <w:rFonts w:ascii="Arial" w:cs="Arial" w:eastAsia="Arial" w:hAnsi="Arial"/>
          <w:sz w:val="21"/>
          <w:szCs w:val="21"/>
          <w:color w:val="auto"/>
        </w:rPr>
      </w:pPr>
    </w:p>
    <w:p>
      <w:pPr>
        <w:ind w:left="660" w:right="20" w:firstLine="1293"/>
        <w:spacing w:after="0" w:line="265" w:lineRule="auto"/>
        <w:tabs>
          <w:tab w:leader="none" w:pos="2358" w:val="left"/>
        </w:tabs>
        <w:numPr>
          <w:ilvl w:val="1"/>
          <w:numId w:val="54"/>
        </w:numPr>
        <w:rPr>
          <w:rFonts w:ascii="Arial" w:cs="Arial" w:eastAsia="Arial" w:hAnsi="Arial"/>
          <w:sz w:val="22"/>
          <w:szCs w:val="22"/>
          <w:color w:val="auto"/>
        </w:rPr>
      </w:pPr>
      <w:r>
        <w:rPr>
          <w:rFonts w:ascii="Arial" w:cs="Arial" w:eastAsia="Arial" w:hAnsi="Arial"/>
          <w:sz w:val="20"/>
          <w:szCs w:val="20"/>
          <w:color w:val="auto"/>
        </w:rPr>
        <w:t xml:space="preserve">payment of indemnification is not made pursuant to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w:t>
      </w:r>
      <w:r>
        <w:rPr>
          <w:rFonts w:ascii="Arial" w:cs="Arial" w:eastAsia="Arial" w:hAnsi="Arial"/>
          <w:sz w:val="20"/>
          <w:szCs w:val="20"/>
          <w:u w:val="single" w:color="auto"/>
          <w:color w:val="auto"/>
        </w:rPr>
        <w:t>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w:t>
      </w:r>
      <w:r>
        <w:rPr>
          <w:rFonts w:ascii="Arial" w:cs="Arial" w:eastAsia="Arial" w:hAnsi="Arial"/>
          <w:sz w:val="20"/>
          <w:szCs w:val="20"/>
          <w:color w:val="auto"/>
        </w:rPr>
        <w:t xml:space="preserve">, or the last sentence of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of this Agreement within ten (10) days after receipt by the Company of a written request therefor;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66" w:right="239" w:bottom="1440" w:gutter="0" w:footer="0" w:header="0"/>
        </w:sectPr>
      </w:pPr>
    </w:p>
    <w:bookmarkStart w:id="123" w:name="page124"/>
    <w:bookmarkEnd w:id="123"/>
    <w:p>
      <w:pPr>
        <w:ind w:left="660" w:right="20" w:firstLine="1293"/>
        <w:spacing w:after="0" w:line="265" w:lineRule="auto"/>
        <w:tabs>
          <w:tab w:leader="none" w:pos="2285" w:val="left"/>
        </w:tabs>
        <w:numPr>
          <w:ilvl w:val="0"/>
          <w:numId w:val="55"/>
        </w:numPr>
        <w:rPr>
          <w:rFonts w:ascii="Arial" w:cs="Arial" w:eastAsia="Arial" w:hAnsi="Arial"/>
          <w:sz w:val="22"/>
          <w:szCs w:val="22"/>
          <w:color w:val="auto"/>
        </w:rPr>
      </w:pPr>
      <w:r>
        <w:rPr>
          <w:rFonts w:ascii="Arial" w:cs="Arial" w:eastAsia="Arial" w:hAnsi="Arial"/>
          <w:sz w:val="20"/>
          <w:szCs w:val="20"/>
          <w:color w:val="auto"/>
        </w:rPr>
        <w:t xml:space="preserve">payment of indemnification pursuant to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w:t>
      </w:r>
      <w:r>
        <w:rPr>
          <w:rFonts w:ascii="Arial" w:cs="Arial" w:eastAsia="Arial" w:hAnsi="Arial"/>
          <w:sz w:val="20"/>
          <w:szCs w:val="20"/>
          <w:u w:val="single" w:color="auto"/>
          <w:color w:val="auto"/>
        </w:rPr>
        <w:t>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w:t>
      </w:r>
      <w:r>
        <w:rPr>
          <w:rFonts w:ascii="Arial" w:cs="Arial" w:eastAsia="Arial" w:hAnsi="Arial"/>
          <w:sz w:val="20"/>
          <w:szCs w:val="20"/>
          <w:color w:val="auto"/>
        </w:rPr>
        <w:t xml:space="preserve"> of this Agreement is not made within ten (10) days after a determination has been made that Indemnitee is entitled to indemnification; or</w:t>
      </w:r>
    </w:p>
    <w:p>
      <w:pPr>
        <w:spacing w:after="0" w:line="209" w:lineRule="exact"/>
        <w:rPr>
          <w:rFonts w:ascii="Arial" w:cs="Arial" w:eastAsia="Arial" w:hAnsi="Arial"/>
          <w:sz w:val="22"/>
          <w:szCs w:val="22"/>
          <w:color w:val="auto"/>
        </w:rPr>
      </w:pPr>
    </w:p>
    <w:p>
      <w:pPr>
        <w:jc w:val="both"/>
        <w:ind w:left="660" w:firstLine="1293"/>
        <w:spacing w:after="0" w:line="265" w:lineRule="auto"/>
        <w:tabs>
          <w:tab w:leader="none" w:pos="2413" w:val="left"/>
        </w:tabs>
        <w:numPr>
          <w:ilvl w:val="0"/>
          <w:numId w:val="55"/>
        </w:numPr>
        <w:rPr>
          <w:rFonts w:ascii="Arial" w:cs="Arial" w:eastAsia="Arial" w:hAnsi="Arial"/>
          <w:sz w:val="22"/>
          <w:szCs w:val="22"/>
          <w:color w:val="auto"/>
        </w:rPr>
      </w:pPr>
      <w:r>
        <w:rPr>
          <w:rFonts w:ascii="Arial" w:cs="Arial" w:eastAsia="Arial" w:hAnsi="Arial"/>
          <w:sz w:val="20"/>
          <w:szCs w:val="20"/>
          <w:color w:val="auto"/>
        </w:rPr>
        <w:t>the Company or any other person or Enterprise takes or threatens to take any action to declare this Agreement void or unenforceable, or institutes any litigation or other action or Proceeding designed to deny, or to recover from, Indemnitee the benefits provided or intended to be provided to Indemnitee hereunder,</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then, in any such event,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w:t>
      </w:r>
      <w:r>
        <w:rPr>
          <w:rFonts w:ascii="Arial" w:cs="Arial" w:eastAsia="Arial" w:hAnsi="Arial"/>
          <w:sz w:val="20"/>
          <w:szCs w:val="20"/>
          <w:u w:val="single" w:color="auto"/>
          <w:color w:val="auto"/>
        </w:rPr>
        <w:t>Section 14(a)</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foregoing clause shall not apply in respect of a proceeding brought by Indemnitee to enforce his rights under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this Agreement. The Company shall not oppose Indemnitee’s right to seek any such adjudication or award in arbitration.</w:t>
      </w:r>
    </w:p>
    <w:p>
      <w:pPr>
        <w:spacing w:after="0" w:line="220" w:lineRule="exact"/>
        <w:rPr>
          <w:sz w:val="20"/>
          <w:szCs w:val="20"/>
          <w:color w:val="auto"/>
        </w:rPr>
      </w:pPr>
    </w:p>
    <w:p>
      <w:pPr>
        <w:jc w:val="both"/>
        <w:ind w:firstLine="656"/>
        <w:spacing w:after="0" w:line="266"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 xml:space="preserve">In the event that a determination shall have been made pursuant to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of this Agreement that Indemnitee is not entitled to indemnification, any judicial proceeding or arbitration commenced pursuant to this </w:t>
      </w: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shall be conducted in all respects as a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trial or arbitration on the merits and Indemnitee shall not be prejudiced by reason of that adverse determination. In any judicial proceeding or arbitration commenced pursuant to this </w:t>
      </w: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the Company shall have the burden of proving Indemnitee is not entitled to indemnification or advancement of Expenses, as the case may be.</w:t>
      </w:r>
    </w:p>
    <w:p>
      <w:pPr>
        <w:spacing w:after="0" w:line="212" w:lineRule="exact"/>
        <w:rPr>
          <w:rFonts w:ascii="Arial" w:cs="Arial" w:eastAsia="Arial" w:hAnsi="Arial"/>
          <w:sz w:val="22"/>
          <w:szCs w:val="22"/>
          <w:color w:val="auto"/>
        </w:rPr>
      </w:pPr>
    </w:p>
    <w:p>
      <w:pPr>
        <w:jc w:val="both"/>
        <w:ind w:firstLine="656"/>
        <w:spacing w:after="0" w:line="266" w:lineRule="auto"/>
        <w:tabs>
          <w:tab w:leader="none" w:pos="1311" w:val="left"/>
        </w:tabs>
        <w:numPr>
          <w:ilvl w:val="0"/>
          <w:numId w:val="56"/>
        </w:numPr>
        <w:rPr>
          <w:rFonts w:ascii="Arial" w:cs="Arial" w:eastAsia="Arial" w:hAnsi="Arial"/>
          <w:sz w:val="22"/>
          <w:szCs w:val="22"/>
          <w:color w:val="auto"/>
        </w:rPr>
      </w:pPr>
      <w:r>
        <w:rPr>
          <w:rFonts w:ascii="Arial" w:cs="Arial" w:eastAsia="Arial" w:hAnsi="Arial"/>
          <w:sz w:val="20"/>
          <w:szCs w:val="20"/>
          <w:color w:val="auto"/>
        </w:rPr>
        <w:t xml:space="preserve">If a determination shall have been made pursuant to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20"/>
          <w:szCs w:val="20"/>
          <w:u w:val="single" w:color="auto"/>
          <w:color w:val="auto"/>
        </w:rPr>
        <w:t>Section 14</w:t>
      </w:r>
      <w:r>
        <w:rPr>
          <w:rFonts w:ascii="Arial" w:cs="Arial" w:eastAsia="Arial" w:hAnsi="Arial"/>
          <w:sz w:val="20"/>
          <w:szCs w:val="20"/>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212" w:lineRule="exact"/>
        <w:rPr>
          <w:rFonts w:ascii="Arial" w:cs="Arial" w:eastAsia="Arial" w:hAnsi="Arial"/>
          <w:sz w:val="22"/>
          <w:szCs w:val="22"/>
          <w:color w:val="auto"/>
        </w:rPr>
      </w:pPr>
    </w:p>
    <w:p>
      <w:pPr>
        <w:jc w:val="both"/>
        <w:ind w:firstLine="656"/>
        <w:spacing w:after="0" w:line="282" w:lineRule="auto"/>
        <w:tabs>
          <w:tab w:leader="none" w:pos="1215" w:val="left"/>
        </w:tabs>
        <w:numPr>
          <w:ilvl w:val="0"/>
          <w:numId w:val="56"/>
        </w:numPr>
        <w:rPr>
          <w:rFonts w:ascii="Arial" w:cs="Arial" w:eastAsia="Arial" w:hAnsi="Arial"/>
          <w:sz w:val="21"/>
          <w:szCs w:val="21"/>
          <w:color w:val="auto"/>
        </w:rPr>
      </w:pPr>
      <w:r>
        <w:rPr>
          <w:rFonts w:ascii="Arial" w:cs="Arial" w:eastAsia="Arial" w:hAnsi="Arial"/>
          <w:sz w:val="19"/>
          <w:szCs w:val="19"/>
          <w:color w:val="auto"/>
        </w:rPr>
        <w:t xml:space="preserve">The Company shall, to the fullest extent not prohibited by law, be precluded from asserting in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Indemnitee is wholly successful on the underlying claims; if Indemnitee is not wholly successful on the underlying claims, then such indemnification and advancement shall be only to the extent Indemnitee is successful on such underlying claims or otherwise as permitted by law, whichever is greater.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93" w:right="239" w:bottom="1440" w:gutter="0" w:footer="0" w:header="0"/>
        </w:sectPr>
      </w:pPr>
    </w:p>
    <w:bookmarkStart w:id="124" w:name="page125"/>
    <w:bookmarkEnd w:id="124"/>
    <w:p>
      <w:pPr>
        <w:ind w:right="20" w:firstLine="656"/>
        <w:spacing w:after="0" w:line="265" w:lineRule="auto"/>
        <w:tabs>
          <w:tab w:leader="none" w:pos="1095" w:val="left"/>
        </w:tabs>
        <w:numPr>
          <w:ilvl w:val="0"/>
          <w:numId w:val="57"/>
        </w:numPr>
        <w:rPr>
          <w:rFonts w:ascii="Arial" w:cs="Arial" w:eastAsia="Arial" w:hAnsi="Arial"/>
          <w:sz w:val="22"/>
          <w:szCs w:val="22"/>
          <w:color w:val="auto"/>
        </w:rPr>
      </w:pPr>
      <w:r>
        <w:rPr>
          <w:rFonts w:ascii="Arial" w:cs="Arial" w:eastAsia="Arial" w:hAnsi="Arial"/>
          <w:sz w:val="20"/>
          <w:szCs w:val="20"/>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8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Non-exclusivity; Survival of Rights; Insurance; Subrogation.</w:t>
      </w:r>
    </w:p>
    <w:p>
      <w:pPr>
        <w:spacing w:after="0" w:line="243" w:lineRule="exact"/>
        <w:rPr>
          <w:sz w:val="20"/>
          <w:szCs w:val="20"/>
          <w:color w:val="auto"/>
        </w:rPr>
      </w:pPr>
    </w:p>
    <w:p>
      <w:pPr>
        <w:jc w:val="both"/>
        <w:ind w:firstLine="656"/>
        <w:spacing w:after="0" w:line="282" w:lineRule="auto"/>
        <w:tabs>
          <w:tab w:leader="none" w:pos="1109" w:val="left"/>
        </w:tabs>
        <w:numPr>
          <w:ilvl w:val="0"/>
          <w:numId w:val="58"/>
        </w:numPr>
        <w:rPr>
          <w:rFonts w:ascii="Arial" w:cs="Arial" w:eastAsia="Arial" w:hAnsi="Arial"/>
          <w:sz w:val="21"/>
          <w:szCs w:val="21"/>
          <w:color w:val="auto"/>
        </w:rPr>
      </w:pPr>
      <w:r>
        <w:rPr>
          <w:rFonts w:ascii="Arial" w:cs="Arial" w:eastAsia="Arial" w:hAnsi="Arial"/>
          <w:sz w:val="19"/>
          <w:szCs w:val="19"/>
          <w:color w:val="auto"/>
        </w:rPr>
        <w:t>The rights of indemnification and to advancement of Expenses as provided by this Agreement shall not be deemed exclusive of any other rights to which Indemnitee may at any time be entitled under applicable law, the Company’s Certificate of Incorporation, the Company’s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Company’s By-laws and this Agreement, it is the intent of the parties hereto that Indemnitee shall enjoy by virtue of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01" w:lineRule="exact"/>
        <w:rPr>
          <w:rFonts w:ascii="Arial" w:cs="Arial" w:eastAsia="Arial" w:hAnsi="Arial"/>
          <w:sz w:val="21"/>
          <w:szCs w:val="21"/>
          <w:color w:val="auto"/>
        </w:rPr>
      </w:pPr>
    </w:p>
    <w:p>
      <w:pPr>
        <w:jc w:val="both"/>
        <w:ind w:firstLine="656"/>
        <w:spacing w:after="0" w:line="267" w:lineRule="auto"/>
        <w:tabs>
          <w:tab w:leader="none" w:pos="1094" w:val="left"/>
        </w:tabs>
        <w:numPr>
          <w:ilvl w:val="0"/>
          <w:numId w:val="58"/>
        </w:numPr>
        <w:rPr>
          <w:rFonts w:ascii="Arial" w:cs="Arial" w:eastAsia="Arial" w:hAnsi="Arial"/>
          <w:sz w:val="22"/>
          <w:szCs w:val="22"/>
          <w:color w:val="auto"/>
        </w:rPr>
      </w:pPr>
      <w:r>
        <w:rPr>
          <w:rFonts w:ascii="Arial" w:cs="Arial" w:eastAsia="Arial" w:hAnsi="Arial"/>
          <w:sz w:val="20"/>
          <w:szCs w:val="20"/>
          <w:color w:val="auto"/>
        </w:rPr>
        <w:t>To the extent that the Company maintains any insurance policy providing liability insurance for directors, officers, employees, or Agents of the Company or any other Enterprise, Indemnitee shall be covered by such policy in accordance with its terms to the maximum extent of the coverage available for any such director, officer, employee or Agent under such policy. If, at the time of the receipt of an Indemnification Notice pursuant to the terms hereof, the Company has director and officer liability or similar insurance (“</w:t>
      </w:r>
      <w:r>
        <w:rPr>
          <w:rFonts w:ascii="Arial" w:cs="Arial" w:eastAsia="Arial" w:hAnsi="Arial"/>
          <w:sz w:val="20"/>
          <w:szCs w:val="20"/>
          <w:u w:val="single" w:color="auto"/>
          <w:color w:val="auto"/>
        </w:rPr>
        <w:t>D&amp;O Insurance</w:t>
      </w:r>
      <w:r>
        <w:rPr>
          <w:rFonts w:ascii="Arial" w:cs="Arial" w:eastAsia="Arial" w:hAnsi="Arial"/>
          <w:sz w:val="20"/>
          <w:szCs w:val="20"/>
          <w:color w:val="auto"/>
        </w:rPr>
        <w:t>”) in effect, the Company shall give prompt notice of such claim or of the commencement of a Proceeding, as the case may be, to the applicable insurers in accordance with the procedures set forth in the applicable policy. The Company shall thereafter take all necessary or desirable action to cause such insurers to pay, on behalf of Indemnitee, all amounts payable as a result of such Proceeding in accordance with the terms of each such policy.</w:t>
      </w:r>
    </w:p>
    <w:p>
      <w:pPr>
        <w:spacing w:after="0" w:line="210" w:lineRule="exact"/>
        <w:rPr>
          <w:rFonts w:ascii="Arial" w:cs="Arial" w:eastAsia="Arial" w:hAnsi="Arial"/>
          <w:sz w:val="22"/>
          <w:szCs w:val="22"/>
          <w:color w:val="auto"/>
        </w:rPr>
      </w:pPr>
    </w:p>
    <w:p>
      <w:pPr>
        <w:jc w:val="both"/>
        <w:ind w:firstLine="656"/>
        <w:spacing w:after="0" w:line="299" w:lineRule="auto"/>
        <w:tabs>
          <w:tab w:leader="none" w:pos="1082" w:val="left"/>
        </w:tabs>
        <w:numPr>
          <w:ilvl w:val="0"/>
          <w:numId w:val="58"/>
        </w:numPr>
        <w:rPr>
          <w:rFonts w:ascii="Arial" w:cs="Arial" w:eastAsia="Arial" w:hAnsi="Arial"/>
          <w:sz w:val="19"/>
          <w:szCs w:val="19"/>
          <w:color w:val="auto"/>
        </w:rPr>
      </w:pPr>
      <w:r>
        <w:rPr>
          <w:rFonts w:ascii="Arial" w:cs="Arial" w:eastAsia="Arial" w:hAnsi="Arial"/>
          <w:sz w:val="18"/>
          <w:szCs w:val="18"/>
          <w:color w:val="auto"/>
        </w:rPr>
        <w:t>In the event (i) that the Company determines to reduce materially or not to renew its D&amp;O Insurance coverage, the Company will purchase six (6) year tail coverage D&amp;O Insurance, on terms and conditions substantially similar to the existing D&amp;O Insurance (“</w:t>
      </w:r>
      <w:r>
        <w:rPr>
          <w:rFonts w:ascii="Arial" w:cs="Arial" w:eastAsia="Arial" w:hAnsi="Arial"/>
          <w:sz w:val="18"/>
          <w:szCs w:val="18"/>
          <w:u w:val="single" w:color="auto"/>
          <w:color w:val="auto"/>
        </w:rPr>
        <w:t>Comparable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Coverage</w:t>
      </w:r>
      <w:r>
        <w:rPr>
          <w:rFonts w:ascii="Arial" w:cs="Arial" w:eastAsia="Arial" w:hAnsi="Arial"/>
          <w:sz w:val="18"/>
          <w:szCs w:val="18"/>
          <w:color w:val="auto"/>
        </w:rPr>
        <w:t>”), for the benefit of the directors, officers, employees or Agents of the Company or any other Enterprise who had served in such capacity prior to the reduction, termination or expiration of the coverage (the “</w:t>
      </w:r>
      <w:r>
        <w:rPr>
          <w:rFonts w:ascii="Arial" w:cs="Arial" w:eastAsia="Arial" w:hAnsi="Arial"/>
          <w:sz w:val="18"/>
          <w:szCs w:val="18"/>
          <w:u w:val="single" w:color="auto"/>
          <w:color w:val="auto"/>
        </w:rPr>
        <w:t>Prior Directors and Officers</w:t>
      </w:r>
      <w:r>
        <w:rPr>
          <w:rFonts w:ascii="Arial" w:cs="Arial" w:eastAsia="Arial" w:hAnsi="Arial"/>
          <w:sz w:val="18"/>
          <w:szCs w:val="18"/>
          <w:color w:val="auto"/>
        </w:rPr>
        <w:t xml:space="preserve">”); or (ii) of a Change in Control, the Company will either (A) purchase six (6) year tail coverage D&amp;O Insurance with Comparable Coverage for the benefit of the directors, officers, employees or Agents of the Company or any other Enterprise who had served in such capacity prior to the closing of the transaction or the occurrence of the event constituting the Change in Control, and/or (B) as applicable, secure the contractual agreement by the acquiring entity or person to purchase such coverage and require the acquiring entity or person to deliver proof of the purchase of such coverage, in form and substance satisfactory to the Company, at or prior to the closing of the transaction or the occurrence of the event constituting the Change in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(ii) shall not apply if, in connection with the Change in Control, there is no material reduction or non-renewal of the existing D&amp;O Insurance coverage for the benefit of the directors, officers, employees or Agents of the Company or any other Enterprise who served in such capacity prior to the closing of the transaction or the occurrence of the event constituting the Change in Control for the six (6) year period following the date of such closing or event. Notwithstanding the foregoing, if the annual premium for any year of such tail coverage or other continuing D&amp;O Insurance coverage would exceed 200% of the annual premium the Company paid for D&amp;O Insurance in its last full fiscal year prior to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93" w:right="239" w:bottom="1440" w:gutter="0" w:footer="0" w:header="0"/>
        </w:sectPr>
      </w:pPr>
    </w:p>
    <w:bookmarkStart w:id="125" w:name="page126"/>
    <w:bookmarkEnd w:id="125"/>
    <w:p>
      <w:pPr>
        <w:jc w:val="both"/>
        <w:spacing w:after="0" w:line="291" w:lineRule="auto"/>
        <w:rPr>
          <w:sz w:val="20"/>
          <w:szCs w:val="20"/>
          <w:color w:val="auto"/>
        </w:rPr>
      </w:pPr>
      <w:r>
        <w:rPr>
          <w:rFonts w:ascii="Arial" w:cs="Arial" w:eastAsia="Arial" w:hAnsi="Arial"/>
          <w:sz w:val="18"/>
          <w:szCs w:val="18"/>
          <w:color w:val="auto"/>
        </w:rPr>
        <w:t xml:space="preserve">reduction, termination or expiration of the D&amp;O Insurance or such Change in Control event, the Company (or the acquiror or successor, as the case may be) will be deemed to have satisfied its obligations under this </w:t>
      </w:r>
      <w:r>
        <w:rPr>
          <w:rFonts w:ascii="Arial" w:cs="Arial" w:eastAsia="Arial" w:hAnsi="Arial"/>
          <w:sz w:val="18"/>
          <w:szCs w:val="18"/>
          <w:u w:val="single" w:color="auto"/>
          <w:color w:val="auto"/>
        </w:rPr>
        <w:t>Section 15(c)</w:t>
      </w:r>
      <w:r>
        <w:rPr>
          <w:rFonts w:ascii="Arial" w:cs="Arial" w:eastAsia="Arial" w:hAnsi="Arial"/>
          <w:sz w:val="18"/>
          <w:szCs w:val="18"/>
          <w:color w:val="auto"/>
        </w:rPr>
        <w:t xml:space="preserve"> by purchasing as much D&amp;O Insurance for such year as can be obtained for a premium equal to 200% of such annual premium the Company paid for D&amp;O Insurance in its last full fiscal year.</w:t>
      </w:r>
    </w:p>
    <w:p>
      <w:pPr>
        <w:spacing w:after="0" w:line="179" w:lineRule="exact"/>
        <w:rPr>
          <w:sz w:val="20"/>
          <w:szCs w:val="20"/>
          <w:color w:val="auto"/>
        </w:rPr>
      </w:pPr>
    </w:p>
    <w:p>
      <w:pPr>
        <w:jc w:val="both"/>
        <w:ind w:firstLine="656"/>
        <w:spacing w:after="0" w:line="265" w:lineRule="auto"/>
        <w:tabs>
          <w:tab w:leader="none" w:pos="1107" w:val="left"/>
        </w:tabs>
        <w:numPr>
          <w:ilvl w:val="0"/>
          <w:numId w:val="59"/>
        </w:numPr>
        <w:rPr>
          <w:rFonts w:ascii="Arial" w:cs="Arial" w:eastAsia="Arial" w:hAnsi="Arial"/>
          <w:sz w:val="22"/>
          <w:szCs w:val="22"/>
          <w:color w:val="auto"/>
        </w:rPr>
      </w:pPr>
      <w:r>
        <w:rPr>
          <w:rFonts w:ascii="Arial" w:cs="Arial" w:eastAsia="Arial" w:hAnsi="Arial"/>
          <w:sz w:val="20"/>
          <w:szCs w:val="20"/>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49" w:val="left"/>
        </w:tabs>
        <w:numPr>
          <w:ilvl w:val="0"/>
          <w:numId w:val="59"/>
        </w:numPr>
        <w:rPr>
          <w:rFonts w:ascii="Arial" w:cs="Arial" w:eastAsia="Arial" w:hAnsi="Arial"/>
          <w:sz w:val="22"/>
          <w:szCs w:val="22"/>
          <w:color w:val="auto"/>
        </w:rPr>
      </w:pPr>
      <w:r>
        <w:rPr>
          <w:rFonts w:ascii="Arial" w:cs="Arial" w:eastAsia="Arial" w:hAnsi="Arial"/>
          <w:sz w:val="20"/>
          <w:szCs w:val="20"/>
          <w:color w:val="auto"/>
        </w:rPr>
        <w:t>The Company shall not be liable under this Agreement to make any payment of amounts otherwise indemnifiable (including Expenses for which advancement is provided hereunder) hereunder if and to the extent that Indemnitee has otherwise actually received such payment under any insurance policy, contract, agreement or otherwise.</w:t>
      </w:r>
    </w:p>
    <w:p>
      <w:pPr>
        <w:spacing w:after="0" w:line="212" w:lineRule="exact"/>
        <w:rPr>
          <w:rFonts w:ascii="Arial" w:cs="Arial" w:eastAsia="Arial" w:hAnsi="Arial"/>
          <w:sz w:val="22"/>
          <w:szCs w:val="22"/>
          <w:color w:val="auto"/>
        </w:rPr>
      </w:pPr>
    </w:p>
    <w:p>
      <w:pPr>
        <w:jc w:val="both"/>
        <w:ind w:firstLine="656"/>
        <w:spacing w:after="0" w:line="284" w:lineRule="auto"/>
        <w:tabs>
          <w:tab w:leader="none" w:pos="1071" w:val="left"/>
        </w:tabs>
        <w:numPr>
          <w:ilvl w:val="0"/>
          <w:numId w:val="59"/>
        </w:numPr>
        <w:rPr>
          <w:rFonts w:ascii="Arial" w:cs="Arial" w:eastAsia="Arial" w:hAnsi="Arial"/>
          <w:sz w:val="21"/>
          <w:szCs w:val="21"/>
          <w:color w:val="auto"/>
        </w:rPr>
      </w:pPr>
      <w:r>
        <w:rPr>
          <w:rFonts w:ascii="Arial" w:cs="Arial" w:eastAsia="Arial" w:hAnsi="Arial"/>
          <w:sz w:val="19"/>
          <w:szCs w:val="19"/>
          <w:color w:val="auto"/>
        </w:rPr>
        <w:t>The Company’s obligation to indemnify or to advance Expenses hereunder to Indemnitee in connection with any claim related to Indemnitee’s service as a director, officer, employee or Agent of any Enterprise other than the Company shall be reduced by any amount Indemnitee has actually received as indemnification or advancement of Expenses from such other Enterprise.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Duration of Agreement.</w:t>
      </w:r>
      <w:r>
        <w:rPr>
          <w:rFonts w:ascii="Arial" w:cs="Arial" w:eastAsia="Arial" w:hAnsi="Arial"/>
          <w:sz w:val="19"/>
          <w:szCs w:val="19"/>
          <w:color w:val="auto"/>
        </w:rPr>
        <w:t xml:space="preserve"> This Agreement shall continue in full force and effect until and terminate upon the later of: (a) ten (10) years after the date that Indemnitee shall have ceased to serve as a director, officer, employee, and/or Agent of the Company or any other Enterprise, and (b) one (1) year after the final termination of any Proceeding then pending in respect of which Indemnitee is granted rights of indemnification or advancement of Expenses hereunder and of any proceeding commenced by Indemnitee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of this Agreement relating thereto. This Agreement shall be binding upon the Company and its successors and assigns, and shall inure to the benefit of Indemnitee and his heirs, representatives, executors and administrators.</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Amendments to By-laws</w:t>
      </w:r>
      <w:r>
        <w:rPr>
          <w:rFonts w:ascii="Arial" w:cs="Arial" w:eastAsia="Arial" w:hAnsi="Arial"/>
          <w:sz w:val="18"/>
          <w:szCs w:val="18"/>
          <w:color w:val="auto"/>
        </w:rPr>
        <w:t>. Any amendments to the By-laws of the Company that purport to reduce or eliminate indemnification rights of Indemnitee thereunder shall have no effect with respect to this Agreement, and Indemnitee shall continue to have all of the rights and benefits of this Agreement despite any such amendments to the By-laws. However, if the By-laws of the Company are amended to provide for greater indemnification rights or privileges, this Agreement shall not be construed so as to limit Indemnitee’s rights and privileges to the terms hereof, and Indemnitee shall be entitled to the full benefit of any such additional rights and privileges.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Enforcement.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66" w:right="239" w:bottom="1440" w:gutter="0" w:footer="0" w:header="0"/>
        </w:sectPr>
      </w:pPr>
    </w:p>
    <w:bookmarkStart w:id="126" w:name="page127"/>
    <w:bookmarkEnd w:id="126"/>
    <w:p>
      <w:pPr>
        <w:jc w:val="both"/>
        <w:ind w:firstLine="656"/>
        <w:spacing w:after="0" w:line="266" w:lineRule="auto"/>
        <w:tabs>
          <w:tab w:leader="none" w:pos="1109" w:val="left"/>
        </w:tabs>
        <w:numPr>
          <w:ilvl w:val="0"/>
          <w:numId w:val="60"/>
        </w:numPr>
        <w:rPr>
          <w:rFonts w:ascii="Arial" w:cs="Arial" w:eastAsia="Arial" w:hAnsi="Arial"/>
          <w:sz w:val="22"/>
          <w:szCs w:val="22"/>
          <w:color w:val="auto"/>
        </w:rPr>
      </w:pPr>
      <w:r>
        <w:rPr>
          <w:rFonts w:ascii="Arial" w:cs="Arial" w:eastAsia="Arial" w:hAnsi="Arial"/>
          <w:sz w:val="20"/>
          <w:szCs w:val="20"/>
          <w:color w:val="auto"/>
        </w:rPr>
        <w:t>The Company expressly confirms and agrees that it has entered into this Agreement and assumed the obligations imposed on it hereby in order to induce Indemnitee to serve as a director, officer, employee and/or Agent of the Company and/or one or more other Enterprises, and the Company acknowledges that Indemnitee is relying upon this Agreement in serving as a director, officer, employee and/or Agent of the Company and/or any of such other Enterprises.</w:t>
      </w:r>
    </w:p>
    <w:p>
      <w:pPr>
        <w:spacing w:after="0" w:line="210" w:lineRule="exact"/>
        <w:rPr>
          <w:rFonts w:ascii="Arial" w:cs="Arial" w:eastAsia="Arial" w:hAnsi="Arial"/>
          <w:sz w:val="22"/>
          <w:szCs w:val="22"/>
          <w:color w:val="auto"/>
        </w:rPr>
      </w:pPr>
    </w:p>
    <w:p>
      <w:pPr>
        <w:jc w:val="both"/>
        <w:ind w:firstLine="656"/>
        <w:spacing w:after="0" w:line="283" w:lineRule="auto"/>
        <w:tabs>
          <w:tab w:leader="none" w:pos="1229" w:val="left"/>
        </w:tabs>
        <w:numPr>
          <w:ilvl w:val="0"/>
          <w:numId w:val="60"/>
        </w:numPr>
        <w:rPr>
          <w:rFonts w:ascii="Arial" w:cs="Arial" w:eastAsia="Arial" w:hAnsi="Arial"/>
          <w:sz w:val="21"/>
          <w:szCs w:val="21"/>
          <w:color w:val="auto"/>
        </w:rPr>
      </w:pPr>
      <w:r>
        <w:rPr>
          <w:rFonts w:ascii="Arial" w:cs="Arial" w:eastAsia="Arial" w:hAnsi="Arial"/>
          <w:sz w:val="19"/>
          <w:szCs w:val="19"/>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Agreement is a supplement to and in furtherance of the Certificate of Incorporation of the Company, the By-laws of the Company, any D&amp;O Insurance policy maintained by the Company and applicable law, and shall not be deemed a substitute therefor, nor to diminish or abrogate any rights of Indemnitee thereunder.</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u w:val="single" w:color="auto"/>
          <w:color w:val="auto"/>
        </w:rPr>
        <w:t>Modification and Waiver.</w:t>
      </w:r>
      <w:r>
        <w:rPr>
          <w:rFonts w:ascii="Arial" w:cs="Arial" w:eastAsia="Arial" w:hAnsi="Arial"/>
          <w:sz w:val="20"/>
          <w:szCs w:val="20"/>
          <w:color w:val="auto"/>
        </w:rPr>
        <w:t xml:space="preserve"> No supplement, modification or amendment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Notice by Indemnitee.</w:t>
      </w:r>
      <w:r>
        <w:rPr>
          <w:rFonts w:ascii="Arial" w:cs="Arial" w:eastAsia="Arial" w:hAnsi="Arial"/>
          <w:sz w:val="19"/>
          <w:szCs w:val="19"/>
          <w:color w:val="auto"/>
        </w:rPr>
        <w:t xml:space="preserve"> Indemnitee agrees promptly to notify the Company in writing upon being served with any summons, citation, subpoena, complaint, indictment, information or other document relating to any Proceeding or matter that is or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w:t>
      </w:r>
    </w:p>
    <w:p>
      <w:pPr>
        <w:spacing w:after="0" w:line="1" w:lineRule="exact"/>
        <w:rPr>
          <w:sz w:val="20"/>
          <w:szCs w:val="20"/>
          <w:color w:val="auto"/>
        </w:rPr>
      </w:pPr>
    </w:p>
    <w:p>
      <w:pPr>
        <w:ind w:right="20" w:firstLine="8"/>
        <w:spacing w:after="0" w:line="244" w:lineRule="auto"/>
        <w:tabs>
          <w:tab w:leader="none" w:pos="276" w:val="left"/>
        </w:tabs>
        <w:numPr>
          <w:ilvl w:val="0"/>
          <w:numId w:val="61"/>
        </w:numPr>
        <w:rPr>
          <w:rFonts w:ascii="Arial" w:cs="Arial" w:eastAsia="Arial" w:hAnsi="Arial"/>
          <w:sz w:val="20"/>
          <w:szCs w:val="20"/>
          <w:color w:val="auto"/>
        </w:rPr>
      </w:pPr>
      <w:r>
        <w:rPr>
          <w:rFonts w:ascii="Arial" w:cs="Arial" w:eastAsia="Arial" w:hAnsi="Arial"/>
          <w:sz w:val="20"/>
          <w:szCs w:val="20"/>
          <w:color w:val="auto"/>
        </w:rPr>
        <w:t>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Indemnitee:</w:t>
      </w:r>
    </w:p>
    <w:p>
      <w:pPr>
        <w:spacing w:after="0" w:line="216"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at the address indicated on the signature page of this Agreement, or such other address as Indemnitee shall provide to the Company in writing.</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 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Integra LifeSciences Holdings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311 Enterprise Drive</w:t>
      </w:r>
    </w:p>
    <w:p>
      <w:pPr>
        <w:ind w:left="1300"/>
        <w:spacing w:after="0"/>
        <w:rPr>
          <w:sz w:val="20"/>
          <w:szCs w:val="20"/>
          <w:color w:val="auto"/>
        </w:rPr>
      </w:pPr>
      <w:r>
        <w:rPr>
          <w:rFonts w:ascii="Arial" w:cs="Arial" w:eastAsia="Arial" w:hAnsi="Arial"/>
          <w:sz w:val="20"/>
          <w:szCs w:val="20"/>
          <w:color w:val="auto"/>
        </w:rPr>
        <w:t>Plainsboro, New Jersey 08536</w:t>
      </w:r>
    </w:p>
    <w:p>
      <w:pPr>
        <w:ind w:left="1300"/>
        <w:spacing w:after="0"/>
        <w:rPr>
          <w:sz w:val="20"/>
          <w:szCs w:val="20"/>
          <w:color w:val="auto"/>
        </w:rPr>
      </w:pPr>
      <w:r>
        <w:rPr>
          <w:rFonts w:ascii="Arial" w:cs="Arial" w:eastAsia="Arial" w:hAnsi="Arial"/>
          <w:sz w:val="20"/>
          <w:szCs w:val="20"/>
          <w:color w:val="auto"/>
        </w:rPr>
        <w:t>Attention: General Counsel</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or to any other address as may have been furnished to Indemnitee by the Company in writing.</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Expenses, in connection with any Proceeding or other claim relating to an indemnifiable event under this Agreement, 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93" w:right="239" w:bottom="1440" w:gutter="0" w:footer="0" w:header="0"/>
        </w:sectPr>
      </w:pPr>
    </w:p>
    <w:bookmarkStart w:id="127" w:name="page128"/>
    <w:bookmarkEnd w:id="127"/>
    <w:p>
      <w:pPr>
        <w:jc w:val="both"/>
        <w:spacing w:after="0" w:line="246" w:lineRule="auto"/>
        <w:rPr>
          <w:sz w:val="20"/>
          <w:szCs w:val="20"/>
          <w:color w:val="auto"/>
        </w:rPr>
      </w:pPr>
      <w:r>
        <w:rPr>
          <w:rFonts w:ascii="Arial" w:cs="Arial" w:eastAsia="Arial" w:hAnsi="Arial"/>
          <w:sz w:val="20"/>
          <w:szCs w:val="20"/>
          <w:color w:val="auto"/>
        </w:rPr>
        <w:t>such proportion as is deemed fair and reasonable in light of all of the circumstances of such Proceeding or other claim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Applicable Law and Consent to Jurisdiction.</w:t>
      </w:r>
      <w:r>
        <w:rPr>
          <w:rFonts w:ascii="Arial" w:cs="Arial" w:eastAsia="Arial" w:hAnsi="Arial"/>
          <w:sz w:val="18"/>
          <w:szCs w:val="18"/>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of this Agreement, the Company and Indemnitee hereby irrevocably and unconditionally (a) agree that any action or proceeding arising out of or in connection with this Agreement shall be brought only in the Chancery Court of the State of Delaware (the “</w:t>
      </w:r>
      <w:r>
        <w:rPr>
          <w:rFonts w:ascii="Arial" w:cs="Arial" w:eastAsia="Arial" w:hAnsi="Arial"/>
          <w:sz w:val="18"/>
          <w:szCs w:val="18"/>
          <w:u w:val="single" w:color="auto"/>
          <w:color w:val="auto"/>
        </w:rPr>
        <w:t>Delaware Court</w:t>
      </w:r>
      <w:r>
        <w:rPr>
          <w:rFonts w:ascii="Arial" w:cs="Arial" w:eastAsia="Arial" w:hAnsi="Arial"/>
          <w:sz w:val="18"/>
          <w:szCs w:val="18"/>
          <w:color w:val="auto"/>
        </w:rPr>
        <w: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appoint, to the extent such party is not otherwise subject to service of process in the State of Delaware, Corporation Service Company irrevocably as its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w:t>
      </w:r>
    </w:p>
    <w:p>
      <w:pPr>
        <w:spacing w:after="0" w:line="17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Construction</w:t>
      </w:r>
    </w:p>
    <w:p>
      <w:pPr>
        <w:spacing w:after="0" w:line="243" w:lineRule="exact"/>
        <w:rPr>
          <w:sz w:val="20"/>
          <w:szCs w:val="20"/>
          <w:color w:val="auto"/>
        </w:rPr>
      </w:pPr>
    </w:p>
    <w:p>
      <w:pPr>
        <w:ind w:firstLine="656"/>
        <w:spacing w:after="0" w:line="368" w:lineRule="auto"/>
        <w:tabs>
          <w:tab w:leader="none" w:pos="1082" w:val="left"/>
        </w:tabs>
        <w:numPr>
          <w:ilvl w:val="0"/>
          <w:numId w:val="62"/>
        </w:numPr>
        <w:rPr>
          <w:rFonts w:ascii="Arial" w:cs="Arial" w:eastAsia="Arial" w:hAnsi="Arial"/>
          <w:sz w:val="18"/>
          <w:szCs w:val="18"/>
          <w:color w:val="auto"/>
        </w:rPr>
      </w:pPr>
      <w:r>
        <w:rPr>
          <w:rFonts w:ascii="Arial" w:cs="Arial" w:eastAsia="Arial" w:hAnsi="Arial"/>
          <w:sz w:val="17"/>
          <w:szCs w:val="17"/>
          <w:color w:val="auto"/>
        </w:rPr>
        <w:t>The section and subsection headings contained in this Agreement are solely for the purpose of reference and convenience, are not part of the agreement of the parties, and shall not in any way limit, modify or otherwise affect the meaning or interpretation of this Agreement.</w:t>
      </w:r>
    </w:p>
    <w:p>
      <w:pPr>
        <w:spacing w:after="0" w:line="12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8"/>
          <w:szCs w:val="18"/>
          <w:color w:val="auto"/>
        </w:rPr>
        <w:t>References to “Sections” or “Articles” refer to corresponding Sections or Articles of this Agreement unless otherwise specified.</w:t>
      </w:r>
    </w:p>
    <w:p>
      <w:pPr>
        <w:spacing w:after="0" w:line="267" w:lineRule="exact"/>
        <w:rPr>
          <w:rFonts w:ascii="Arial" w:cs="Arial" w:eastAsia="Arial" w:hAnsi="Arial"/>
          <w:sz w:val="19"/>
          <w:szCs w:val="19"/>
          <w:color w:val="auto"/>
        </w:rPr>
      </w:pPr>
    </w:p>
    <w:p>
      <w:pPr>
        <w:jc w:val="both"/>
        <w:ind w:firstLine="656"/>
        <w:spacing w:after="0" w:line="266" w:lineRule="auto"/>
        <w:tabs>
          <w:tab w:leader="none" w:pos="1082" w:val="left"/>
        </w:tabs>
        <w:numPr>
          <w:ilvl w:val="0"/>
          <w:numId w:val="62"/>
        </w:numPr>
        <w:rPr>
          <w:rFonts w:ascii="Arial" w:cs="Arial" w:eastAsia="Arial" w:hAnsi="Arial"/>
          <w:sz w:val="22"/>
          <w:szCs w:val="22"/>
          <w:color w:val="auto"/>
        </w:rPr>
      </w:pPr>
      <w:r>
        <w:rPr>
          <w:rFonts w:ascii="Arial" w:cs="Arial" w:eastAsia="Arial" w:hAnsi="Arial"/>
          <w:sz w:val="20"/>
          <w:szCs w:val="20"/>
          <w:color w:val="auto"/>
        </w:rPr>
        <w:t>Unless the context requires otherwise, the words “include,” “including” and variations thereof mean without limitation, the words “hereof,” “hereby,” “herein,” “hereunder” and similar terms refer to this Agreement as a whole and not any particular section or article in which such words appear, and any reference to a law shall include any amendment thereof or any successor thereto and any rules and regulations promulgated thereunder.</w:t>
      </w:r>
    </w:p>
    <w:p>
      <w:pPr>
        <w:spacing w:after="0" w:line="210" w:lineRule="exact"/>
        <w:rPr>
          <w:rFonts w:ascii="Arial" w:cs="Arial" w:eastAsia="Arial" w:hAnsi="Arial"/>
          <w:sz w:val="22"/>
          <w:szCs w:val="22"/>
          <w:color w:val="auto"/>
        </w:rPr>
      </w:pPr>
    </w:p>
    <w:p>
      <w:pPr>
        <w:ind w:firstLine="656"/>
        <w:spacing w:after="0" w:line="265" w:lineRule="auto"/>
        <w:tabs>
          <w:tab w:leader="none" w:pos="1080" w:val="left"/>
        </w:tabs>
        <w:numPr>
          <w:ilvl w:val="0"/>
          <w:numId w:val="62"/>
        </w:numPr>
        <w:rPr>
          <w:rFonts w:ascii="Arial" w:cs="Arial" w:eastAsia="Arial" w:hAnsi="Arial"/>
          <w:sz w:val="22"/>
          <w:szCs w:val="22"/>
          <w:color w:val="auto"/>
        </w:rPr>
      </w:pPr>
      <w:r>
        <w:rPr>
          <w:rFonts w:ascii="Arial" w:cs="Arial" w:eastAsia="Arial" w:hAnsi="Arial"/>
          <w:sz w:val="20"/>
          <w:szCs w:val="20"/>
          <w:color w:val="auto"/>
        </w:rPr>
        <w:t>Unless the context requires otherwise, words in the singular include the plural, words in the plural include the singular, and words importing any gender shall be applicable to all genders.</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xml:space="preserve"> This Agreement may be executed in two or more counterparts, each of which shall for all purposes be deemed to be an original but all of which, taken together, shall constitute one and the same Agreement. Only one such counterpart signed by the party against whom enforceability is sought needs to be produced to evidence the existence of this Agreement. This Agreement may be executed and delivered by facsimile or email transmission of a file in “</w:t>
      </w:r>
      <w:r>
        <w:rPr>
          <w:rFonts w:ascii="Arial" w:cs="Arial" w:eastAsia="Arial" w:hAnsi="Arial"/>
          <w:sz w:val="18"/>
          <w:szCs w:val="18"/>
          <w:i w:val="1"/>
          <w:iCs w:val="1"/>
          <w:color w:val="auto"/>
        </w:rPr>
        <w:t>.pdf</w:t>
      </w:r>
      <w:r>
        <w:rPr>
          <w:rFonts w:ascii="Arial" w:cs="Arial" w:eastAsia="Arial" w:hAnsi="Arial"/>
          <w:sz w:val="18"/>
          <w:szCs w:val="18"/>
          <w:color w:val="auto"/>
        </w:rPr>
        <w:t>” or similar format and upon such delivery, each signature shall be deemed to have the same effect as if the original signature had been delivered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366" w:right="239" w:bottom="1440" w:gutter="0" w:footer="0" w:header="0"/>
        </w:sectPr>
      </w:pPr>
    </w:p>
    <w:bookmarkStart w:id="128" w:name="page129"/>
    <w:bookmarkEnd w:id="128"/>
    <w:p>
      <w:pPr>
        <w:ind w:left="3360"/>
        <w:spacing w:after="0"/>
        <w:tabs>
          <w:tab w:leader="none" w:pos="442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ectPr>
          <w:pgSz w:w="11900" w:h="16838" w:orient="portrait"/>
          <w:cols w:equalWidth="0" w:num="1">
            <w:col w:w="9019"/>
          </w:cols>
          <w:pgMar w:left="1440" w:top="3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366" w:right="144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color w:val="auto"/>
        </w:rPr>
        <w:t>IN WITNESS WHEREOF, the parties have caused this Agreement to be signed as of the day and year first above written.</w:t>
      </w:r>
    </w:p>
    <w:p>
      <w:pPr>
        <w:sectPr>
          <w:pgSz w:w="11900" w:h="16838" w:orient="portrait"/>
          <w:cols w:equalWidth="0" w:num="1">
            <w:col w:w="9640"/>
          </w:cols>
          <w:pgMar w:left="900" w:top="1068" w:right="13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right"/>
        <w:ind w:right="1320"/>
        <w:spacing w:after="0"/>
        <w:rPr>
          <w:sz w:val="20"/>
          <w:szCs w:val="20"/>
          <w:color w:val="auto"/>
        </w:rPr>
      </w:pPr>
      <w:r>
        <w:rPr>
          <w:rFonts w:ascii="Arial" w:cs="Arial" w:eastAsia="Arial" w:hAnsi="Arial"/>
          <w:sz w:val="20"/>
          <w:szCs w:val="20"/>
          <w:b w:val="1"/>
          <w:bCs w:val="1"/>
          <w:color w:val="auto"/>
        </w:rPr>
        <w:t>INTEGRA LIFESCIENCES HOLDINGS CORPORATION</w:t>
      </w:r>
    </w:p>
    <w:p>
      <w:pPr>
        <w:spacing w:after="0" w:line="200" w:lineRule="exact"/>
        <w:rPr>
          <w:sz w:val="20"/>
          <w:szCs w:val="20"/>
          <w:color w:val="auto"/>
        </w:rPr>
      </w:pPr>
    </w:p>
    <w:p>
      <w:pPr>
        <w:spacing w:after="0" w:line="26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Peter J. Arduini</w:t>
      </w:r>
    </w:p>
    <w:p>
      <w:pPr>
        <w:ind w:left="388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________________________ (INDEMNITEE)</w:t>
      </w: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___________________________________________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Printed Name:</w:t>
      </w:r>
    </w:p>
    <w:p>
      <w:pPr>
        <w:ind w:left="3240"/>
        <w:spacing w:after="0"/>
        <w:rPr>
          <w:sz w:val="20"/>
          <w:szCs w:val="20"/>
          <w:color w:val="auto"/>
        </w:rPr>
      </w:pPr>
      <w:r>
        <w:rPr>
          <w:rFonts w:ascii="Arial" w:cs="Arial" w:eastAsia="Arial" w:hAnsi="Arial"/>
          <w:sz w:val="20"/>
          <w:szCs w:val="20"/>
          <w:color w:val="auto"/>
        </w:rPr>
        <w:t>Address: c/o Integra LifeSciences Holdings Corporation</w:t>
      </w:r>
    </w:p>
    <w:p>
      <w:pPr>
        <w:ind w:left="3240"/>
        <w:spacing w:after="0"/>
        <w:rPr>
          <w:sz w:val="20"/>
          <w:szCs w:val="20"/>
          <w:color w:val="auto"/>
        </w:rPr>
      </w:pPr>
      <w:r>
        <w:rPr>
          <w:rFonts w:ascii="Arial" w:cs="Arial" w:eastAsia="Arial" w:hAnsi="Arial"/>
          <w:sz w:val="20"/>
          <w:szCs w:val="20"/>
          <w:color w:val="auto"/>
        </w:rPr>
        <w:t>311 Enterprise Drive</w:t>
      </w:r>
    </w:p>
    <w:p>
      <w:pPr>
        <w:ind w:left="1940"/>
        <w:spacing w:after="0"/>
        <w:rPr>
          <w:sz w:val="20"/>
          <w:szCs w:val="20"/>
          <w:color w:val="auto"/>
        </w:rPr>
      </w:pPr>
      <w:r>
        <w:rPr>
          <w:rFonts w:ascii="Arial" w:cs="Arial" w:eastAsia="Arial" w:hAnsi="Arial"/>
          <w:sz w:val="20"/>
          <w:szCs w:val="20"/>
          <w:color w:val="auto"/>
        </w:rPr>
        <w:t>Plainsboro, NJ 08536</w:t>
      </w:r>
    </w:p>
    <w:p>
      <w:pPr>
        <w:sectPr>
          <w:pgSz w:w="11900" w:h="16838" w:orient="portrait"/>
          <w:cols w:equalWidth="0" w:num="1">
            <w:col w:w="9640"/>
          </w:cols>
          <w:pgMar w:left="900" w:top="1068" w:right="135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10.43(b)</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 AND GENERAL RELEASE</w:t>
      </w:r>
    </w:p>
    <w:p>
      <w:pPr>
        <w:spacing w:after="0" w:line="243" w:lineRule="exact"/>
        <w:rPr>
          <w:sz w:val="20"/>
          <w:szCs w:val="20"/>
          <w:color w:val="auto"/>
        </w:rPr>
      </w:pPr>
    </w:p>
    <w:p>
      <w:pPr>
        <w:ind w:firstLine="648"/>
        <w:spacing w:after="0" w:line="493" w:lineRule="auto"/>
        <w:rPr>
          <w:sz w:val="20"/>
          <w:szCs w:val="20"/>
          <w:color w:val="auto"/>
        </w:rPr>
      </w:pPr>
      <w:r>
        <w:rPr>
          <w:rFonts w:ascii="Arial" w:cs="Arial" w:eastAsia="Arial" w:hAnsi="Arial"/>
          <w:sz w:val="20"/>
          <w:szCs w:val="20"/>
          <w:color w:val="auto"/>
        </w:rPr>
        <w:t>This Agreement and General Release (this “Agreement”) is made and entered into by and between Richard Gorelick (“</w:t>
      </w:r>
      <w:r>
        <w:rPr>
          <w:rFonts w:ascii="Arial" w:cs="Arial" w:eastAsia="Arial" w:hAnsi="Arial"/>
          <w:sz w:val="20"/>
          <w:szCs w:val="20"/>
          <w:b w:val="1"/>
          <w:bCs w:val="1"/>
          <w:color w:val="auto"/>
        </w:rPr>
        <w:t>Employee</w:t>
      </w:r>
      <w:r>
        <w:rPr>
          <w:rFonts w:ascii="Arial" w:cs="Arial" w:eastAsia="Arial" w:hAnsi="Arial"/>
          <w:sz w:val="20"/>
          <w:szCs w:val="20"/>
          <w:color w:val="auto"/>
        </w:rPr>
        <w:t>”) and Integra LifeSciences Corporation (“</w:t>
      </w:r>
      <w:r>
        <w:rPr>
          <w:rFonts w:ascii="Arial" w:cs="Arial" w:eastAsia="Arial" w:hAnsi="Arial"/>
          <w:sz w:val="20"/>
          <w:szCs w:val="20"/>
          <w:b w:val="1"/>
          <w:bCs w:val="1"/>
          <w:color w:val="auto"/>
        </w:rPr>
        <w:t>the Company</w:t>
      </w: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WHEREAS, the Company has decided to terminate Employee’s employment effective as of January 2, 2019 (“the </w:t>
      </w:r>
      <w:r>
        <w:rPr>
          <w:rFonts w:ascii="Arial" w:cs="Arial" w:eastAsia="Arial" w:hAnsi="Arial"/>
          <w:sz w:val="19"/>
          <w:szCs w:val="19"/>
          <w:b w:val="1"/>
          <w:bCs w:val="1"/>
          <w:color w:val="auto"/>
        </w:rPr>
        <w:t>Termination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w:t>
      </w:r>
      <w:r>
        <w:rPr>
          <w:rFonts w:ascii="Arial" w:cs="Arial" w:eastAsia="Arial" w:hAnsi="Arial"/>
          <w:sz w:val="20"/>
          <w:szCs w:val="20"/>
          <w:color w:val="auto"/>
        </w:rPr>
        <w:t>”).</w:t>
      </w:r>
    </w:p>
    <w:p>
      <w:pPr>
        <w:spacing w:after="0" w:line="249" w:lineRule="exact"/>
        <w:rPr>
          <w:sz w:val="20"/>
          <w:szCs w:val="20"/>
          <w:color w:val="auto"/>
        </w:rPr>
      </w:pPr>
    </w:p>
    <w:p>
      <w:pPr>
        <w:ind w:right="20" w:firstLine="648"/>
        <w:spacing w:after="0" w:line="493" w:lineRule="auto"/>
        <w:rPr>
          <w:sz w:val="20"/>
          <w:szCs w:val="20"/>
          <w:color w:val="auto"/>
        </w:rPr>
      </w:pPr>
      <w:r>
        <w:rPr>
          <w:rFonts w:ascii="Arial" w:cs="Arial" w:eastAsia="Arial" w:hAnsi="Arial"/>
          <w:sz w:val="20"/>
          <w:szCs w:val="20"/>
          <w:color w:val="auto"/>
        </w:rPr>
        <w:t>WHEREAS, Employee and the Company wish to enter into this Agreement which settles fully and finally any and all differences and matters between them.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IS HEREBY AGREED by and between Employee and the Company as follows:</w:t>
      </w:r>
    </w:p>
    <w:p>
      <w:pPr>
        <w:spacing w:after="0" w:line="270" w:lineRule="exact"/>
        <w:rPr>
          <w:sz w:val="20"/>
          <w:szCs w:val="20"/>
          <w:color w:val="auto"/>
        </w:rPr>
      </w:pPr>
    </w:p>
    <w:p>
      <w:pPr>
        <w:jc w:val="both"/>
        <w:ind w:firstLine="656"/>
        <w:spacing w:after="0" w:line="566" w:lineRule="auto"/>
        <w:tabs>
          <w:tab w:leader="none" w:pos="14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Employee, for and in consideration of the Company’s undertakings set forth herein, and intending to be legally bound, does hereby REMISE, RELEASE, AND FOREVER DISCHARGE the Company and its parent, subsidiary and affiliated entities, its and their respective officers, directors, employees and agents, and its and their predecessors, successors and assigns, heirs, executors and administrators (together, the “</w:t>
      </w:r>
      <w:r>
        <w:rPr>
          <w:rFonts w:ascii="Arial" w:cs="Arial" w:eastAsia="Arial" w:hAnsi="Arial"/>
          <w:sz w:val="19"/>
          <w:szCs w:val="19"/>
          <w:b w:val="1"/>
          <w:bCs w:val="1"/>
          <w:color w:val="auto"/>
        </w:rPr>
        <w:t>releasees</w:t>
      </w:r>
      <w:r>
        <w:rPr>
          <w:rFonts w:ascii="Arial" w:cs="Arial" w:eastAsia="Arial" w:hAnsi="Arial"/>
          <w:sz w:val="19"/>
          <w:szCs w:val="19"/>
          <w:color w:val="auto"/>
        </w:rPr>
        <w:t>”), of and from any and all manner of legally waivable actions and causes of action, suits, debts, claims and demands whatsoever, in law or in equity, which Employee ever had, now has, or hereafter may have, or which Employee’s heirs, executors or administrators hereafter may have, by reason of any matter, cause or thing whatsoever, from the beginning of the world to the effective date of this Agreement, and particularly, but without limitation of the foregoing general terms, any claims arising from or relating in any way to Employee’s employment relationship and the termination of Employee’s employment relationship with the Company, including any claims which Employee may have under federal, state or local laws, rules and regulations, including but not limited to, the New Jersey Law Against Discrimination (NJSA 10:5-1 et seq.); New Jersey Conscientious Employee Protection Act (NJSA 34:19-1 et seq.); the New Jersey Wage and Hour Laws; Title VII of the Civil Rights Act of 1964, 42 U.S.C. §2000e et seq.; the Equal Pay Act of 1963, 29 U.S.C. §206 et seq.; the Americans with Disabilities Act, 42 U.S.C. §12101 et seq.; the Family and Medical Leave Act (“</w:t>
      </w:r>
      <w:r>
        <w:rPr>
          <w:rFonts w:ascii="Arial" w:cs="Arial" w:eastAsia="Arial" w:hAnsi="Arial"/>
          <w:sz w:val="19"/>
          <w:szCs w:val="19"/>
          <w:b w:val="1"/>
          <w:bCs w:val="1"/>
          <w:color w:val="auto"/>
        </w:rPr>
        <w:t>FMLA</w:t>
      </w:r>
      <w:r>
        <w:rPr>
          <w:rFonts w:ascii="Arial" w:cs="Arial" w:eastAsia="Arial" w:hAnsi="Arial"/>
          <w:sz w:val="19"/>
          <w:szCs w:val="19"/>
          <w:color w:val="auto"/>
        </w:rPr>
        <w:t>”); the Age Discrimination in Employment Act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364" w:right="239" w:bottom="1440" w:gutter="0" w:footer="0" w:header="0"/>
        </w:sectPr>
      </w:pPr>
    </w:p>
    <w:bookmarkStart w:id="131" w:name="page132"/>
    <w:bookmarkEnd w:id="131"/>
    <w:p>
      <w:pPr>
        <w:jc w:val="both"/>
        <w:spacing w:after="0" w:line="5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ADEA</w:t>
      </w:r>
      <w:r>
        <w:rPr>
          <w:rFonts w:ascii="Arial" w:cs="Arial" w:eastAsia="Arial" w:hAnsi="Arial"/>
          <w:sz w:val="20"/>
          <w:szCs w:val="20"/>
          <w:color w:val="auto"/>
        </w:rPr>
        <w:t>”), 29 U.S.C. §621 et seq.; the Employee Retirement Income Security Act of 1974, 29 U.S.C. §1001 et seq.; the Worker Adjustment and Retraining Notification Act (“</w:t>
      </w:r>
      <w:r>
        <w:rPr>
          <w:rFonts w:ascii="Arial" w:cs="Arial" w:eastAsia="Arial" w:hAnsi="Arial"/>
          <w:sz w:val="20"/>
          <w:szCs w:val="20"/>
          <w:b w:val="1"/>
          <w:bCs w:val="1"/>
          <w:color w:val="auto"/>
        </w:rPr>
        <w:t>WARN</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and the Uniformed Service Employment and Reemployment Rights Act </w:t>
      </w: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USERRA</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and claims under any other federal, state or local anti-discrimination law, whistle-blowing law, family and/or medical leave law, legally waivable claims for wages, commissions, bonuses or incentive compensation, any state or federal common law contract or tort claims now existing or hereafter recognized, including but not limited to breach of contract, promissory estoppel, equitable estoppel, misrepresentation or wrongful discharge, and all claims for counsel fees and costs.</w:t>
      </w:r>
    </w:p>
    <w:p>
      <w:pPr>
        <w:spacing w:after="0" w:line="3" w:lineRule="exact"/>
        <w:rPr>
          <w:sz w:val="20"/>
          <w:szCs w:val="20"/>
          <w:color w:val="auto"/>
        </w:rPr>
      </w:pPr>
    </w:p>
    <w:p>
      <w:pPr>
        <w:jc w:val="both"/>
        <w:ind w:firstLine="656"/>
        <w:spacing w:after="0" w:line="600" w:lineRule="auto"/>
        <w:tabs>
          <w:tab w:leader="none" w:pos="14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 represents and warrants that there has been no assignment or other transfer of any interest in any claim described in Paragraph 1 above which Employee may have against the releasees, or any of them, and Employee agrees to indemnify and hold the releasees, and each of them, harmless from any liability, claims, demands, damages, costs, expenses, and attorneys’ fees incurred by the releasees, or any of them, as the result of any such assignment or transfer of any rights or claims. It is the intention of the parties that this indemnity does not require payment as a condition precedent to recovery by the releasees against Employee under this indemnity. Employee further represents that Employee has no lawsuits, claims, or actions pending in Employee’s name, or on behalf of Employee or any other person or entity, against any of the releasees. Employee agrees that Employee will not voluntarily provide assistance, information, or advice, directly or indirectly (including through agents or attorneys), to any person or entity in connection with any actual or potential claim or cause of action of any kind against the releasees and that Employee shall not induce or encourage any person or entity to do so, unless compelled or authorized to do so by law. Notwithstanding the foregoing, Employee retains the right to file a charge with the Equal Employment Opportunity Commission and equivalent state and local agencies, and to cooperate with investigations by any such agency.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08" w:right="239" w:bottom="1440" w:gutter="0" w:footer="0" w:header="0"/>
        </w:sectPr>
      </w:pPr>
    </w:p>
    <w:bookmarkStart w:id="132" w:name="page133"/>
    <w:bookmarkEnd w:id="132"/>
    <w:p>
      <w:pPr>
        <w:jc w:val="both"/>
        <w:ind w:firstLine="656"/>
        <w:spacing w:after="0" w:line="535" w:lineRule="auto"/>
        <w:tabs>
          <w:tab w:leader="none" w:pos="1445"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full consideration of Employee’s signing this Agreement, and Employee’s agreement to be bound by its terms, and subject to Employee’s ongoing compliance with the restrictive covenants contained in the Confidentiality Agreement (as defined below and as modified herein), the Company will:</w:t>
      </w:r>
    </w:p>
    <w:p>
      <w:pPr>
        <w:spacing w:after="0" w:line="1" w:lineRule="exact"/>
        <w:rPr>
          <w:rFonts w:ascii="Arial" w:cs="Arial" w:eastAsia="Arial" w:hAnsi="Arial"/>
          <w:sz w:val="20"/>
          <w:szCs w:val="20"/>
          <w:color w:val="auto"/>
        </w:rPr>
      </w:pPr>
    </w:p>
    <w:p>
      <w:pPr>
        <w:ind w:right="20" w:firstLine="980"/>
        <w:spacing w:after="0" w:line="595" w:lineRule="auto"/>
        <w:tabs>
          <w:tab w:leader="none" w:pos="15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pay to Employee the gross sum of one million, nine hundred ninety-five thousand dollars ($ 1,995,000.00), less all payroll withholding taxes and other deductions required by law, in a lump sum payment made within thirty (30) days following the Termination Date;</w:t>
      </w:r>
    </w:p>
    <w:p>
      <w:pPr>
        <w:ind w:firstLine="980"/>
        <w:spacing w:after="0" w:line="563" w:lineRule="auto"/>
        <w:tabs>
          <w:tab w:leader="none" w:pos="1527" w:val="left"/>
        </w:tabs>
        <w:numPr>
          <w:ilvl w:val="1"/>
          <w:numId w:val="65"/>
        </w:numPr>
        <w:rPr>
          <w:rFonts w:ascii="Arial" w:cs="Arial" w:eastAsia="Arial" w:hAnsi="Arial"/>
          <w:sz w:val="19"/>
          <w:szCs w:val="19"/>
          <w:color w:val="auto"/>
        </w:rPr>
      </w:pPr>
      <w:r>
        <w:rPr>
          <w:rFonts w:ascii="Arial" w:cs="Arial" w:eastAsia="Arial" w:hAnsi="Arial"/>
          <w:sz w:val="19"/>
          <w:szCs w:val="19"/>
          <w:color w:val="auto"/>
        </w:rPr>
        <w:t>provide Employee with outplacement services through a third-party service provider selected by the Company, for a period of six months from the Termination Date, payment for which shall be paid by Company directly to the service provider.</w:t>
      </w:r>
    </w:p>
    <w:p>
      <w:pPr>
        <w:spacing w:after="0" w:line="1" w:lineRule="exact"/>
        <w:rPr>
          <w:rFonts w:ascii="Arial" w:cs="Arial" w:eastAsia="Arial" w:hAnsi="Arial"/>
          <w:sz w:val="19"/>
          <w:szCs w:val="19"/>
          <w:color w:val="auto"/>
        </w:rPr>
      </w:pPr>
    </w:p>
    <w:p>
      <w:pPr>
        <w:jc w:val="both"/>
        <w:ind w:firstLine="656"/>
        <w:spacing w:after="0" w:line="566" w:lineRule="auto"/>
        <w:tabs>
          <w:tab w:leader="none" w:pos="1445" w:val="left"/>
        </w:tabs>
        <w:numPr>
          <w:ilvl w:val="0"/>
          <w:numId w:val="65"/>
        </w:numPr>
        <w:rPr>
          <w:rFonts w:ascii="Arial" w:cs="Arial" w:eastAsia="Arial" w:hAnsi="Arial"/>
          <w:sz w:val="19"/>
          <w:szCs w:val="19"/>
          <w:color w:val="auto"/>
        </w:rPr>
      </w:pPr>
      <w:r>
        <w:rPr>
          <w:rFonts w:ascii="Arial" w:cs="Arial" w:eastAsia="Arial" w:hAnsi="Arial"/>
          <w:sz w:val="19"/>
          <w:szCs w:val="19"/>
          <w:color w:val="auto"/>
        </w:rPr>
        <w:t>It is expressly agreed and understood that neither the Company nor its affiliated entities has, or will have, any obligation to provide Employee at any time in the future with any payments, benefits or considerations other than those recited in Paragraph 3 above, except for any claims for vested benefits under the terms of any of the Company’s employee benefit plans. Employee acknowledges and agrees that the Company has paid to Employee all wages, bonuses, incentive compensation, and any other compensation to which Employee was entitled through the Termination Date. In addition, notwithstanding anything to the contrary contained herein, this Agreement shall not operate to release any rights or claims of Employee (i) to payments or benefits under Paragraph 3 above, (ii) to payments or benefits under any equity award agreement between the Company and Employee, (iii) to accrued or vested benefits that Employee may have, if any, as of the effective date of this Agreement under any applicable plan, policy, practice, program, contract or agreement with the Company, (iv) for indemnification by the Company pursuant to the Indemnification Agreement for Non-Employee Directors and Officers between the Company and Employee, dated as of December 18, 2008, or pursuant to the terms of the Company’s and its parent and affiliate corporations’ charters, by-laws or governing documents or the Company’s directors’ and officers’ liability insurance policies, or (v) which cannot be waived by an employee under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14" w:right="239" w:bottom="1440" w:gutter="0" w:footer="0" w:header="0"/>
        </w:sectPr>
      </w:pPr>
    </w:p>
    <w:bookmarkStart w:id="133" w:name="page134"/>
    <w:bookmarkEnd w:id="133"/>
    <w:p>
      <w:pPr>
        <w:jc w:val="both"/>
        <w:ind w:firstLine="656"/>
        <w:spacing w:after="0" w:line="535" w:lineRule="auto"/>
        <w:tabs>
          <w:tab w:leader="none" w:pos="1445" w:val="left"/>
        </w:tabs>
        <w:numPr>
          <w:ilvl w:val="0"/>
          <w:numId w:val="66"/>
        </w:numPr>
        <w:rPr>
          <w:rFonts w:ascii="Arial" w:cs="Arial" w:eastAsia="Arial" w:hAnsi="Arial"/>
          <w:sz w:val="20"/>
          <w:szCs w:val="20"/>
          <w:color w:val="auto"/>
        </w:rPr>
      </w:pPr>
      <w:r>
        <w:rPr>
          <w:rFonts w:ascii="Arial" w:cs="Arial" w:eastAsia="Arial" w:hAnsi="Arial"/>
          <w:sz w:val="20"/>
          <w:szCs w:val="20"/>
          <w:color w:val="auto"/>
        </w:rPr>
        <w:t>Employee agrees and acknowledges that the agreement by the Company described herein is not and shall not be construed to be an admission of any violation of any federal, state or local law, rule or regulation, or of any legal obligation or duty owed by the Company to Employee and that this Agreement is made voluntarily to provide an amicable conclusion of Employee’s employment relationship with the Company.</w:t>
      </w:r>
    </w:p>
    <w:p>
      <w:pPr>
        <w:spacing w:after="0" w:line="2" w:lineRule="exact"/>
        <w:rPr>
          <w:rFonts w:ascii="Arial" w:cs="Arial" w:eastAsia="Arial" w:hAnsi="Arial"/>
          <w:sz w:val="20"/>
          <w:szCs w:val="20"/>
          <w:color w:val="auto"/>
        </w:rPr>
      </w:pPr>
    </w:p>
    <w:p>
      <w:pPr>
        <w:jc w:val="both"/>
        <w:ind w:firstLine="656"/>
        <w:spacing w:after="0" w:line="535" w:lineRule="auto"/>
        <w:tabs>
          <w:tab w:leader="none" w:pos="1445" w:val="left"/>
        </w:tabs>
        <w:numPr>
          <w:ilvl w:val="0"/>
          <w:numId w:val="66"/>
        </w:numPr>
        <w:rPr>
          <w:rFonts w:ascii="Arial" w:cs="Arial" w:eastAsia="Arial" w:hAnsi="Arial"/>
          <w:sz w:val="20"/>
          <w:szCs w:val="20"/>
          <w:color w:val="auto"/>
        </w:rPr>
      </w:pPr>
      <w:r>
        <w:rPr>
          <w:rFonts w:ascii="Arial" w:cs="Arial" w:eastAsia="Arial" w:hAnsi="Arial"/>
          <w:sz w:val="20"/>
          <w:szCs w:val="20"/>
          <w:color w:val="auto"/>
        </w:rPr>
        <w:t>Employee hereby agrees and acknowledges that Employee’s employment relationship with the Company has been permanently and irrevocably severed as of the Termination Date and that the Company does not have any obligation, contractual or otherwise, to hire, rehire or re-employ Employee in the future.</w:t>
      </w:r>
    </w:p>
    <w:p>
      <w:pPr>
        <w:spacing w:after="0" w:line="1" w:lineRule="exact"/>
        <w:rPr>
          <w:rFonts w:ascii="Arial" w:cs="Arial" w:eastAsia="Arial" w:hAnsi="Arial"/>
          <w:sz w:val="20"/>
          <w:szCs w:val="20"/>
          <w:color w:val="auto"/>
        </w:rPr>
      </w:pPr>
    </w:p>
    <w:p>
      <w:pPr>
        <w:jc w:val="both"/>
        <w:ind w:firstLine="656"/>
        <w:spacing w:after="0" w:line="595" w:lineRule="auto"/>
        <w:tabs>
          <w:tab w:leader="none" w:pos="14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will cooperate in any reasonable manner and with reasonable prior notice even after leaving employment and will provide assistance to the Company in concluding any matters which may arise in the future which may relate to Employee’s employment with the Company, provided that such cooperation and assistance shall not unreasonably interfere with any subsequent employment obtained by Employee and shall be limited to ten hours. Employee hereby represents that Employee is not aware of any facts that may constitute a material violation of the Company’s Code of Conduct and/or its legal obligations that Employee has not reported to the Company.</w:t>
      </w:r>
    </w:p>
    <w:p>
      <w:pPr>
        <w:jc w:val="both"/>
        <w:ind w:firstLine="656"/>
        <w:spacing w:after="0" w:line="568" w:lineRule="auto"/>
        <w:tabs>
          <w:tab w:leader="none" w:pos="14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Nothing in this Agreement prevents or prohibits Employee from making any disclosure of relevant and necessary information or documents in connection with any charge, action, investigation, or proceeding relating to this Agreement or as required by law or legal process or participating, cooperating, or testifying in any charge, action, investigation, or proceeding with, or providing information to, any self-regulatory organization, governmental agency or legislative body, provided that, to the extent permitted by law, upon receipt of any subpoena, court order or other legal process compelling the disclosure of any such information or documents, Employee gives prompt written notice to the Company so as to permit the Company to protect its interests in confidentiality to the fullest extent possible. To the fullest extent provided by law, however, Employee acknowledges and agrees that Employee is waiving any right to recover monetary damages in connection with any such charge, action, investigation or proceeding. Nothing in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14" w:right="239" w:bottom="1440" w:gutter="0" w:footer="0" w:header="0"/>
        </w:sectPr>
      </w:pPr>
    </w:p>
    <w:bookmarkStart w:id="134" w:name="page135"/>
    <w:bookmarkEnd w:id="134"/>
    <w:p>
      <w:pPr>
        <w:jc w:val="both"/>
        <w:spacing w:after="0" w:line="563" w:lineRule="auto"/>
        <w:rPr>
          <w:sz w:val="20"/>
          <w:szCs w:val="20"/>
          <w:color w:val="auto"/>
        </w:rPr>
      </w:pPr>
      <w:r>
        <w:rPr>
          <w:rFonts w:ascii="Arial" w:cs="Arial" w:eastAsia="Arial" w:hAnsi="Arial"/>
          <w:sz w:val="19"/>
          <w:szCs w:val="19"/>
          <w:color w:val="auto"/>
        </w:rPr>
        <w:t>is intended to or shall prevent Employee from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Employee’s attorney or in a complaint or other document filed in a lawsuit or other proceeding, if such filing is made under seal. Nothing in this Agreement is intended to conflict with 18 U.S.C. § 1833(b) or create liability for disclosures of trade secrets that are expressly allowed by 18 U.S.C. § 1833(b).</w:t>
      </w:r>
    </w:p>
    <w:p>
      <w:pPr>
        <w:spacing w:after="0" w:line="4" w:lineRule="exact"/>
        <w:rPr>
          <w:sz w:val="20"/>
          <w:szCs w:val="20"/>
          <w:color w:val="auto"/>
        </w:rPr>
      </w:pPr>
    </w:p>
    <w:p>
      <w:pPr>
        <w:jc w:val="both"/>
        <w:ind w:firstLine="656"/>
        <w:spacing w:after="0" w:line="535" w:lineRule="auto"/>
        <w:tabs>
          <w:tab w:leader="none" w:pos="1445"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terms of the Confidentiality, Invention Disclosure and Non-Compete Agreement signed by Employee on September 18, 2000 (the “Confidentiality Agreement”), are incorporated herein by reference and remain in full force and effect, except to the extent any non-competition provision contained therein does not comply with Rule 5.6 of the New Jersey Rules of Professional Conduct (in which case, the Company hereby waives such provision to the extent of such non-compliance).</w:t>
      </w:r>
    </w:p>
    <w:p>
      <w:pPr>
        <w:spacing w:after="0" w:line="2" w:lineRule="exact"/>
        <w:rPr>
          <w:rFonts w:ascii="Arial" w:cs="Arial" w:eastAsia="Arial" w:hAnsi="Arial"/>
          <w:sz w:val="20"/>
          <w:szCs w:val="20"/>
          <w:color w:val="auto"/>
        </w:rPr>
      </w:pPr>
    </w:p>
    <w:p>
      <w:pPr>
        <w:jc w:val="both"/>
        <w:ind w:firstLine="656"/>
        <w:spacing w:after="0" w:line="595" w:lineRule="auto"/>
        <w:tabs>
          <w:tab w:leader="none" w:pos="15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 hereby certifies that Employee has read the terms of the Agreement, that the Company hereby advises Employee to consult with an attorney of Employee’s own choice prior to executing this Agreement, that Employee has had an opportunity to do so and that Employee understands this Agreement’s terms and effects. Employee acknowledges, further, that Employee is executing this Agreement of Employee’s own volition, with full understanding of its terms and effects and with the intention of releasing all employment claims recited herein in exchange, among other commitments made by Employee, for the consideration described herein, which Employee acknowledges is adequate and satisfactory. Employee certifies that neither the Company nor any of its agents, representatives, or attorneys has made any representations to Employee concerning the terms or effects of this Agreement other than those contained herein.</w:t>
      </w:r>
    </w:p>
    <w:p>
      <w:pPr>
        <w:ind w:firstLine="656"/>
        <w:spacing w:after="0" w:line="556" w:lineRule="auto"/>
        <w:tabs>
          <w:tab w:leader="none" w:pos="1536" w:val="left"/>
        </w:tabs>
        <w:numPr>
          <w:ilvl w:val="0"/>
          <w:numId w:val="67"/>
        </w:numPr>
        <w:rPr>
          <w:rFonts w:ascii="Arial" w:cs="Arial" w:eastAsia="Arial" w:hAnsi="Arial"/>
          <w:sz w:val="20"/>
          <w:szCs w:val="20"/>
          <w:color w:val="auto"/>
        </w:rPr>
      </w:pPr>
      <w:r>
        <w:rPr>
          <w:rFonts w:ascii="Arial" w:cs="Arial" w:eastAsia="Arial" w:hAnsi="Arial"/>
          <w:sz w:val="20"/>
          <w:szCs w:val="20"/>
          <w:color w:val="auto"/>
        </w:rPr>
        <w:t>Employee acknowledges that Employee has been informed that Employee has the right to consider this Agreement for a period of twenty-one (21) days prior to entering into the Agreement. Employee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14" w:right="239" w:bottom="1440" w:gutter="0" w:footer="0" w:header="0"/>
        </w:sectPr>
      </w:pPr>
    </w:p>
    <w:bookmarkStart w:id="135" w:name="page136"/>
    <w:bookmarkEnd w:id="135"/>
    <w:p>
      <w:pPr>
        <w:jc w:val="both"/>
        <w:spacing w:after="0" w:line="535" w:lineRule="auto"/>
        <w:rPr>
          <w:sz w:val="20"/>
          <w:szCs w:val="20"/>
          <w:color w:val="auto"/>
        </w:rPr>
      </w:pPr>
      <w:r>
        <w:rPr>
          <w:rFonts w:ascii="Arial" w:cs="Arial" w:eastAsia="Arial" w:hAnsi="Arial"/>
          <w:sz w:val="20"/>
          <w:szCs w:val="20"/>
          <w:color w:val="auto"/>
        </w:rPr>
        <w:t>also understands that Employee has the right to revoke this Agreement for a period of seven (7) days following Employee’s execution of the Agreement by giving written notice to the Company, within said seven (7) day period, in care of Lisa Evoli, CVP and Chief Human Resources Officer, or her successor in that capacity, at the following address: Integra LifeSciences Corporation, 311 Enterprise Drive, Plainsboro, New Jersey 08536. This Agreement shall be effective upon expiration of said seven (7) day period. If Employee exercises Employee’s right to revoke this agreement, this Agreement shall be null and void.</w:t>
      </w:r>
    </w:p>
    <w:p>
      <w:pPr>
        <w:spacing w:after="0" w:line="3" w:lineRule="exact"/>
        <w:rPr>
          <w:sz w:val="20"/>
          <w:szCs w:val="20"/>
          <w:color w:val="auto"/>
        </w:rPr>
      </w:pPr>
    </w:p>
    <w:p>
      <w:pPr>
        <w:jc w:val="both"/>
        <w:ind w:firstLine="656"/>
        <w:spacing w:after="0" w:line="595" w:lineRule="auto"/>
        <w:tabs>
          <w:tab w:leader="none" w:pos="15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further agrees, covenants and promises that Employee will not communicate or disclose the terms of this Agreement, as described herein, to any persons with the exception of members of Employee’s immediate family, Employee’s attorney, and Employee’s accountant, all of whom shall be advised of the confidentiality requirements of this Agreement and who must agree to be bound by this provision as a condition of such disclosure. Notwithstanding anything set forth in this Agreement to the contrary, if a court of competent jurisdiction determines that Employee (or anyone to whom Employee makes a disclosure to pursuant to this Paragraph) breaches the terms of this Paragraph, the Company shall be entitled to recover all damages, expenses, costs and fees determined by the court as a result of said breach. The Company, in addition to any other rights it may have at law or in equity, shall have the right to seek enforcement of this Agreement in an action at law or in equity and the Company shall have the right to recover its legal fees, costs and expenses in such action to enforce this Agreement, to the extent permitted by law and to the extent that such recovery does not result in the invalidation of this Agreement.</w:t>
      </w:r>
    </w:p>
    <w:p>
      <w:pPr>
        <w:jc w:val="both"/>
        <w:ind w:firstLine="656"/>
        <w:spacing w:after="0" w:line="535" w:lineRule="auto"/>
        <w:tabs>
          <w:tab w:leader="none" w:pos="1544" w:val="left"/>
        </w:tabs>
        <w:numPr>
          <w:ilvl w:val="0"/>
          <w:numId w:val="68"/>
        </w:numPr>
        <w:rPr>
          <w:rFonts w:ascii="Arial" w:cs="Arial" w:eastAsia="Arial" w:hAnsi="Arial"/>
          <w:sz w:val="20"/>
          <w:szCs w:val="20"/>
          <w:color w:val="auto"/>
        </w:rPr>
      </w:pPr>
      <w:r>
        <w:rPr>
          <w:rFonts w:ascii="Arial" w:cs="Arial" w:eastAsia="Arial" w:hAnsi="Arial"/>
          <w:sz w:val="20"/>
          <w:szCs w:val="20"/>
          <w:color w:val="auto"/>
        </w:rPr>
        <w:t>Subject to the provisions of Paragraph 8 above, (i) Employee shall not engage in any material communications that intentionally disparage the Company and/or its directors, officers, or employees or interfere with its existing or prospective business relationships, and (ii) none of Peter Arduini, Glenn Coleman or Lisa Evoli shall engage in any material communications that intentionally disparage Employee.</w:t>
      </w:r>
    </w:p>
    <w:p>
      <w:pPr>
        <w:spacing w:after="0" w:line="2" w:lineRule="exact"/>
        <w:rPr>
          <w:rFonts w:ascii="Arial" w:cs="Arial" w:eastAsia="Arial" w:hAnsi="Arial"/>
          <w:sz w:val="20"/>
          <w:szCs w:val="20"/>
          <w:color w:val="auto"/>
        </w:rPr>
      </w:pPr>
    </w:p>
    <w:p>
      <w:pPr>
        <w:jc w:val="both"/>
        <w:ind w:firstLine="656"/>
        <w:spacing w:after="0" w:line="546" w:lineRule="auto"/>
        <w:tabs>
          <w:tab w:leader="none" w:pos="1544" w:val="left"/>
        </w:tabs>
        <w:numPr>
          <w:ilvl w:val="0"/>
          <w:numId w:val="68"/>
        </w:numPr>
        <w:rPr>
          <w:rFonts w:ascii="Arial" w:cs="Arial" w:eastAsia="Arial" w:hAnsi="Arial"/>
          <w:sz w:val="20"/>
          <w:szCs w:val="20"/>
          <w:color w:val="auto"/>
        </w:rPr>
      </w:pPr>
      <w:r>
        <w:rPr>
          <w:rFonts w:ascii="Arial" w:cs="Arial" w:eastAsia="Arial" w:hAnsi="Arial"/>
          <w:sz w:val="20"/>
          <w:szCs w:val="20"/>
          <w:color w:val="auto"/>
        </w:rPr>
        <w:t>Employee represents that Employee has returned all material and agreed upon property in Employee’s possession that belongs to the Company including, but not limited to, keys and any other material or equipment belonging to the Company; provided, however, that Employee shall be permitted to keep his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14" w:right="239" w:bottom="1440" w:gutter="0" w:footer="0" w:header="0"/>
        </w:sectPr>
      </w:pPr>
    </w:p>
    <w:bookmarkStart w:id="136" w:name="page137"/>
    <w:bookmarkEnd w:id="136"/>
    <w:p>
      <w:pPr>
        <w:spacing w:after="0" w:line="535" w:lineRule="auto"/>
        <w:rPr>
          <w:sz w:val="20"/>
          <w:szCs w:val="20"/>
          <w:color w:val="auto"/>
        </w:rPr>
      </w:pPr>
      <w:r>
        <w:rPr>
          <w:rFonts w:ascii="Arial" w:cs="Arial" w:eastAsia="Arial" w:hAnsi="Arial"/>
          <w:sz w:val="20"/>
          <w:szCs w:val="20"/>
          <w:color w:val="auto"/>
        </w:rPr>
        <w:t>Company-issued laptop computer and cell phone, subject to the Company’s prior removal of its proprietary information and licensed software from these devices.</w:t>
      </w:r>
    </w:p>
    <w:p>
      <w:pPr>
        <w:spacing w:after="0" w:line="1" w:lineRule="exact"/>
        <w:rPr>
          <w:sz w:val="20"/>
          <w:szCs w:val="20"/>
          <w:color w:val="auto"/>
        </w:rPr>
      </w:pPr>
    </w:p>
    <w:p>
      <w:pPr>
        <w:jc w:val="both"/>
        <w:ind w:firstLine="656"/>
        <w:spacing w:after="0" w:line="535" w:lineRule="auto"/>
        <w:tabs>
          <w:tab w:leader="none" w:pos="15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Agreement shall be governed by, construed and enforced under the laws of the State of New Jersey, where the Company is headquartered and has its principal place of business (without regard to conflict of laws principles) and any dispute pertaining to this Agreement shall be brought only in, and Employee and the Company agree to subject themselves to the personal jurisdiction of, the Superior Court of New Jersey, Mercer County or the United States District Court for the District of New Jersey, Trenton Vicinage (to the extent that subject matter jurisdiction exists). The Company shall be entitled to seek injunctive relief in accordance with applicable law for breaches (including anticipated breaches) of this Agreement.</w:t>
      </w:r>
    </w:p>
    <w:p>
      <w:pPr>
        <w:spacing w:after="0" w:line="3" w:lineRule="exact"/>
        <w:rPr>
          <w:rFonts w:ascii="Arial" w:cs="Arial" w:eastAsia="Arial" w:hAnsi="Arial"/>
          <w:sz w:val="20"/>
          <w:szCs w:val="20"/>
          <w:color w:val="auto"/>
        </w:rPr>
      </w:pPr>
    </w:p>
    <w:p>
      <w:pPr>
        <w:jc w:val="both"/>
        <w:ind w:firstLine="656"/>
        <w:spacing w:after="0" w:line="535" w:lineRule="auto"/>
        <w:tabs>
          <w:tab w:leader="none" w:pos="15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dispute arising out of this Agreement or any dispute between the parties to this Agreement on any subject matter shall be tried without a jury. The parties recognize that with this provision they are expressly and voluntarily waiving their respective rights to a jury trial and do so in order to resolve any future disputes in a more efficient and cost-effective manner.</w:t>
      </w:r>
    </w:p>
    <w:p>
      <w:pPr>
        <w:spacing w:after="0" w:line="1" w:lineRule="exact"/>
        <w:rPr>
          <w:rFonts w:ascii="Arial" w:cs="Arial" w:eastAsia="Arial" w:hAnsi="Arial"/>
          <w:sz w:val="20"/>
          <w:szCs w:val="20"/>
          <w:color w:val="auto"/>
        </w:rPr>
      </w:pPr>
    </w:p>
    <w:p>
      <w:pPr>
        <w:ind w:left="1560" w:hanging="904"/>
        <w:spacing w:after="0"/>
        <w:tabs>
          <w:tab w:leader="none" w:pos="15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Employee and the Company shall each bear their own costs including attorneys’ fees incurred in connection with this</w:t>
      </w:r>
    </w:p>
    <w:p>
      <w:pPr>
        <w:spacing w:after="0" w:line="29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283" w:lineRule="exact"/>
        <w:rPr>
          <w:rFonts w:ascii="Arial" w:cs="Arial" w:eastAsia="Arial" w:hAnsi="Arial"/>
          <w:sz w:val="19"/>
          <w:szCs w:val="19"/>
          <w:color w:val="auto"/>
        </w:rPr>
      </w:pPr>
    </w:p>
    <w:p>
      <w:pPr>
        <w:jc w:val="both"/>
        <w:ind w:firstLine="656"/>
        <w:spacing w:after="0" w:line="605" w:lineRule="auto"/>
        <w:tabs>
          <w:tab w:leader="none" w:pos="15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the exception of the Confidentiality Agreement, as modified above, and the Indemnification Agreement for Non-Employee Directors and Officers between the Company and Employee, dated as of September 18, 2000 and December 18, 2008 respectively, this Agreement supersedes and voids all previous agreements, policies and practices between Employee and Company, whether written or oral, including, but not limited to, any severance offer made prior to the date Employee signs this Agreement other than as set forth in this Agreement. This Agreement sets forth the entire understanding of the parties as to the subject matter contained herein and may be modified solely by a writing executed by the individual then holding the office of CEO of the Company or his designee and Employee.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1420"/>
          </w:cols>
          <w:pgMar w:left="240" w:top="514" w:right="239" w:bottom="1440" w:gutter="0" w:footer="0" w:header="0"/>
        </w:sectPr>
      </w:pPr>
    </w:p>
    <w:bookmarkStart w:id="137" w:name="page138"/>
    <w:bookmarkEnd w:id="137"/>
    <w:p>
      <w:pPr>
        <w:jc w:val="right"/>
        <w:ind w:right="2699"/>
        <w:spacing w:after="0"/>
        <w:rPr>
          <w:sz w:val="20"/>
          <w:szCs w:val="20"/>
          <w:color w:val="auto"/>
        </w:rPr>
      </w:pPr>
      <w:r>
        <w:rPr>
          <w:rFonts w:ascii="Arial" w:cs="Arial" w:eastAsia="Arial" w:hAnsi="Arial"/>
          <w:sz w:val="20"/>
          <w:szCs w:val="20"/>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0219"/>
          </w:cols>
          <w:pgMar w:left="240" w:top="487" w:right="1440"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IN WITNESS WHEREOF, and intending to be legally bound hereby, the parties hereto have executed the foregoing Agreement.</w:t>
      </w:r>
    </w:p>
    <w:p>
      <w:pPr>
        <w:spacing w:after="0" w:line="142" w:lineRule="exact"/>
        <w:rPr>
          <w:sz w:val="20"/>
          <w:szCs w:val="20"/>
          <w:color w:val="auto"/>
        </w:rPr>
      </w:pPr>
    </w:p>
    <w:p>
      <w:pPr>
        <w:spacing w:after="0"/>
        <w:tabs>
          <w:tab w:leader="none" w:pos="2420" w:val="left"/>
        </w:tabs>
        <w:rPr>
          <w:sz w:val="20"/>
          <w:szCs w:val="20"/>
          <w:color w:val="auto"/>
        </w:rPr>
      </w:pPr>
      <w:r>
        <w:rPr>
          <w:rFonts w:ascii="Arial" w:cs="Arial" w:eastAsia="Arial" w:hAnsi="Arial"/>
          <w:sz w:val="21"/>
          <w:szCs w:val="21"/>
          <w:b w:val="1"/>
          <w:bCs w:val="1"/>
          <w:color w:val="auto"/>
        </w:rPr>
        <w:t>EMPLOYEE</w:t>
      </w:r>
      <w:r>
        <w:rPr>
          <w:sz w:val="20"/>
          <w:szCs w:val="20"/>
          <w:color w:val="auto"/>
        </w:rPr>
        <w:tab/>
      </w:r>
      <w:r>
        <w:rPr>
          <w:rFonts w:ascii="Arial" w:cs="Arial" w:eastAsia="Arial" w:hAnsi="Arial"/>
          <w:sz w:val="21"/>
          <w:szCs w:val="21"/>
          <w:b w:val="1"/>
          <w:bCs w:val="1"/>
          <w:color w:val="auto"/>
        </w:rPr>
        <w:t>INTEGRA LIFESCIENCES CORPORATION</w:t>
      </w:r>
    </w:p>
    <w:p>
      <w:pPr>
        <w:spacing w:after="0" w:line="200" w:lineRule="exact"/>
        <w:rPr>
          <w:sz w:val="20"/>
          <w:szCs w:val="20"/>
          <w:color w:val="auto"/>
        </w:rPr>
      </w:pPr>
    </w:p>
    <w:p>
      <w:pPr>
        <w:spacing w:after="0" w:line="294" w:lineRule="exact"/>
        <w:rPr>
          <w:sz w:val="20"/>
          <w:szCs w:val="20"/>
          <w:color w:val="auto"/>
        </w:rPr>
      </w:pPr>
    </w:p>
    <w:p>
      <w:pPr>
        <w:spacing w:after="0"/>
        <w:tabs>
          <w:tab w:leader="none" w:pos="17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1915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66">
                      <a:extLst>
                        <a:ext uri="{28A0092B-C50C-407E-A947-70E740481C1C}"/>
                      </a:extLst>
                    </a:blip>
                    <a:srcRect/>
                    <a:stretch>
                      <a:fillRect/>
                    </a:stretch>
                  </pic:blipFill>
                  <pic:spPr bwMode="auto">
                    <a:xfrm>
                      <a:off x="0" y="0"/>
                      <a:ext cx="191579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tabs>
          <w:tab w:leader="none" w:pos="202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DATE: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-15875</wp:posOffset>
            </wp:positionV>
            <wp:extent cx="5257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67">
                      <a:extLst>
                        <a:ext uri="{28A0092B-C50C-407E-A947-70E740481C1C}"/>
                      </a:extLst>
                    </a:blip>
                    <a:srcRect/>
                    <a:stretch>
                      <a:fillRect/>
                    </a:stretch>
                  </pic:blipFill>
                  <pic:spPr bwMode="auto">
                    <a:xfrm>
                      <a:off x="0" y="0"/>
                      <a:ext cx="525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US-DOCS\103180183.4</w:t>
      </w:r>
    </w:p>
    <w:p>
      <w:pPr>
        <w:sectPr>
          <w:pgSz w:w="11900" w:h="16838" w:orient="portrait"/>
          <w:cols w:equalWidth="0" w:num="1">
            <w:col w:w="10219"/>
          </w:cols>
          <w:pgMar w:left="240" w:top="487"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 of Subsidiary</w:t>
            </w:r>
          </w:p>
        </w:tc>
        <w:tc>
          <w:tcPr>
            <w:tcW w:w="4220" w:type="dxa"/>
            <w:vAlign w:val="bottom"/>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BIMECO, Inc.</w:t>
            </w:r>
          </w:p>
        </w:tc>
        <w:tc>
          <w:tcPr>
            <w:tcW w:w="4220" w:type="dxa"/>
            <w:vAlign w:val="bottom"/>
          </w:tcPr>
          <w:p>
            <w:pPr>
              <w:ind w:left="40"/>
              <w:spacing w:after="0"/>
              <w:rPr>
                <w:sz w:val="20"/>
                <w:szCs w:val="20"/>
                <w:color w:val="auto"/>
              </w:rPr>
            </w:pPr>
            <w:r>
              <w:rPr>
                <w:rFonts w:ascii="Arial" w:cs="Arial" w:eastAsia="Arial" w:hAnsi="Arial"/>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BioD,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BioDlogics,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BioRecovery,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CardioDyne,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Cathtec, Incorporated</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Caveangle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Confluent Surgical,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First Aid Products, Inc.</w:t>
            </w:r>
          </w:p>
        </w:tc>
        <w:tc>
          <w:tcPr>
            <w:tcW w:w="4220" w:type="dxa"/>
            <w:vAlign w:val="bottom"/>
          </w:tcPr>
          <w:p>
            <w:pPr>
              <w:ind w:left="40"/>
              <w:spacing w:after="0"/>
              <w:rPr>
                <w:sz w:val="20"/>
                <w:szCs w:val="20"/>
                <w:color w:val="auto"/>
              </w:rPr>
            </w:pPr>
            <w:r>
              <w:rPr>
                <w:rFonts w:ascii="Arial" w:cs="Arial" w:eastAsia="Arial" w:hAnsi="Arial"/>
                <w:sz w:val="18"/>
                <w:szCs w:val="18"/>
                <w:color w:val="auto"/>
              </w:rPr>
              <w:t>Pennsylvania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Canada, Inc.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Europe, Ltd.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EndoSolutions,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Fiber Imaging Technologies,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Services Switzerland Ltd.</w:t>
            </w:r>
          </w:p>
        </w:tc>
        <w:tc>
          <w:tcPr>
            <w:tcW w:w="422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INS Sweden AB</w:t>
            </w:r>
          </w:p>
        </w:tc>
        <w:tc>
          <w:tcPr>
            <w:tcW w:w="422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CI, Inc.</w:t>
            </w:r>
          </w:p>
        </w:tc>
        <w:tc>
          <w:tcPr>
            <w:tcW w:w="4220" w:type="dxa"/>
            <w:vAlign w:val="bottom"/>
          </w:tcPr>
          <w:p>
            <w:pPr>
              <w:ind w:left="40"/>
              <w:spacing w:after="0"/>
              <w:rPr>
                <w:sz w:val="20"/>
                <w:szCs w:val="20"/>
                <w:color w:val="auto"/>
              </w:rPr>
            </w:pPr>
            <w:r>
              <w:rPr>
                <w:rFonts w:ascii="Arial" w:cs="Arial" w:eastAsia="Arial" w:hAnsi="Arial"/>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Euro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France Holdings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German Holdings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Japan K.K.</w:t>
            </w:r>
          </w:p>
        </w:tc>
        <w:tc>
          <w:tcPr>
            <w:tcW w:w="422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Austria GmbH</w:t>
            </w:r>
          </w:p>
        </w:tc>
        <w:tc>
          <w:tcPr>
            <w:tcW w:w="422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Brazil Ltda.</w:t>
            </w:r>
          </w:p>
        </w:tc>
        <w:tc>
          <w:tcPr>
            <w:tcW w:w="422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(Canada)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Italy S.r.l.</w:t>
            </w:r>
          </w:p>
        </w:tc>
        <w:tc>
          <w:tcPr>
            <w:tcW w:w="422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Middle East FZ-LLC</w:t>
            </w:r>
          </w:p>
        </w:tc>
        <w:tc>
          <w:tcPr>
            <w:tcW w:w="4220" w:type="dxa"/>
            <w:vAlign w:val="bottom"/>
          </w:tcPr>
          <w:p>
            <w:pPr>
              <w:ind w:left="40"/>
              <w:spacing w:after="0"/>
              <w:rPr>
                <w:sz w:val="20"/>
                <w:szCs w:val="20"/>
                <w:color w:val="auto"/>
              </w:rPr>
            </w:pPr>
            <w:r>
              <w:rPr>
                <w:rFonts w:ascii="Arial" w:cs="Arial" w:eastAsia="Arial" w:hAnsi="Arial"/>
                <w:sz w:val="18"/>
                <w:szCs w:val="18"/>
                <w:color w:val="auto"/>
              </w:rPr>
              <w:t>Dubai</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NR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Production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Services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1420"/>
          </w:cols>
          <w:pgMar w:left="240" w:top="58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Integra LifeSciences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Integra LifeSciences Shared Services (Ireland)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Spain,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Switzerland Sárl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LS (Benelux)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LS Mexico, S. DE R. 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Luxtec,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ME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MicroFrance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Holdings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Implants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Pty Ltd. (AUS)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Pty Ltd. (NZ)</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Receivables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Integrated Shoulder Collaboration,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MedEfficiency,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Nantong Derma Medical Products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TGX Medical Systems,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680" w:space="720"/>
            <w:col w:w="3779"/>
          </w:cols>
          <w:pgMar w:left="280" w:top="746" w:right="1440" w:bottom="1440" w:gutter="0" w:footer="0" w:header="0"/>
        </w:sectPr>
      </w:pPr>
    </w:p>
    <w:bookmarkStart w:id="141" w:name="page142"/>
    <w:bookmarkEnd w:id="141"/>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333-221210, 333-216212, 333-170210, 333-155263, 333-127488, 333-109042, 333-73512, 333-46024, 333-82233, 333-58235, and 333-06577) and Form S-3 (No. 333-214430) of Integra LifeSciences Holdings Corporation of our report dated February 26, 2019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360"/>
          </w:cols>
          <w:pgMar w:left="240" w:top="688" w:right="2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February 26,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6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February 26,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7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7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7"/>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lowerRoman"/>
      <w:start w:val="1"/>
    </w:lvl>
  </w:abstractNum>
  <w:abstractNum w:abstractNumId="21">
    <w:nsid w:val="38437FDB"/>
    <w:multiLevelType w:val="hybridMultilevel"/>
    <w:lvl w:ilvl="0">
      <w:lvlJc w:val="left"/>
      <w:lvlText w:val="%1."/>
      <w:numFmt w:val="lowerRoman"/>
      <w:start w:val="1"/>
    </w:lvl>
    <w:lvl w:ilvl="1">
      <w:lvlJc w:val="left"/>
      <w:lvlText w:val="%2."/>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1"/>
      <w:numFmt w:val="decimal"/>
      <w:start w:val="21"/>
    </w:lvl>
  </w:abstractNum>
  <w:abstractNum w:abstractNumId="25">
    <w:nsid w:val="579478FE"/>
    <w:multiLevelType w:val="hybridMultilevel"/>
    <w:lvl w:ilvl="0">
      <w:lvlJc w:val="left"/>
      <w:lvlText w:val="%1"/>
      <w:numFmt w:val="decimal"/>
      <w:start w:val="23"/>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3"/>
    </w:lvl>
  </w:abstractNum>
  <w:abstractNum w:abstractNumId="29">
    <w:nsid w:val="79A1DEAA"/>
    <w:multiLevelType w:val="hybridMultilevel"/>
    <w:lvl w:ilvl="0">
      <w:lvlJc w:val="left"/>
      <w:lvlText w:val="%1."/>
      <w:numFmt w:val="lowerRoman"/>
      <w:start w:val="1"/>
    </w:lvl>
  </w:abstractNum>
  <w:abstractNum w:abstractNumId="30">
    <w:nsid w:val="75C6C33A"/>
    <w:multiLevelType w:val="hybridMultilevel"/>
    <w:lvl w:ilvl="0">
      <w:lvlJc w:val="left"/>
      <w:lvlText w:val="(%1)"/>
      <w:numFmt w:val="lowerRoman"/>
      <w:start w:val="2"/>
    </w:lvl>
  </w:abstractNum>
  <w:abstractNum w:abstractNumId="31">
    <w:nsid w:val="12E685FB"/>
    <w:multiLevelType w:val="hybridMultilevel"/>
    <w:lvl w:ilvl="0">
      <w:lvlJc w:val="left"/>
      <w:lvlText w:val="(%1)"/>
      <w:numFmt w:val="lowerRoman"/>
      <w:start w:val="4"/>
    </w:lvl>
  </w:abstractNum>
  <w:abstractNum w:abstractNumId="32">
    <w:nsid w:val="70C6A529"/>
    <w:multiLevelType w:val="hybridMultilevel"/>
    <w:lvl w:ilvl="0">
      <w:lvlJc w:val="left"/>
      <w:lvlText w:val="%1."/>
      <w:numFmt w:val="lowerRoman"/>
      <w:start w:val="1"/>
    </w:lvl>
  </w:abstractNum>
  <w:abstractNum w:abstractNumId="33">
    <w:nsid w:val="520EEDD1"/>
    <w:multiLevelType w:val="hybridMultilevel"/>
    <w:lvl w:ilvl="0">
      <w:lvlJc w:val="left"/>
      <w:lvlText w:val="%1."/>
      <w:numFmt w:val="lowerRoman"/>
      <w:start w:val="1"/>
    </w:lvl>
    <w:lvl w:ilvl="1">
      <w:lvlJc w:val="left"/>
      <w:lvlText w:val="%2."/>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lowerLetter"/>
      <w:start w:val="1"/>
    </w:lvl>
    <w:lvl w:ilvl="1">
      <w:lvlJc w:val="left"/>
      <w:lvlText w:val="%2."/>
      <w:numFmt w:val="lowerRoman"/>
      <w:start w:val="1"/>
    </w:lvl>
  </w:abstractNum>
  <w:abstractNum w:abstractNumId="40">
    <w:nsid w:val="1CF10FD8"/>
    <w:multiLevelType w:val="hybridMultilevel"/>
    <w:lvl w:ilvl="0">
      <w:lvlJc w:val="left"/>
      <w:lvlText w:val="%1."/>
      <w:numFmt w:val="lowerRoman"/>
      <w:start w:val="5"/>
    </w:lvl>
  </w:abstractNum>
  <w:abstractNum w:abstractNumId="41">
    <w:nsid w:val="180115BE"/>
    <w:multiLevelType w:val="hybridMultilevel"/>
    <w:lvl w:ilvl="0">
      <w:lvlJc w:val="left"/>
      <w:lvlText w:val="%1"/>
      <w:numFmt w:val="lowerLetter"/>
      <w:start w:val="1"/>
    </w:lvl>
    <w:lvl w:ilvl="1">
      <w:lvlJc w:val="left"/>
      <w:lvlText w:val="(%2)"/>
      <w:numFmt w:val="upperLetter"/>
      <w:start w:val="1"/>
    </w:lvl>
  </w:abstractNum>
  <w:abstractNum w:abstractNumId="42">
    <w:nsid w:val="235BA861"/>
    <w:multiLevelType w:val="hybridMultilevel"/>
    <w:lvl w:ilvl="0">
      <w:lvlJc w:val="left"/>
      <w:lvlText w:val="(%1)"/>
      <w:numFmt w:val="lowerLetter"/>
      <w:start w:val="3"/>
    </w:lvl>
    <w:lvl w:ilvl="1">
      <w:lvlJc w:val="left"/>
      <w:lvlText w:val="%2"/>
      <w:numFmt w:val="upperLetter"/>
      <w:start w:val="1"/>
    </w:lvl>
  </w:abstractNum>
  <w:abstractNum w:abstractNumId="43">
    <w:nsid w:val="47398C89"/>
    <w:multiLevelType w:val="hybridMultilevel"/>
    <w:lvl w:ilvl="0">
      <w:lvlJc w:val="left"/>
      <w:lvlText w:val="(%1)"/>
      <w:numFmt w:val="lowerLetter"/>
      <w:start w:val="7"/>
    </w:lvl>
  </w:abstractNum>
  <w:abstractNum w:abstractNumId="44">
    <w:nsid w:val="354FE9F9"/>
    <w:multiLevelType w:val="hybridMultilevel"/>
    <w:lvl w:ilvl="0">
      <w:lvlJc w:val="left"/>
      <w:lvlText w:val="(%1)"/>
      <w:numFmt w:val="lowerLetter"/>
      <w:start w:val="1"/>
    </w:lvl>
    <w:lvl w:ilvl="1">
      <w:lvlJc w:val="left"/>
      <w:lvlText w:val="%2."/>
      <w:numFmt w:val="lowerRoman"/>
      <w:start w:val="1"/>
    </w:lvl>
  </w:abstractNum>
  <w:abstractNum w:abstractNumId="45">
    <w:nsid w:val="15B5AF5C"/>
    <w:multiLevelType w:val="hybridMultilevel"/>
    <w:lvl w:ilvl="0">
      <w:lvlJc w:val="left"/>
      <w:lvlText w:val="%1."/>
      <w:numFmt w:val="lowerRoman"/>
      <w:start w:val="2"/>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abstractNum>
  <w:abstractNum w:abstractNumId="50">
    <w:nsid w:val="61574095"/>
    <w:multiLevelType w:val="hybridMultilevel"/>
    <w:lvl w:ilvl="0">
      <w:lvlJc w:val="left"/>
      <w:lvlText w:val="(%1)"/>
      <w:numFmt w:val="decimal"/>
      <w:start w:val="60"/>
    </w:lvl>
    <w:lvl w:ilvl="1">
      <w:lvlJc w:val="left"/>
      <w:lvlText w:val="%2"/>
      <w:numFmt w:val="lowerLetter"/>
      <w:start w:val="1"/>
    </w:lvl>
  </w:abstractNum>
  <w:abstractNum w:abstractNumId="51">
    <w:nsid w:val="7E0C57B1"/>
    <w:multiLevelType w:val="hybridMultilevel"/>
    <w:lvl w:ilvl="0">
      <w:lvlJc w:val="left"/>
      <w:lvlText w:val="(%1)"/>
      <w:numFmt w:val="decimal"/>
      <w:start w:val="30"/>
    </w:lvl>
    <w:lvl w:ilvl="1">
      <w:lvlJc w:val="left"/>
      <w:lvlText w:val="%2"/>
      <w:numFmt w:val="lowerLetter"/>
      <w:start w:val="1"/>
    </w:lvl>
  </w:abstractNum>
  <w:abstractNum w:abstractNumId="52">
    <w:nsid w:val="77AE35EB"/>
    <w:multiLevelType w:val="hybridMultilevel"/>
    <w:lvl w:ilvl="0">
      <w:lvlJc w:val="left"/>
      <w:lvlText w:val="(%1)"/>
      <w:numFmt w:val="lowerLetter"/>
      <w:start w:val="3"/>
    </w:lvl>
  </w:abstractNum>
  <w:abstractNum w:abstractNumId="53">
    <w:nsid w:val="579BE4F1"/>
    <w:multiLevelType w:val="hybridMultilevel"/>
    <w:lvl w:ilvl="0">
      <w:lvlJc w:val="left"/>
      <w:lvlText w:val="(%1)"/>
      <w:numFmt w:val="lowerLetter"/>
      <w:start w:val="1"/>
    </w:lvl>
    <w:lvl w:ilvl="1">
      <w:lvlJc w:val="left"/>
      <w:lvlText w:val="%2."/>
      <w:numFmt w:val="lowerRoman"/>
      <w:start w:val="1"/>
    </w:lvl>
  </w:abstractNum>
  <w:abstractNum w:abstractNumId="54">
    <w:nsid w:val="310C50B3"/>
    <w:multiLevelType w:val="hybridMultilevel"/>
    <w:lvl w:ilvl="0">
      <w:lvlJc w:val="left"/>
      <w:lvlText w:val="%1."/>
      <w:numFmt w:val="lowerRoman"/>
      <w:start w:val="5"/>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Letter"/>
      <w:start w:val="5"/>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4"/>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3"/>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2"/>
    </w:lvl>
  </w:abstractNum>
  <w:abstractNum w:abstractNumId="64">
    <w:nsid w:val="6590700B"/>
    <w:multiLevelType w:val="hybridMultilevel"/>
    <w:lvl w:ilvl="0">
      <w:lvlJc w:val="left"/>
      <w:lvlText w:val="%1."/>
      <w:numFmt w:val="decimal"/>
      <w:start w:val="3"/>
    </w:lvl>
    <w:lvl w:ilvl="1">
      <w:lvlJc w:val="left"/>
      <w:lvlText w:val="(%2)"/>
      <w:numFmt w:val="lowerLetter"/>
      <w:start w:val="1"/>
    </w:lvl>
  </w:abstractNum>
  <w:abstractNum w:abstractNumId="65">
    <w:nsid w:val="15014ACB"/>
    <w:multiLevelType w:val="hybridMultilevel"/>
    <w:lvl w:ilvl="0">
      <w:lvlJc w:val="left"/>
      <w:lvlText w:val="%1."/>
      <w:numFmt w:val="decimal"/>
      <w:start w:val="5"/>
    </w:lvl>
  </w:abstractNum>
  <w:abstractNum w:abstractNumId="66">
    <w:nsid w:val="5F5E7FD0"/>
    <w:multiLevelType w:val="hybridMultilevel"/>
    <w:lvl w:ilvl="0">
      <w:lvlJc w:val="left"/>
      <w:lvlText w:val="%1."/>
      <w:numFmt w:val="decimal"/>
      <w:start w:val="9"/>
    </w:lvl>
  </w:abstractNum>
  <w:abstractNum w:abstractNumId="67">
    <w:nsid w:val="98A3148"/>
    <w:multiLevelType w:val="hybridMultilevel"/>
    <w:lvl w:ilvl="0">
      <w:lvlJc w:val="left"/>
      <w:lvlText w:val="%1."/>
      <w:numFmt w:val="decimal"/>
      <w:start w:val="12"/>
    </w:lvl>
  </w:abstractNum>
  <w:abstractNum w:abstractNumId="68">
    <w:nsid w:val="799D0247"/>
    <w:multiLevelType w:val="hybridMultilevel"/>
    <w:lvl w:ilvl="0">
      <w:lvlJc w:val="left"/>
      <w:lvlText w:val="%1."/>
      <w:numFmt w:val="decimal"/>
      <w:start w:val="15"/>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15" Type="http://schemas.openxmlformats.org/officeDocument/2006/relationships/image" Target="media/image16.png"/><Relationship Id="rId216" Type="http://schemas.openxmlformats.org/officeDocument/2006/relationships/image" Target="media/image17.png"/><Relationship Id="rId217" Type="http://schemas.openxmlformats.org/officeDocument/2006/relationships/image" Target="media/image18.png"/><Relationship Id="rId218" Type="http://schemas.openxmlformats.org/officeDocument/2006/relationships/image" Target="media/image19.png"/><Relationship Id="rId219" Type="http://schemas.openxmlformats.org/officeDocument/2006/relationships/image" Target="media/image20.png"/><Relationship Id="rId220" Type="http://schemas.openxmlformats.org/officeDocument/2006/relationships/image" Target="media/image21.png"/><Relationship Id="rId221" Type="http://schemas.openxmlformats.org/officeDocument/2006/relationships/image" Target="media/image22.png"/><Relationship Id="rId222" Type="http://schemas.openxmlformats.org/officeDocument/2006/relationships/image" Target="media/image23.png"/><Relationship Id="rId223" Type="http://schemas.openxmlformats.org/officeDocument/2006/relationships/image" Target="media/image24.png"/><Relationship Id="rId224" Type="http://schemas.openxmlformats.org/officeDocument/2006/relationships/image" Target="media/image25.png"/><Relationship Id="rId225" Type="http://schemas.openxmlformats.org/officeDocument/2006/relationships/image" Target="media/image26.png"/><Relationship Id="rId226" Type="http://schemas.openxmlformats.org/officeDocument/2006/relationships/image" Target="media/image27.png"/><Relationship Id="rId227" Type="http://schemas.openxmlformats.org/officeDocument/2006/relationships/image" Target="media/image28.png"/><Relationship Id="rId228" Type="http://schemas.openxmlformats.org/officeDocument/2006/relationships/image" Target="media/image29.png"/><Relationship Id="rId229" Type="http://schemas.openxmlformats.org/officeDocument/2006/relationships/image" Target="media/image30.png"/><Relationship Id="rId230" Type="http://schemas.openxmlformats.org/officeDocument/2006/relationships/image" Target="media/image31.png"/><Relationship Id="rId231" Type="http://schemas.openxmlformats.org/officeDocument/2006/relationships/image" Target="media/image32.png"/><Relationship Id="rId232" Type="http://schemas.openxmlformats.org/officeDocument/2006/relationships/image" Target="media/image33.png"/><Relationship Id="rId233" Type="http://schemas.openxmlformats.org/officeDocument/2006/relationships/image" Target="media/image34.png"/><Relationship Id="rId234" Type="http://schemas.openxmlformats.org/officeDocument/2006/relationships/image" Target="media/image35.png"/><Relationship Id="rId235" Type="http://schemas.openxmlformats.org/officeDocument/2006/relationships/image" Target="media/image36.png"/><Relationship Id="rId236" Type="http://schemas.openxmlformats.org/officeDocument/2006/relationships/image" Target="media/image37.png"/><Relationship Id="rId237" Type="http://schemas.openxmlformats.org/officeDocument/2006/relationships/image" Target="media/image38.png"/><Relationship Id="rId238" Type="http://schemas.openxmlformats.org/officeDocument/2006/relationships/image" Target="media/image39.png"/><Relationship Id="rId239" Type="http://schemas.openxmlformats.org/officeDocument/2006/relationships/image" Target="media/image40.png"/><Relationship Id="rId240" Type="http://schemas.openxmlformats.org/officeDocument/2006/relationships/image" Target="media/image41.png"/><Relationship Id="rId241" Type="http://schemas.openxmlformats.org/officeDocument/2006/relationships/image" Target="media/image42.png"/><Relationship Id="rId242" Type="http://schemas.openxmlformats.org/officeDocument/2006/relationships/image" Target="media/image43.png"/><Relationship Id="rId243" Type="http://schemas.openxmlformats.org/officeDocument/2006/relationships/image" Target="media/image44.png"/><Relationship Id="rId244" Type="http://schemas.openxmlformats.org/officeDocument/2006/relationships/image" Target="media/image45.png"/><Relationship Id="rId245" Type="http://schemas.openxmlformats.org/officeDocument/2006/relationships/image" Target="media/image46.png"/><Relationship Id="rId246" Type="http://schemas.openxmlformats.org/officeDocument/2006/relationships/image" Target="media/image47.png"/><Relationship Id="rId247" Type="http://schemas.openxmlformats.org/officeDocument/2006/relationships/image" Target="media/image48.png"/><Relationship Id="rId248" Type="http://schemas.openxmlformats.org/officeDocument/2006/relationships/image" Target="media/image49.png"/><Relationship Id="rId249" Type="http://schemas.openxmlformats.org/officeDocument/2006/relationships/image" Target="media/image50.png"/><Relationship Id="rId250" Type="http://schemas.openxmlformats.org/officeDocument/2006/relationships/image" Target="media/image51.png"/><Relationship Id="rId251" Type="http://schemas.openxmlformats.org/officeDocument/2006/relationships/image" Target="media/image52.png"/><Relationship Id="rId252" Type="http://schemas.openxmlformats.org/officeDocument/2006/relationships/image" Target="media/image53.png"/><Relationship Id="rId253" Type="http://schemas.openxmlformats.org/officeDocument/2006/relationships/image" Target="media/image54.png"/><Relationship Id="rId254" Type="http://schemas.openxmlformats.org/officeDocument/2006/relationships/image" Target="media/image55.png"/><Relationship Id="rId255" Type="http://schemas.openxmlformats.org/officeDocument/2006/relationships/image" Target="media/image56.png"/><Relationship Id="rId256" Type="http://schemas.openxmlformats.org/officeDocument/2006/relationships/image" Target="media/image57.png"/><Relationship Id="rId257" Type="http://schemas.openxmlformats.org/officeDocument/2006/relationships/image" Target="media/image58.png"/><Relationship Id="rId258" Type="http://schemas.openxmlformats.org/officeDocument/2006/relationships/image" Target="media/image59.png"/><Relationship Id="rId259" Type="http://schemas.openxmlformats.org/officeDocument/2006/relationships/image" Target="media/image60.png"/><Relationship Id="rId260" Type="http://schemas.openxmlformats.org/officeDocument/2006/relationships/image" Target="media/image61.png"/><Relationship Id="rId261" Type="http://schemas.openxmlformats.org/officeDocument/2006/relationships/image" Target="media/image62.png"/><Relationship Id="rId262" Type="http://schemas.openxmlformats.org/officeDocument/2006/relationships/image" Target="media/image63.png"/><Relationship Id="rId263" Type="http://schemas.openxmlformats.org/officeDocument/2006/relationships/image" Target="media/image64.png"/><Relationship Id="rId264" Type="http://schemas.openxmlformats.org/officeDocument/2006/relationships/image" Target="media/image65.png"/><Relationship Id="rId265" Type="http://schemas.openxmlformats.org/officeDocument/2006/relationships/image" Target="media/image66.png"/><Relationship Id="rId266" Type="http://schemas.openxmlformats.org/officeDocument/2006/relationships/image" Target="media/image67.png"/><Relationship Id="rId267" Type="http://schemas.openxmlformats.org/officeDocument/2006/relationships/image" Target="media/image68.png"/><Relationship Id="rId268" Type="http://schemas.openxmlformats.org/officeDocument/2006/relationships/image" Target="media/image69.png"/><Relationship Id="rId269" Type="http://schemas.openxmlformats.org/officeDocument/2006/relationships/image" Target="media/image70.png"/><Relationship Id="rId270" Type="http://schemas.openxmlformats.org/officeDocument/2006/relationships/image" Target="media/image71.png"/><Relationship Id="rId271" Type="http://schemas.openxmlformats.org/officeDocument/2006/relationships/image" Target="media/image72.png"/><Relationship Id="rId23" Type="http://schemas.openxmlformats.org/officeDocument/2006/relationships/hyperlink" Target="http://www.sec.gov/Archives/edgar/data/917520/000119312514012038/d647012dex101.htm" TargetMode="External"/><Relationship Id="rId24" Type="http://schemas.openxmlformats.org/officeDocument/2006/relationships/hyperlink" Target="http://www.sec.gov/Archives/edgar/data/917520/000119312514383254/d802647dex21.htm" TargetMode="External"/><Relationship Id="rId25" Type="http://schemas.openxmlformats.org/officeDocument/2006/relationships/hyperlink" Target="http://www.sec.gov/Archives/edgar/data/917520/000119312515246787/d85302dex21.htm" TargetMode="External"/><Relationship Id="rId26" Type="http://schemas.openxmlformats.org/officeDocument/2006/relationships/hyperlink" Target="http://www.sec.gov/Archives/edgar/data/917520/000119312515256459/d47708dex21.htm" TargetMode="External"/><Relationship Id="rId27" Type="http://schemas.openxmlformats.org/officeDocument/2006/relationships/hyperlink" Target="http://www.sec.gov/Archives/edgar/data/917520/000119312515256459/d47708dex22.htm" TargetMode="External"/><Relationship Id="rId28" Type="http://schemas.openxmlformats.org/officeDocument/2006/relationships/hyperlink" Target="http://www.sec.gov/Archives/edgar/data/917520/000119312517007393/d316863dex21.htm" TargetMode="External"/><Relationship Id="rId29" Type="http://schemas.openxmlformats.org/officeDocument/2006/relationships/hyperlink" Target="http://www.sec.gov/Archives/edgar/data/917520/000119312517044517/d316120dex21.htm" TargetMode="External"/><Relationship Id="rId30" Type="http://schemas.openxmlformats.org/officeDocument/2006/relationships/hyperlink" Target="http://www.sec.gov/Archives/edgar/data/917520/000119312517170703/d395692dex21.htm" TargetMode="External"/><Relationship Id="rId31" Type="http://schemas.openxmlformats.org/officeDocument/2006/relationships/hyperlink" Target="http://www.sec.gov/Archives/edgar/data/917520/000091752017000049/iart-20170930xexx21.htm" TargetMode="External"/><Relationship Id="rId32" Type="http://schemas.openxmlformats.org/officeDocument/2006/relationships/hyperlink" Target="http://www.sec.gov/Archives/edgar/data/917520/000091752006000066/ex3-1aform10k031406.txt" TargetMode="External"/><Relationship Id="rId33" Type="http://schemas.openxmlformats.org/officeDocument/2006/relationships/hyperlink" Target="http://www.sec.gov/Archives/edgar/data/917520/0000889812-99-001063.txt" TargetMode="External"/><Relationship Id="rId34" Type="http://schemas.openxmlformats.org/officeDocument/2006/relationships/hyperlink" Target="http://www.sec.gov/Archives/edgar/data/917520/000095012305003217/y06769exv3w1wc.txt" TargetMode="External"/><Relationship Id="rId35" Type="http://schemas.openxmlformats.org/officeDocument/2006/relationships/hyperlink" Target="http://www.sec.gov/Archives/edgar/data/917520/000091752016000107/ex_3x1xfileddecember22x2016.htm" TargetMode="External"/><Relationship Id="rId36" Type="http://schemas.openxmlformats.org/officeDocument/2006/relationships/hyperlink" Target="http://www.sec.gov/Archives/edgar/data/917520/000129993312000849/exhibit1.htm" TargetMode="External"/><Relationship Id="rId37" Type="http://schemas.openxmlformats.org/officeDocument/2006/relationships/hyperlink" Target="http://www.sec.gov/Archives/edgar/data/917520/000091752018000042/ex3_1xsecondarbylawsxdec20.htm" TargetMode="External"/><Relationship Id="rId38" Type="http://schemas.openxmlformats.org/officeDocument/2006/relationships/hyperlink" Target="http://www.sec.gov/Archives/edgar/data/917520/000095012311059255/w83072k1exv4w1.htm" TargetMode="External"/><Relationship Id="rId39" Type="http://schemas.openxmlformats.org/officeDocument/2006/relationships/hyperlink" Target="http://www.sec.gov/Archives/edgar/data/917520/000095012311059255/w83072k1exv4w2.htm" TargetMode="External"/><Relationship Id="rId40" Type="http://schemas.openxmlformats.org/officeDocument/2006/relationships/hyperlink" Target="http://www.sec.gov/Archives/edgar/data/917520/000091752005000144/ex10-1form8k122905.txt" TargetMode="External"/><Relationship Id="rId41" Type="http://schemas.openxmlformats.org/officeDocument/2006/relationships/hyperlink" Target="http://www.sec.gov/Archives/edgar/data/917520/000091752006000066/ex4-3bform10k031406.txt" TargetMode="External"/><Relationship Id="rId42" Type="http://schemas.openxmlformats.org/officeDocument/2006/relationships/hyperlink" Target="http://www.sec.gov/Archives/edgar/data/917520/000091752007000020/ex4-1form8k022707.txt" TargetMode="External"/><Relationship Id="rId43" Type="http://schemas.openxmlformats.org/officeDocument/2006/relationships/hyperlink" Target="http://www.sec.gov/Archives/edgar/data/917520/000095012307008326/y35313k2exv4w1.htm" TargetMode="External"/><Relationship Id="rId44" Type="http://schemas.openxmlformats.org/officeDocument/2006/relationships/hyperlink" Target="http://www.sec.gov/Archives/edgar/data/917520/000091752007000087/ex4-1form8k090607.txt" TargetMode="External"/><Relationship Id="rId45" Type="http://schemas.openxmlformats.org/officeDocument/2006/relationships/hyperlink" Target="http://www.sec.gov/Archives/edgar/data/917520/000095012310075587/c04568exv10w1.htm" TargetMode="External"/><Relationship Id="rId46" Type="http://schemas.openxmlformats.org/officeDocument/2006/relationships/hyperlink" Target="http://www.sec.gov/Archives/edgar/data/917520/000119312511203310/dex43.htm" TargetMode="External"/><Relationship Id="rId47" Type="http://schemas.openxmlformats.org/officeDocument/2006/relationships/hyperlink" Target="http://www.sec.gov/Archives/edgar/data/917520/000129993312001181/exhibit1.htm" TargetMode="External"/><Relationship Id="rId48" Type="http://schemas.openxmlformats.org/officeDocument/2006/relationships/hyperlink" Target="http://www.sec.gov/Archives/edgar/data/917520/000091752013000048/exhibit41.htm" TargetMode="External"/><Relationship Id="rId49" Type="http://schemas.openxmlformats.org/officeDocument/2006/relationships/hyperlink" Target="http://www.sec.gov/Archives/edgar/data/917520/000119312514264197/d753420dex41.htm" TargetMode="External"/><Relationship Id="rId50" Type="http://schemas.openxmlformats.org/officeDocument/2006/relationships/hyperlink" Target="http://www.sec.gov/Archives/edgar/data/917520/000119312514455478/d842194dex41.htm" TargetMode="External"/><Relationship Id="rId51" Type="http://schemas.openxmlformats.org/officeDocument/2006/relationships/hyperlink" Target="http://www.sec.gov/Archives/edgar/data/917520/000119312515309347/d21831dex41.htm" TargetMode="External"/><Relationship Id="rId52" Type="http://schemas.openxmlformats.org/officeDocument/2006/relationships/hyperlink" Target="http://www.sec.gov/Archives/edgar/data/917520/000119312516786976/d117614dex41.htm" TargetMode="External"/><Relationship Id="rId53" Type="http://schemas.openxmlformats.org/officeDocument/2006/relationships/hyperlink" Target="http://www.sec.gov/Archives/edgar/data/917520/000119312517110173/d307890dex41.htm" TargetMode="External"/><Relationship Id="rId54" Type="http://schemas.openxmlformats.org/officeDocument/2006/relationships/hyperlink" Target="http://www.sec.gov/Archives/edgar/data/917520/000119312518157671/d580615dex101.htm" TargetMode="External"/><Relationship Id="rId55" Type="http://schemas.openxmlformats.org/officeDocument/2006/relationships/hyperlink" Target="http://www.sec.gov/Archives/edgar/data/917520/000091752006000066/ex4-4form10k031406.txt" TargetMode="External"/><Relationship Id="rId56" Type="http://schemas.openxmlformats.org/officeDocument/2006/relationships/hyperlink" Target="http://www.sec.gov/Archives/edgar/data/917520/000091752006000066/ex4-5form10k031406.txt" TargetMode="External"/><Relationship Id="rId57" Type="http://schemas.openxmlformats.org/officeDocument/2006/relationships/hyperlink" Target="http://www.sec.gov/Archives/edgar/data/917520/000091752006000066/ex4-6form10k031406.txt" TargetMode="External"/><Relationship Id="rId58" Type="http://schemas.openxmlformats.org/officeDocument/2006/relationships/hyperlink" Target="http://www.sec.gov/Archives/edgar/data/917520/000095012307008582/y35988exv4w1.htm" TargetMode="External"/><Relationship Id="rId59" Type="http://schemas.openxmlformats.org/officeDocument/2006/relationships/hyperlink" Target="http://www.sec.gov/Archives/edgar/data/917520/000095012307008582/y35988exv4w3.htm" TargetMode="External"/><Relationship Id="rId60" Type="http://schemas.openxmlformats.org/officeDocument/2006/relationships/hyperlink" Target="http://www.sec.gov/Archives/edgar/data/917520/000095012307008582/y35988exv4w5.htm" TargetMode="External"/><Relationship Id="rId61" Type="http://schemas.openxmlformats.org/officeDocument/2006/relationships/hyperlink" Target="http://www.sec.gov/Archives/edgar/data/917520/000095012307008582/y35988exv4w6.htm" TargetMode="External"/><Relationship Id="rId62" Type="http://schemas.openxmlformats.org/officeDocument/2006/relationships/hyperlink" Target="http://www.sec.gov/Archives/edgar/data/917520/000091752005000112/ex10-1form8k110105.txt" TargetMode="External"/><Relationship Id="rId63" Type="http://schemas.openxmlformats.org/officeDocument/2006/relationships/hyperlink" Target="http://www.sec.gov/Archives/edgar/data/917520/000129993311000711/exhibit1.htm" TargetMode="External"/><Relationship Id="rId64" Type="http://schemas.openxmlformats.org/officeDocument/2006/relationships/hyperlink" Target="http://www.sec.gov/Archives/edgar/data/917520/000091752017000017/exhibit101_leasemodificati.htm" TargetMode="External"/><Relationship Id="rId65" Type="http://schemas.openxmlformats.org/officeDocument/2006/relationships/hyperlink" Target="http://www.sec.gov/Archives/edgar/data/917520/000088981200003496/0000889812-00-003496-0002.txt" TargetMode="External"/><Relationship Id="rId66" Type="http://schemas.openxmlformats.org/officeDocument/2006/relationships/hyperlink" Target="http://www.sec.gov/Archives/edgar/data/917520/000095012310069611/c02800exv10w2.htm" TargetMode="External"/><Relationship Id="rId67" Type="http://schemas.openxmlformats.org/officeDocument/2006/relationships/hyperlink" Target="http://www.sec.gov/Archives/edgar/data/917520/000136231008008563/c78646exv10w1.htm" TargetMode="External"/><Relationship Id="rId68" Type="http://schemas.openxmlformats.org/officeDocument/2006/relationships/hyperlink" Target="http://www.sec.gov/Archives/edgar/data/917520/0000889812-98-000200.txt" TargetMode="External"/><Relationship Id="rId69" Type="http://schemas.openxmlformats.org/officeDocument/2006/relationships/hyperlink" Target="http://www.sec.gov/Archives/edgar/data/917520/000091752005000123/ex10-3form10q110905.txt" TargetMode="External"/><Relationship Id="rId70" Type="http://schemas.openxmlformats.org/officeDocument/2006/relationships/hyperlink" Target="http://www.sec.gov/Archives/edgar/data/917520/000091752005000123/ex10-4form10q110905.txt" TargetMode="External"/><Relationship Id="rId71" Type="http://schemas.openxmlformats.org/officeDocument/2006/relationships/hyperlink" Target="http://www.sec.gov/Archives/edgar/data/917520/000091752005000099/ex4-1forms8081205.txt" TargetMode="External"/><Relationship Id="rId72" Type="http://schemas.openxmlformats.org/officeDocument/2006/relationships/hyperlink" Target="http://www.sec.gov/Archives/edgar/data/917520/000091752005000110/ex10-1form8k102705.txt" TargetMode="External"/><Relationship Id="rId73" Type="http://schemas.openxmlformats.org/officeDocument/2006/relationships/hyperlink" Target="http://www.sec.gov/Archives/edgar/data/917520/000091752005000123/ex10-5form10q110905.txt" TargetMode="External"/><Relationship Id="rId74" Type="http://schemas.openxmlformats.org/officeDocument/2006/relationships/hyperlink" Target="http://www.sec.gov/Archives/edgar/data/917520/000119312512326115/d364710dex107.htm" TargetMode="External"/><Relationship Id="rId75" Type="http://schemas.openxmlformats.org/officeDocument/2006/relationships/hyperlink" Target="http://www.sec.gov/Archives/edgar/data/917520/000091752005000123/ex10-6form10q110905.txt" TargetMode="External"/><Relationship Id="rId76" Type="http://schemas.openxmlformats.org/officeDocument/2006/relationships/hyperlink" Target="http://www.sec.gov/Archives/edgar/data/917520/000119312512326115/d364710dex108.htm" TargetMode="External"/><Relationship Id="rId77" Type="http://schemas.openxmlformats.org/officeDocument/2006/relationships/hyperlink" Target="http://www.sec.gov/Archives/edgar/data/917520/000091752013000023/iart-20121231xexx109c.htm" TargetMode="External"/><Relationship Id="rId78" Type="http://schemas.openxmlformats.org/officeDocument/2006/relationships/hyperlink" Target="http://www.sec.gov/Archives/edgar/data/917520/000129993310002081/exhibit1.htm" TargetMode="External"/><Relationship Id="rId79" Type="http://schemas.openxmlformats.org/officeDocument/2006/relationships/hyperlink" Target="http://www.sec.gov/Archives/edgar/data/917520/000119312512326115/d364710dex109.htm" TargetMode="External"/><Relationship Id="rId80" Type="http://schemas.openxmlformats.org/officeDocument/2006/relationships/hyperlink" Target="http://www.sec.gov/Archives/edgar/data/917520/000091752013000041/exhibit104amendmenttosecon.htm" TargetMode="External"/><Relationship Id="rId81" Type="http://schemas.openxmlformats.org/officeDocument/2006/relationships/hyperlink" Target="http://www.sec.gov/Archives/edgar/data/917520/000091752015000025/exhibit101-thirdamendedand.htm" TargetMode="External"/><Relationship Id="rId82" Type="http://schemas.openxmlformats.org/officeDocument/2006/relationships/hyperlink" Target="http://www.sec.gov/Archives/edgar/data/917520/000091752017000025/exhibit_10x1.htm" TargetMode="External"/><Relationship Id="rId83" Type="http://schemas.openxmlformats.org/officeDocument/2006/relationships/hyperlink" Target="http://www.sec.gov/Archives/edgar/data/917520/000091752004000031/0000917520-04-000031.txt" TargetMode="External"/><Relationship Id="rId84" Type="http://schemas.openxmlformats.org/officeDocument/2006/relationships/hyperlink" Target="http://www.sec.gov/Archives/edgar/data/917520/000091752006000164/ex10-1form8k122206.txt" TargetMode="External"/><Relationship Id="rId85" Type="http://schemas.openxmlformats.org/officeDocument/2006/relationships/hyperlink" Target="http://www.sec.gov/Archives/edgar/data/917520/000095012308005803/y51439exv10w12wc.htm" TargetMode="External"/><Relationship Id="rId86" Type="http://schemas.openxmlformats.org/officeDocument/2006/relationships/hyperlink" Target="http://www.sec.gov/Archives/edgar/data/917520/000095012308009294/y65047exv10w7.htm" TargetMode="External"/><Relationship Id="rId87" Type="http://schemas.openxmlformats.org/officeDocument/2006/relationships/hyperlink" Target="http://www.sec.gov/Archives/edgar/data/917520/000129993309001637/exhibit2.htm" TargetMode="External"/><Relationship Id="rId88" Type="http://schemas.openxmlformats.org/officeDocument/2006/relationships/hyperlink" Target="http://www.sec.gov/Archives/edgar/data/917520/000129993311001582/exhibit1.htm" TargetMode="External"/><Relationship Id="rId89" Type="http://schemas.openxmlformats.org/officeDocument/2006/relationships/hyperlink" Target="http://www.sec.gov/Archives/edgar/data/917520/000119312511351929/d273122dex103.htm" TargetMode="External"/><Relationship Id="rId90" Type="http://schemas.openxmlformats.org/officeDocument/2006/relationships/hyperlink" Target="http://www.sec.gov/Archives/edgar/data/917520/000129993312001435/exhibit1.htm" TargetMode="External"/><Relationship Id="rId91" Type="http://schemas.openxmlformats.org/officeDocument/2006/relationships/hyperlink" Target="http://www.sec.gov/Archives/edgar/data/917520/000091205701000619/a2034717zex-10_2.txt" TargetMode="External"/><Relationship Id="rId92" Type="http://schemas.openxmlformats.org/officeDocument/2006/relationships/hyperlink" Target="http://www.sec.gov/Archives/edgar/data/917520/000091752006000066/ex10-16form10k031406.txt" TargetMode="External"/><Relationship Id="rId93" Type="http://schemas.openxmlformats.org/officeDocument/2006/relationships/hyperlink" Target="http://www.sec.gov/Archives/edgar/data/917520/000095012308005803/y51439exv10w15wb.htm" TargetMode="External"/><Relationship Id="rId94" Type="http://schemas.openxmlformats.org/officeDocument/2006/relationships/hyperlink" Target="http://www.sec.gov/Archives/edgar/data/917520/000136231008008563/c78646exv10w2.htm" TargetMode="External"/><Relationship Id="rId95" Type="http://schemas.openxmlformats.org/officeDocument/2006/relationships/hyperlink" Target="http://www.sec.gov/Archives/edgar/data/917520/000129993309001637/exhibit5.htm" TargetMode="External"/><Relationship Id="rId96" Type="http://schemas.openxmlformats.org/officeDocument/2006/relationships/hyperlink" Target="http://www.sec.gov/Archives/edgar/data/917520/000129993310003662/exhibit3.htm" TargetMode="External"/><Relationship Id="rId97" Type="http://schemas.openxmlformats.org/officeDocument/2006/relationships/hyperlink" Target="http://www.sec.gov/Archives/edgar/data/917520/000129993312000439/exhibit1.htm" TargetMode="External"/><Relationship Id="rId98" Type="http://schemas.openxmlformats.org/officeDocument/2006/relationships/hyperlink" Target="http://www.sec.gov/Archives/edgar/data/917520/000119312514211529/d732122dex101.htm" TargetMode="External"/><Relationship Id="rId99" Type="http://schemas.openxmlformats.org/officeDocument/2006/relationships/hyperlink" Target="http://www.sec.gov/Archives/edgar/data/917520/000129993310003662/exhibit1.htm" TargetMode="External"/><Relationship Id="rId100" Type="http://schemas.openxmlformats.org/officeDocument/2006/relationships/hyperlink" Target="http://www.sec.gov/Archives/edgar/data/917520/000091752013000041/exhibit1010-gorelicksevera.htm" TargetMode="External"/><Relationship Id="rId101" Type="http://schemas.openxmlformats.org/officeDocument/2006/relationships/hyperlink" Target="http://www.sec.gov/Archives/edgar/data/917520/000095012310018591/y82871exv10w17.htm" TargetMode="External"/><Relationship Id="rId102" Type="http://schemas.openxmlformats.org/officeDocument/2006/relationships/hyperlink" Target="http://www.sec.gov/Archives/edgar/data/917520/000095012311017602/w80860exv10w17wxay.htm" TargetMode="External"/><Relationship Id="rId103" Type="http://schemas.openxmlformats.org/officeDocument/2006/relationships/hyperlink" Target="http://www.sec.gov/Archives/edgar/data/917520/000119312512081503/d261286dex1016c.htm" TargetMode="External"/><Relationship Id="rId104" Type="http://schemas.openxmlformats.org/officeDocument/2006/relationships/hyperlink" Target="http://www.sec.gov/Archives/edgar/data/917520/000129993310003662/exhibit2.htm" TargetMode="External"/><Relationship Id="rId105" Type="http://schemas.openxmlformats.org/officeDocument/2006/relationships/hyperlink" Target="http://www.sec.gov/Archives/edgar/data/917520/000119312511351929/d273122dex101.htm" TargetMode="External"/><Relationship Id="rId106" Type="http://schemas.openxmlformats.org/officeDocument/2006/relationships/hyperlink" Target="http://www.sec.gov/Archives/edgar/data/917520/000091752014000022/exhibit101-amendedandresta.htm" TargetMode="External"/><Relationship Id="rId107" Type="http://schemas.openxmlformats.org/officeDocument/2006/relationships/hyperlink" Target="http://www.sec.gov/Archives/edgar/data/917520/000091752017000049/iart-20170930xexx101.htm" TargetMode="External"/><Relationship Id="rId108" Type="http://schemas.openxmlformats.org/officeDocument/2006/relationships/hyperlink" Target="http://www.sec.gov/Archives/edgar/data/917520/000119312511351929/d273122dex102.htm" TargetMode="External"/><Relationship Id="rId109" Type="http://schemas.openxmlformats.org/officeDocument/2006/relationships/hyperlink" Target="http://www.sec.gov/Archives/edgar/data/917520/000091752013000019/iart-exx101arduinile.htm" TargetMode="External"/><Relationship Id="rId110" Type="http://schemas.openxmlformats.org/officeDocument/2006/relationships/hyperlink" Target="http://www.sec.gov/Archives/edgar/data/917520/000091752006000149/ex10-3form10q110906.txt" TargetMode="External"/><Relationship Id="rId111" Type="http://schemas.openxmlformats.org/officeDocument/2006/relationships/hyperlink" Target="http://www.sec.gov/Archives/edgar/data/917520/000129993311003262/exhibit1.htm" TargetMode="External"/><Relationship Id="rId112" Type="http://schemas.openxmlformats.org/officeDocument/2006/relationships/hyperlink" Target="http://www.sec.gov/Archives/edgar/data/917520/000119312512183626/d317931dex102.htm" TargetMode="External"/><Relationship Id="rId113" Type="http://schemas.openxmlformats.org/officeDocument/2006/relationships/hyperlink" Target="http://www.sec.gov/Archives/edgar/data/917520/000091205701000619/a2034717zex-4_1.txt" TargetMode="External"/><Relationship Id="rId114" Type="http://schemas.openxmlformats.org/officeDocument/2006/relationships/hyperlink" Target="http://www.sec.gov/Archives/edgar/data/917520/000091205701000619/a2034717zex-4_2.txt" TargetMode="External"/><Relationship Id="rId115" Type="http://schemas.openxmlformats.org/officeDocument/2006/relationships/hyperlink" Target="http://www.sec.gov/Archives/edgar/data/917520/000091205701000619/a2034717zex-4_3.txt" TargetMode="External"/><Relationship Id="rId116" Type="http://schemas.openxmlformats.org/officeDocument/2006/relationships/hyperlink" Target="http://www.sec.gov/Archives/edgar/data/917520/000091752006000137/ex10-1form8k110306.txt" TargetMode="External"/><Relationship Id="rId117" Type="http://schemas.openxmlformats.org/officeDocument/2006/relationships/hyperlink" Target="http://www.sec.gov/Archives/edgar/data/917520/000095012305003217/y06769exv10w30.txt" TargetMode="External"/><Relationship Id="rId118" Type="http://schemas.openxmlformats.org/officeDocument/2006/relationships/hyperlink" Target="http://www.sec.gov/Archives/edgar/data/917520/000095012305003217/y06769exv10w31.txt" TargetMode="External"/><Relationship Id="rId119" Type="http://schemas.openxmlformats.org/officeDocument/2006/relationships/hyperlink" Target="http://www.sec.gov/Archives/edgar/data/917520/000091752006000137/ex10-2form8k110306.txt" TargetMode="External"/><Relationship Id="rId120" Type="http://schemas.openxmlformats.org/officeDocument/2006/relationships/hyperlink" Target="http://www.sec.gov/Archives/edgar/data/917520/000095012308005803/y51439exv10w25wc.htm" TargetMode="External"/><Relationship Id="rId121" Type="http://schemas.openxmlformats.org/officeDocument/2006/relationships/hyperlink" Target="http://www.sec.gov/Archives/edgar/data/917520/000119312511203310/dex106.htm" TargetMode="External"/><Relationship Id="rId122" Type="http://schemas.openxmlformats.org/officeDocument/2006/relationships/hyperlink" Target="http://www.sec.gov/Archives/edgar/data/917520/000129993311001582/exhibit2.htm" TargetMode="External"/><Relationship Id="rId123" Type="http://schemas.openxmlformats.org/officeDocument/2006/relationships/hyperlink" Target="http://www.sec.gov/Archives/edgar/data/917520/000119312511203310/dex105.htm" TargetMode="External"/><Relationship Id="rId124" Type="http://schemas.openxmlformats.org/officeDocument/2006/relationships/hyperlink" Target="http://www.sec.gov/Archives/edgar/data/917520/000095012305003217/y06769exv10w32.txt" TargetMode="External"/><Relationship Id="rId125" Type="http://schemas.openxmlformats.org/officeDocument/2006/relationships/hyperlink" Target="http://www.sec.gov/Archives/edgar/data/917520/000095012308009294/y65047exv10w8.htm" TargetMode="External"/><Relationship Id="rId126" Type="http://schemas.openxmlformats.org/officeDocument/2006/relationships/hyperlink" Target="http://www.sec.gov/Archives/edgar/data/917520/000095012311017602/w80860exv10w28wxby.htm" TargetMode="External"/><Relationship Id="rId127" Type="http://schemas.openxmlformats.org/officeDocument/2006/relationships/hyperlink" Target="http://www.sec.gov/Archives/edgar/data/917520/000119312511203310/dex104.htm" TargetMode="External"/><Relationship Id="rId128" Type="http://schemas.openxmlformats.org/officeDocument/2006/relationships/hyperlink" Target="http://www.sec.gov/Archives/edgar/data/917520/000095012308009294/y65047exv10w9.htm" TargetMode="External"/><Relationship Id="rId129" Type="http://schemas.openxmlformats.org/officeDocument/2006/relationships/hyperlink" Target="http://www.sec.gov/Archives/edgar/data/917520/000129993309001637/exhibit3.htm" TargetMode="External"/><Relationship Id="rId130" Type="http://schemas.openxmlformats.org/officeDocument/2006/relationships/hyperlink" Target="http://www.sec.gov/Archives/edgar/data/917520/000091752013000019/iart-exx102performancestoc.htm" TargetMode="External"/><Relationship Id="rId131" Type="http://schemas.openxmlformats.org/officeDocument/2006/relationships/hyperlink" Target="http://www.sec.gov/Archives/edgar/data/917520/000091752016000075/exhibit10_1formofperforman.htm" TargetMode="External"/><Relationship Id="rId132" Type="http://schemas.openxmlformats.org/officeDocument/2006/relationships/hyperlink" Target="http://www.sec.gov/Archives/edgar/data/917520/000091752016000075/exhibit10_2formofperforman.htm" TargetMode="External"/><Relationship Id="rId133" Type="http://schemas.openxmlformats.org/officeDocument/2006/relationships/hyperlink" Target="http://www.sec.gov/Archives/edgar/data/917520/000091752018000019/iart-20180331xexx101.htm" TargetMode="External"/><Relationship Id="rId134" Type="http://schemas.openxmlformats.org/officeDocument/2006/relationships/hyperlink" Target="http://www.sec.gov/Archives/edgar/data/917520/000091752018000019/iart-20180331xexx102.htm" TargetMode="External"/><Relationship Id="rId135" Type="http://schemas.openxmlformats.org/officeDocument/2006/relationships/hyperlink" Target="http://www.sec.gov/Archives/edgar/data/917520/000091752013000041/exhibit103-performanceince.htm" TargetMode="External"/><Relationship Id="rId136" Type="http://schemas.openxmlformats.org/officeDocument/2006/relationships/hyperlink" Target="http://www.sec.gov/Archives/edgar/data/917520/000091752017000004/exhibit101.htm" TargetMode="External"/><Relationship Id="rId137" Type="http://schemas.openxmlformats.org/officeDocument/2006/relationships/hyperlink" Target="http://www.sec.gov/Archives/edgar/data/917520/000091752017000025/exhibit_10x2.htm" TargetMode="External"/><Relationship Id="rId138" Type="http://schemas.openxmlformats.org/officeDocument/2006/relationships/hyperlink" Target="http://www.sec.gov/Archives/edgar/data/917520/000119312511203310/dex103.htm" TargetMode="External"/><Relationship Id="rId139" Type="http://schemas.openxmlformats.org/officeDocument/2006/relationships/hyperlink" Target="http://www.sec.gov/Archives/edgar/data/917520/000091752005000090/ex10-1form8k72605.txt" TargetMode="External"/><Relationship Id="rId140" Type="http://schemas.openxmlformats.org/officeDocument/2006/relationships/hyperlink" Target="http://www.sec.gov/Archives/edgar/data/917520/000095012305003217/y06769exv10w35.txt" TargetMode="External"/><Relationship Id="rId141" Type="http://schemas.openxmlformats.org/officeDocument/2006/relationships/hyperlink" Target="http://www.sec.gov/Archives/edgar/data/917520/000095012305003217/y06769exv10w36.txt" TargetMode="External"/><Relationship Id="rId142" Type="http://schemas.openxmlformats.org/officeDocument/2006/relationships/hyperlink" Target="http://www.sec.gov/Archives/edgar/data/917520/000095012305003217/y06769exv10w37.txt" TargetMode="External"/><Relationship Id="rId143" Type="http://schemas.openxmlformats.org/officeDocument/2006/relationships/hyperlink" Target="http://www.sec.gov/Archives/edgar/data/917520/000091752015000022/iart-20150331xex101.htm" TargetMode="External"/><Relationship Id="rId144" Type="http://schemas.openxmlformats.org/officeDocument/2006/relationships/hyperlink" Target="http://www.sec.gov/Archives/edgar/data/917520/000091752015000022/iart-20150331xex102.htm" TargetMode="External"/><Relationship Id="rId145" Type="http://schemas.openxmlformats.org/officeDocument/2006/relationships/hyperlink" Target="http://www.sec.gov/Archives/edgar/data/917520/000091752015000022/iart-20150331xex103.htm" TargetMode="External"/><Relationship Id="rId146" Type="http://schemas.openxmlformats.org/officeDocument/2006/relationships/hyperlink" Target="http://www.sec.gov/Archives/edgar/data/917520/000091752016000065/exhibit10-formcicfebruary2.htm" TargetMode="External"/><Relationship Id="rId147" Type="http://schemas.openxmlformats.org/officeDocument/2006/relationships/hyperlink" Target="http://www.sec.gov/Archives/edgar/data/917520/000091752017000002/exhibit10-formcicfebruary3.htm" TargetMode="External"/><Relationship Id="rId148" Type="http://schemas.openxmlformats.org/officeDocument/2006/relationships/hyperlink" Target="http://www.sec.gov/Archives/edgar/data/917520/000091752018000004/exhibit10_1xcicagmtxfeb2018.htm" TargetMode="External"/><Relationship Id="rId149" Type="http://schemas.openxmlformats.org/officeDocument/2006/relationships/hyperlink" Target="http://www.sec.gov/Archives/edgar/data/917520/000129993310004467/exhibit1.htm" TargetMode="External"/><Relationship Id="rId150" Type="http://schemas.openxmlformats.org/officeDocument/2006/relationships/hyperlink" Target="http://www.sec.gov/Archives/edgar/data/917520/000129993312000849/exhibit2.htm" TargetMode="External"/><Relationship Id="rId151" Type="http://schemas.openxmlformats.org/officeDocument/2006/relationships/hyperlink" Target="http://www.sec.gov/Archives/edgar/data/917520/000129993312002786/exhibit1.htm" TargetMode="External"/><Relationship Id="rId152" Type="http://schemas.openxmlformats.org/officeDocument/2006/relationships/hyperlink" Target="http://www.sec.gov/Archives/edgar/data/917520/000091752013000060/exhibit101-directorcompens.htm" TargetMode="External"/><Relationship Id="rId153" Type="http://schemas.openxmlformats.org/officeDocument/2006/relationships/hyperlink" Target="http://www.sec.gov/Archives/edgar/data/917520/000091752014000047/exhibit101-directorcompens.htm" TargetMode="External"/><Relationship Id="rId154" Type="http://schemas.openxmlformats.org/officeDocument/2006/relationships/hyperlink" Target="http://www.sec.gov/Archives/edgar/data/917520/000091752015000056/exhibit10_1xdecember17x2015.htm" TargetMode="External"/><Relationship Id="rId155" Type="http://schemas.openxmlformats.org/officeDocument/2006/relationships/hyperlink" Target="http://www.sec.gov/Archives/edgar/data/917520/000119312512326115/d364710dex104.htm" TargetMode="External"/><Relationship Id="rId156" Type="http://schemas.openxmlformats.org/officeDocument/2006/relationships/hyperlink" Target="http://www.sec.gov/Archives/edgar/data/917520/000091752013000023/iart-20121231xexx1038b.htm" TargetMode="External"/><Relationship Id="rId157" Type="http://schemas.openxmlformats.org/officeDocument/2006/relationships/hyperlink" Target="http://www.sec.gov/Archives/edgar/data/917520/000136231009002762/c81593exv10w1.htm" TargetMode="External"/><Relationship Id="rId158" Type="http://schemas.openxmlformats.org/officeDocument/2006/relationships/hyperlink" Target="http://www.sec.gov/Archives/edgar/data/917520/000119312512326115/d364710dex105.htm" TargetMode="External"/><Relationship Id="rId159" Type="http://schemas.openxmlformats.org/officeDocument/2006/relationships/hyperlink" Target="http://www.sec.gov/Archives/edgar/data/917520/000091752013000023/iart-20121231xexx1038e.htm" TargetMode="External"/><Relationship Id="rId160" Type="http://schemas.openxmlformats.org/officeDocument/2006/relationships/hyperlink" Target="http://www.sec.gov/Archives/edgar/data/917520/000136231009006565/c84477exv10w8.htm" TargetMode="External"/><Relationship Id="rId161" Type="http://schemas.openxmlformats.org/officeDocument/2006/relationships/hyperlink" Target="http://www.sec.gov/Archives/edgar/data/917520/000119312512326115/d364710dex106.htm" TargetMode="External"/><Relationship Id="rId162" Type="http://schemas.openxmlformats.org/officeDocument/2006/relationships/hyperlink" Target="http://www.sec.gov/Archives/edgar/data/917520/000091752013000023/iart-20121231xexx1038h.htm" TargetMode="External"/><Relationship Id="rId163" Type="http://schemas.openxmlformats.org/officeDocument/2006/relationships/hyperlink" Target="http://www.sec.gov/Archives/edgar/data/917520/000129993309001637/exhibit6.htm" TargetMode="External"/><Relationship Id="rId164" Type="http://schemas.openxmlformats.org/officeDocument/2006/relationships/hyperlink" Target="http://www.sec.gov/Archives/edgar/data/917520/000136231008008563/c78646exv10w4.htm" TargetMode="External"/><Relationship Id="rId165" Type="http://schemas.openxmlformats.org/officeDocument/2006/relationships/hyperlink" Target="http://www.sec.gov/Archives/edgar/data/917520/000091752008000034/ex10-1form8k6508.txt" TargetMode="External"/><Relationship Id="rId166" Type="http://schemas.openxmlformats.org/officeDocument/2006/relationships/hyperlink" Target="http://www.sec.gov/Archives/edgar/data/917520/000095012308005803/y51439exv10w37wb.htm" TargetMode="External"/><Relationship Id="rId167" Type="http://schemas.openxmlformats.org/officeDocument/2006/relationships/hyperlink" Target="http://www.sec.gov/Archives/edgar/data/917520/000129993310003662/exhibit4.htm" TargetMode="External"/><Relationship Id="rId168" Type="http://schemas.openxmlformats.org/officeDocument/2006/relationships/hyperlink" Target="http://www.sec.gov/Archives/edgar/data/917520/000129993310003662/exhibit5.htm" TargetMode="External"/><Relationship Id="rId169" Type="http://schemas.openxmlformats.org/officeDocument/2006/relationships/hyperlink" Target="http://www.sec.gov/Archives/edgar/data/917520/000129993310003662/exhibit6.htm" TargetMode="External"/><Relationship Id="rId170" Type="http://schemas.openxmlformats.org/officeDocument/2006/relationships/hyperlink" Target="http://www.sec.gov/Archives/edgar/data/917520/000129993310003662/exhibit7.htm" TargetMode="External"/><Relationship Id="rId171" Type="http://schemas.openxmlformats.org/officeDocument/2006/relationships/hyperlink" Target="http://www.sec.gov/Archives/edgar/data/0000917520/000119312512081503/d261286dex1039n.htm" TargetMode="External"/><Relationship Id="rId172" Type="http://schemas.openxmlformats.org/officeDocument/2006/relationships/hyperlink" Target="http://www.sec.gov/Archives/edgar/data/917520/000091752016000104/exhibit_10x1xdecemberx5x20.htm" TargetMode="External"/><Relationship Id="rId173" Type="http://schemas.openxmlformats.org/officeDocument/2006/relationships/hyperlink" Target="http://www.sec.gov/Archives/edgar/data/917520/000091752016000104/exhibit_10x2xdecemberx5x20.htm" TargetMode="External"/><Relationship Id="rId174" Type="http://schemas.openxmlformats.org/officeDocument/2006/relationships/hyperlink" Target="http://www.sec.gov/Archives/edgar/data/917520/000091752013000060/exhibit102-summaryofexecut.htm" TargetMode="External"/><Relationship Id="rId175" Type="http://schemas.openxmlformats.org/officeDocument/2006/relationships/hyperlink" Target="http://www.sec.gov/Archives/edgar/data/917520/000091752013000060/exhibit103-summaryofreimbu.htm" TargetMode="External"/><Relationship Id="rId176" Type="http://schemas.openxmlformats.org/officeDocument/2006/relationships/hyperlink" Target="http://www.sec.gov/Archives/edgar/data/917520/000095012308005803/y51439exv10w43wc.htm" TargetMode="External"/><Relationship Id="rId177" Type="http://schemas.openxmlformats.org/officeDocument/2006/relationships/hyperlink" Target="http://www.sec.gov/Archives/edgar/data/917520/000095012307008582/y35988exv10w1.htm" TargetMode="External"/><Relationship Id="rId178" Type="http://schemas.openxmlformats.org/officeDocument/2006/relationships/hyperlink" Target="http://www.sec.gov/Archives/edgar/data/917520/000095012307008582/y35988exv10w2.htm" TargetMode="External"/><Relationship Id="rId179" Type="http://schemas.openxmlformats.org/officeDocument/2006/relationships/hyperlink" Target="http://www.sec.gov/Archives/edgar/data/917520/000095012307008582/y35988exv10w4.htm" TargetMode="External"/><Relationship Id="rId180" Type="http://schemas.openxmlformats.org/officeDocument/2006/relationships/hyperlink" Target="http://www.sec.gov/Archives/edgar/data/917520/000095012311059255/w83072k1exv10w4.htm" TargetMode="External"/><Relationship Id="rId181" Type="http://schemas.openxmlformats.org/officeDocument/2006/relationships/hyperlink" Target="http://www.sec.gov/Archives/edgar/data/917520/000095012311059255/w83072k1exv10w8.htm" TargetMode="External"/><Relationship Id="rId182" Type="http://schemas.openxmlformats.org/officeDocument/2006/relationships/hyperlink" Target="http://www.sec.gov/Archives/edgar/data/917520/000095012311059255/w83072k1exv10w6.htm" TargetMode="External"/><Relationship Id="rId183" Type="http://schemas.openxmlformats.org/officeDocument/2006/relationships/hyperlink" Target="http://www.sec.gov/Archives/edgar/data/917520/000095012311059255/w83072k1exv10w2.htm" TargetMode="External"/><Relationship Id="rId184" Type="http://schemas.openxmlformats.org/officeDocument/2006/relationships/hyperlink" Target="http://www.sec.gov/Archives/edgar/data/917520/000095012311059255/w83072k1exv10w3.htm" TargetMode="External"/><Relationship Id="rId185" Type="http://schemas.openxmlformats.org/officeDocument/2006/relationships/hyperlink" Target="http://www.sec.gov/Archives/edgar/data/917520/000095012311059255/w83072k1exv10w7.htm" TargetMode="External"/><Relationship Id="rId186" Type="http://schemas.openxmlformats.org/officeDocument/2006/relationships/hyperlink" Target="http://www.sec.gov/Archives/edgar/data/917520/000095012311059255/w83072k1exv10w5.htm" TargetMode="External"/><Relationship Id="rId187" Type="http://schemas.openxmlformats.org/officeDocument/2006/relationships/hyperlink" Target="http://www.sec.gov/Archives/edgar/data/917520/000095012311059255/w83072k1exv10w1.htm" TargetMode="External"/><Relationship Id="rId188" Type="http://schemas.openxmlformats.org/officeDocument/2006/relationships/hyperlink" Target="http://www.sec.gov/Archives/edgar/data/917520/000095012311059255/w83072k1exv10w9.htm" TargetMode="External"/><Relationship Id="rId189" Type="http://schemas.openxmlformats.org/officeDocument/2006/relationships/hyperlink" Target="http://www.sec.gov/Archives/edgar/data/917520/000095012311059255/w83072k1exv10w10.htm" TargetMode="External"/><Relationship Id="rId190" Type="http://schemas.openxmlformats.org/officeDocument/2006/relationships/hyperlink" Target="http://www.sec.gov/Archives/edgar/data/917520/000095012311059255/w83072k1exv10w11.htm" TargetMode="External"/><Relationship Id="rId191" Type="http://schemas.openxmlformats.org/officeDocument/2006/relationships/hyperlink" Target="http://www.sec.gov/Archives/edgar/data/917520/000095012311059255/w83072k1exv10w12.htm" TargetMode="External"/><Relationship Id="rId192" Type="http://schemas.openxmlformats.org/officeDocument/2006/relationships/hyperlink" Target="http://www.sec.gov/Archives/edgar/data/917520/000095012311059255/w83072k1exv10w13.htm" TargetMode="External"/><Relationship Id="rId193" Type="http://schemas.openxmlformats.org/officeDocument/2006/relationships/hyperlink" Target="http://www.sec.gov/Archives/edgar/data/917520/000095012311059255/w83072k1exv10w14.htm" TargetMode="External"/><Relationship Id="rId194" Type="http://schemas.openxmlformats.org/officeDocument/2006/relationships/hyperlink" Target="http://www.sec.gov/Archives/edgar/data/917520/000095012311059255/w83072k1exv10w15.htm" TargetMode="External"/><Relationship Id="rId195" Type="http://schemas.openxmlformats.org/officeDocument/2006/relationships/hyperlink" Target="http://www.sec.gov/Archives/edgar/data/917520/000095012311059255/w83072k1exv10w16.htm" TargetMode="External"/><Relationship Id="rId196" Type="http://schemas.openxmlformats.org/officeDocument/2006/relationships/hyperlink" Target="http://www.sec.gov/Archives/edgar/data/917520/000136231008008623/c78732exv10w1.htm" TargetMode="External"/><Relationship Id="rId197" Type="http://schemas.openxmlformats.org/officeDocument/2006/relationships/hyperlink" Target="http://www.sec.gov/Archives/edgar/data/917520/000095012308009294/y65047exv10w10.htm" TargetMode="External"/><Relationship Id="rId198" Type="http://schemas.openxmlformats.org/officeDocument/2006/relationships/hyperlink" Target="http://www.sec.gov/Archives/edgar/data/917520/000136231009006565/c84477exv10w9.htm" TargetMode="External"/><Relationship Id="rId199" Type="http://schemas.openxmlformats.org/officeDocument/2006/relationships/hyperlink" Target="http://www.sec.gov/Archives/edgar/data/917520/000119312513279558/d559455dex101.htm" TargetMode="External"/><Relationship Id="rId200" Type="http://schemas.openxmlformats.org/officeDocument/2006/relationships/hyperlink" Target="http://www.sec.gov/Archives/edgar/data/917520/000119312514167356/d718001dex101.htm" TargetMode="External"/><Relationship Id="rId201" Type="http://schemas.openxmlformats.org/officeDocument/2006/relationships/hyperlink" Target="http://www.sec.gov/Archives/edgar/data/917520/000092963818001000/exhibit10-1.htm" TargetMode="External"/><Relationship Id="rId202" Type="http://schemas.openxmlformats.org/officeDocument/2006/relationships/hyperlink" Target="http://www.sec.gov/Archives/edgar/data/917520/000092963818001000/exhibit10-2.htm" TargetMode="External"/><Relationship Id="rId203" Type="http://schemas.openxmlformats.org/officeDocument/2006/relationships/hyperlink" Target="http://www.sec.gov/Archives/edgar/data/917520/000119312516759573/d193143dex121.htm" TargetMode="External"/><Relationship Id="rId204" Type="http://schemas.openxmlformats.org/officeDocument/2006/relationships/hyperlink" Target="http://www.sec.gov/Archives/edgar/data/917520/000091752014000015/iart-20140331xexx18.htm" TargetMode="External"/><Relationship Id="rId205" Type="http://schemas.openxmlformats.org/officeDocument/2006/relationships/hyperlink" Target="http://www.sec.gov/Archives/edgar/data/917520/000119312512326115/d364710dex181.htm" TargetMode="External"/><Relationship Id="rId206" Type="http://schemas.openxmlformats.org/officeDocument/2006/relationships/hyperlink" Target="http://www.sec.gov/Archives/edgar/data/917520/000119312512003597/d276820dex991.htm" TargetMode="External"/><Relationship Id="rId207" Type="http://schemas.openxmlformats.org/officeDocument/2006/relationships/hyperlink" Target="http://www.sec.gov/Archives/edgar/data/917520/000119312512326115/d364710dex991.htm" TargetMode="External"/><Relationship Id="rId208" Type="http://schemas.openxmlformats.org/officeDocument/2006/relationships/hyperlink" Target="http://www.sec.gov/Archives/edgar/data/917520/000119312512465243/d434963dex991.htm" TargetMode="External"/><Relationship Id="rId209" Type="http://schemas.openxmlformats.org/officeDocument/2006/relationships/hyperlink" Target="http://www.sec.gov/Archives/edgar/data/917520/000119312513065171/d487711dex991.htm" TargetMode="External"/><Relationship Id="rId210" Type="http://schemas.openxmlformats.org/officeDocument/2006/relationships/hyperlink" Target="http://www.sec.gov/Archives/edgar/data/917520/000119312513381070/d606108dex991.htm" TargetMode="External"/><Relationship Id="rId211" Type="http://schemas.openxmlformats.org/officeDocument/2006/relationships/hyperlink" Target="http://www.sec.gov/Archives/edgar/data/917520/000119312513459946/d637741dex991.htm" TargetMode="External"/><Relationship Id="rId212" Type="http://schemas.openxmlformats.org/officeDocument/2006/relationships/hyperlink" Target="http://www.sec.gov/Archives/edgar/data/917520/000119312515014048/d854281dex991.htm" TargetMode="External"/><Relationship Id="rId213" Type="http://schemas.openxmlformats.org/officeDocument/2006/relationships/hyperlink" Target="http://www.sec.gov/Archives/edgar/data/917520/000091752015000033/iart-20150630xex991.htm" TargetMode="External"/><Relationship Id="rId214" Type="http://schemas.openxmlformats.org/officeDocument/2006/relationships/hyperlink" Target="http://www.sec.gov/Archives/edgar/data/917520/000091752015000033/iart-20150630x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2019-12-28T16:15:00Z</dcterms:created>
  <dcterms:modified xsi:type="dcterms:W3CDTF">2019-12-28T16:15:00Z</dcterms:modified>
</cp:coreProperties>
</file>