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INTEGRA LIFESCIENCES HOLDINGS CORPORATION</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-3086100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-1611630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26" w:right="479" w:bottom="104"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-144780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488950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532130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1"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499745</wp:posOffset>
            </wp:positionV>
            <wp:extent cx="160337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 ENTERPRISE DRIVE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PLAINSBORO, NEW JERSEY 08536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MAY 20, 2014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Integra LifeSciences Holdings Corporation:</w:t>
      </w:r>
    </w:p>
    <w:p>
      <w:pPr>
        <w:spacing w:after="0" w:line="144"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NOTICE IS HEREBY GIVEN that the 2014 Annual Meeting of Stockholders (the “Meeting”) of Integra LifeSciences Holdings Corporation (the “Company”) will be held as, and for the purposes, set forth below:</w:t>
      </w:r>
    </w:p>
    <w:p>
      <w:pPr>
        <w:sectPr>
          <w:pgSz w:w="11900" w:h="16838" w:orient="portrait"/>
          <w:cols w:equalWidth="0" w:num="1">
            <w:col w:w="11400"/>
          </w:cols>
          <w:pgMar w:left="240" w:top="455" w:right="259" w:bottom="1440" w:gutter="0" w:footer="0" w:header="0"/>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9:00 a.m. local time on Tuesday, May 20, 2014</w:t>
      </w:r>
    </w:p>
    <w:p>
      <w:pPr>
        <w:spacing w:after="0" w:line="193"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Integra LifeSciences Holdings Corporation Corporate Headquarters, 315 Enterprise Drive, Plainsboro, New Jersey 08536</w:t>
      </w:r>
    </w:p>
    <w:p>
      <w:pPr>
        <w:spacing w:after="0" w:line="194"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ITEMS OF BUSINESS</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Times New Roman" w:cs="Times New Roman" w:eastAsia="Times New Roman" w:hAnsi="Times New Roman"/>
          <w:sz w:val="18"/>
          <w:szCs w:val="18"/>
          <w:color w:val="auto"/>
        </w:rPr>
        <w:t>1. To elect ten directors of the Company to serve until the next annual meeting of stockholders and until their successors are duly elected and qualified.</w:t>
      </w:r>
    </w:p>
    <w:p>
      <w:pPr>
        <w:spacing w:after="0" w:line="106"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ind w:left="2860" w:right="20"/>
        <w:spacing w:after="0" w:line="275" w:lineRule="auto"/>
        <w:rPr>
          <w:sz w:val="20"/>
          <w:szCs w:val="20"/>
          <w:color w:val="auto"/>
        </w:rPr>
      </w:pPr>
      <w:r>
        <w:rPr>
          <w:rFonts w:ascii="Times New Roman" w:cs="Times New Roman" w:eastAsia="Times New Roman" w:hAnsi="Times New Roman"/>
          <w:sz w:val="18"/>
          <w:szCs w:val="18"/>
          <w:color w:val="auto"/>
        </w:rPr>
        <w:t>2. To ratify the appointment of PricewaterhouseCoopers LLP as the Company’s independent registered public accounting firm for the fiscal year 2014.</w:t>
      </w:r>
    </w:p>
    <w:p>
      <w:pPr>
        <w:spacing w:after="0" w:line="10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 To vote on a non-binding resolution to approve the compensation of our named executive officers.</w:t>
      </w:r>
    </w:p>
    <w:p>
      <w:pPr>
        <w:spacing w:after="0" w:line="15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4. To act upon any other matters properly coming before the Meeting or any adjournment or postponement thereof.</w:t>
      </w:r>
    </w:p>
    <w:p>
      <w:pPr>
        <w:sectPr>
          <w:pgSz w:w="11900" w:h="16838" w:orient="portrait"/>
          <w:cols w:equalWidth="0" w:num="1">
            <w:col w:w="11400"/>
          </w:cols>
          <w:pgMar w:left="240" w:top="455" w:right="25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RECORD 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of record of the Company’s common stock at the close of business on March 31, 2014 are entitled to notice of, and to vote at, the Meeting and any adjournment or postponement thereof. A complete list of stockholders entitled to vote at the Meeting will be available for inspection by any stockholder for any purpose germane to the Meeting for ten days prior to the Meeting during ordinary business hours at the Company’s headquarters located at 311 Enterprise Drive, Plainsboro, New Jersey.</w:t>
      </w:r>
    </w:p>
    <w:p>
      <w:pPr>
        <w:spacing w:after="0" w:line="125"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ANNUAL REPORT</w:t>
      </w:r>
    </w:p>
    <w:p>
      <w:pPr>
        <w:spacing w:after="0" w:line="20" w:lineRule="exact"/>
        <w:rPr>
          <w:sz w:val="20"/>
          <w:szCs w:val="20"/>
          <w:color w:val="auto"/>
        </w:rPr>
      </w:pPr>
      <w:r>
        <w:rPr>
          <w:sz w:val="20"/>
          <w:szCs w:val="20"/>
          <w:color w:val="auto"/>
        </w:rPr>
        <w:br w:type="column"/>
      </w:r>
    </w:p>
    <w:p>
      <w:pPr>
        <w:ind w:right="280"/>
        <w:spacing w:after="0" w:line="275" w:lineRule="auto"/>
        <w:rPr>
          <w:sz w:val="20"/>
          <w:szCs w:val="20"/>
          <w:color w:val="auto"/>
        </w:rPr>
      </w:pPr>
      <w:r>
        <w:rPr>
          <w:rFonts w:ascii="Times New Roman" w:cs="Times New Roman" w:eastAsia="Times New Roman" w:hAnsi="Times New Roman"/>
          <w:sz w:val="18"/>
          <w:szCs w:val="18"/>
          <w:color w:val="auto"/>
        </w:rPr>
        <w:t>The 2013 Annual Report of Integra LifeSciences Holdings Corporation is being mailed simultaneously herewith. The Annual Report is not to be considered part of the proxy solicitation materials.</w:t>
      </w:r>
    </w:p>
    <w:p>
      <w:pPr>
        <w:spacing w:after="0" w:line="106"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IMPORTANT</w:t>
      </w:r>
    </w:p>
    <w:p>
      <w:pPr>
        <w:spacing w:after="0" w:line="20" w:lineRule="exact"/>
        <w:rPr>
          <w:sz w:val="20"/>
          <w:szCs w:val="20"/>
          <w:color w:val="auto"/>
        </w:rPr>
      </w:pPr>
      <w:r>
        <w:rPr>
          <w:sz w:val="20"/>
          <w:szCs w:val="20"/>
          <w:color w:val="auto"/>
        </w:rPr>
        <w:br w:type="column"/>
      </w:r>
    </w:p>
    <w:p>
      <w:pPr>
        <w:ind w:right="60"/>
        <w:spacing w:after="0" w:line="262" w:lineRule="auto"/>
        <w:rPr>
          <w:sz w:val="20"/>
          <w:szCs w:val="20"/>
          <w:color w:val="auto"/>
        </w:rPr>
      </w:pPr>
      <w:r>
        <w:rPr>
          <w:rFonts w:ascii="Times New Roman" w:cs="Times New Roman" w:eastAsia="Times New Roman" w:hAnsi="Times New Roman"/>
          <w:sz w:val="18"/>
          <w:szCs w:val="18"/>
          <w:color w:val="auto"/>
        </w:rPr>
        <w:t>In order to avoid additional soliciting expense to the Company, please MARK, SIGN, DATE and MAIL your proxy PROMPTLY in the return envelope provided, even if you plan to attend the Meeting. If you attend the Meeting and wish to vote your shares in person, arrangements will be made for you to do so.</w:t>
      </w:r>
    </w:p>
    <w:p>
      <w:pPr>
        <w:spacing w:after="0" w:line="119"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ind w:left="6860"/>
        <w:spacing w:after="0"/>
        <w:rPr>
          <w:sz w:val="20"/>
          <w:szCs w:val="20"/>
          <w:color w:val="auto"/>
        </w:rPr>
      </w:pPr>
      <w:r>
        <w:rPr>
          <w:rFonts w:ascii="Times New Roman" w:cs="Times New Roman" w:eastAsia="Times New Roman" w:hAnsi="Times New Roman"/>
          <w:sz w:val="16"/>
          <w:szCs w:val="16"/>
          <w:color w:val="auto"/>
        </w:rPr>
        <w:t>By order of the Board of Directors,</w:t>
      </w:r>
    </w:p>
    <w:p>
      <w:pPr>
        <w:sectPr>
          <w:pgSz w:w="11900" w:h="16838" w:orient="portrait"/>
          <w:cols w:equalWidth="0" w:num="1">
            <w:col w:w="11400"/>
          </w:cols>
          <w:pgMar w:left="240" w:top="455" w:right="259" w:bottom="1440" w:gutter="0" w:footer="0" w:header="0"/>
          <w:type w:val="continuous"/>
        </w:sectPr>
      </w:pPr>
    </w:p>
    <w:p>
      <w:pPr>
        <w:spacing w:after="0" w:line="35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D. G</w:t>
      </w:r>
      <w:r>
        <w:rPr>
          <w:rFonts w:ascii="Times New Roman" w:cs="Times New Roman" w:eastAsia="Times New Roman" w:hAnsi="Times New Roman"/>
          <w:sz w:val="14"/>
          <w:szCs w:val="14"/>
          <w:color w:val="auto"/>
        </w:rPr>
        <w:t>ORELICK</w:t>
      </w:r>
    </w:p>
    <w:p>
      <w:pPr>
        <w:spacing w:after="0" w:line="117" w:lineRule="exact"/>
        <w:rPr>
          <w:sz w:val="20"/>
          <w:szCs w:val="20"/>
          <w:color w:val="auto"/>
        </w:rPr>
      </w:pPr>
    </w:p>
    <w:p>
      <w:pPr>
        <w:sectPr>
          <w:pgSz w:w="11900" w:h="16838" w:orient="portrait"/>
          <w:cols w:equalWidth="0" w:num="2">
            <w:col w:w="7080" w:space="180"/>
            <w:col w:w="4140"/>
          </w:cols>
          <w:pgMar w:left="240" w:top="455" w:right="259" w:bottom="1440" w:gutter="0" w:footer="0" w:header="0"/>
          <w:type w:val="continuous"/>
        </w:sectPr>
      </w:pPr>
    </w:p>
    <w:p>
      <w:pPr>
        <w:ind w:left="6900"/>
        <w:spacing w:after="0"/>
        <w:rPr>
          <w:sz w:val="20"/>
          <w:szCs w:val="20"/>
          <w:color w:val="auto"/>
        </w:rPr>
      </w:pPr>
      <w:r>
        <w:rPr>
          <w:rFonts w:ascii="Times New Roman" w:cs="Times New Roman" w:eastAsia="Times New Roman" w:hAnsi="Times New Roman"/>
          <w:sz w:val="18"/>
          <w:szCs w:val="18"/>
          <w:color w:val="auto"/>
        </w:rPr>
        <w:t>Richard D. Gorelick</w:t>
      </w:r>
    </w:p>
    <w:p>
      <w:pPr>
        <w:spacing w:after="0" w:line="2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i w:val="1"/>
          <w:iCs w:val="1"/>
          <w:color w:val="auto"/>
        </w:rPr>
        <w:t>Corporate Vice President, General Counsel,</w:t>
      </w:r>
    </w:p>
    <w:p>
      <w:pPr>
        <w:spacing w:after="0" w:line="3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Administration and Secretary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Plainsboro,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2014</w:t>
      </w:r>
    </w:p>
    <w:p>
      <w:pPr>
        <w:sectPr>
          <w:pgSz w:w="11900" w:h="16838" w:orient="portrait"/>
          <w:cols w:equalWidth="0" w:num="1">
            <w:col w:w="11400"/>
          </w:cols>
          <w:pgMar w:left="240" w:top="455" w:right="25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If you do not vote your shares on the Election of Directors, your brokerage firm may not vote them for you; your shares will remain unvoted.</w:t>
      </w:r>
    </w:p>
    <w:p>
      <w:pPr>
        <w:spacing w:after="0" w:line="11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120"/>
          </w:cols>
          <w:pgMar w:left="24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259"/>
        </w:trPr>
        <w:tc>
          <w:tcPr>
            <w:tcW w:w="1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Purpose of Meeting</w:t>
              </w:r>
            </w:hyperlink>
          </w:p>
        </w:tc>
        <w:tc>
          <w:tcPr>
            <w:tcW w:w="7460" w:type="dxa"/>
            <w:vAlign w:val="bottom"/>
            <w:gridSpan w:val="23"/>
          </w:tcPr>
          <w:p>
            <w:pPr>
              <w:spacing w:after="0"/>
              <w:rPr>
                <w:sz w:val="22"/>
                <w:szCs w:val="22"/>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Record Date</w:t>
              </w:r>
            </w:hyperlink>
          </w:p>
        </w:tc>
        <w:tc>
          <w:tcPr>
            <w:tcW w:w="7960" w:type="dxa"/>
            <w:vAlign w:val="bottom"/>
            <w:gridSpan w:val="2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Voting and Revocability of Proxies</w:t>
              </w:r>
            </w:hyperlink>
          </w:p>
        </w:tc>
        <w:tc>
          <w:tcPr>
            <w:tcW w:w="638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Proposal 1: Election of Directors</w:t>
              </w:r>
            </w:hyperlink>
          </w:p>
        </w:tc>
        <w:tc>
          <w:tcPr>
            <w:tcW w:w="654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Information Concerning Meetings, Executive Sessions and Certain Committees</w:t>
              </w:r>
            </w:hyperlink>
          </w:p>
        </w:tc>
        <w:tc>
          <w:tcPr>
            <w:tcW w:w="32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Director Qualifications</w:t>
              </w:r>
            </w:hyperlink>
          </w:p>
        </w:tc>
        <w:tc>
          <w:tcPr>
            <w:tcW w:w="722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Board Leadership Structure</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The Board’s Role in Risk Oversight</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Risk Assessment Regarding Compensation Policies and Practices</w:t>
              </w:r>
            </w:hyperlink>
          </w:p>
        </w:tc>
        <w:tc>
          <w:tcPr>
            <w:tcW w:w="424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Director Attendance at Annual Meetings: Shareholder Communications with Directors</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7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Information About Executive Officers</w:t>
              </w:r>
            </w:hyperlink>
          </w:p>
        </w:tc>
        <w:tc>
          <w:tcPr>
            <w:tcW w:w="3400" w:type="dxa"/>
            <w:vAlign w:val="bottom"/>
            <w:tcBorders>
              <w:top w:val="single" w:sz="8" w:color="0000EE"/>
            </w:tcBorders>
            <w:gridSpan w:val="11"/>
          </w:tcPr>
          <w:p>
            <w:pPr>
              <w:spacing w:after="0"/>
              <w:rPr>
                <w:sz w:val="17"/>
                <w:szCs w:val="17"/>
                <w:color w:val="auto"/>
              </w:rPr>
            </w:pPr>
          </w:p>
        </w:tc>
        <w:tc>
          <w:tcPr>
            <w:tcW w:w="27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53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Proposal 2: Ratification of Independent Registered Public Accounting Firm</w:t>
              </w:r>
            </w:hyperlink>
          </w:p>
        </w:tc>
        <w:tc>
          <w:tcPr>
            <w:tcW w:w="354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Proposal 3: Advisory Vote on Named Executive Officer Compensation</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8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Compensation Discussion and Analysis</w:t>
              </w:r>
            </w:hyperlink>
          </w:p>
        </w:tc>
        <w:tc>
          <w:tcPr>
            <w:tcW w:w="2180" w:type="dxa"/>
            <w:vAlign w:val="bottom"/>
            <w:tcBorders>
              <w:top w:val="single" w:sz="8" w:color="0000EE"/>
            </w:tcBorders>
            <w:gridSpan w:val="6"/>
          </w:tcPr>
          <w:p>
            <w:pPr>
              <w:spacing w:after="0"/>
              <w:rPr>
                <w:sz w:val="17"/>
                <w:szCs w:val="17"/>
                <w:color w:val="auto"/>
              </w:rPr>
            </w:pPr>
          </w:p>
        </w:tc>
        <w:tc>
          <w:tcPr>
            <w:tcW w:w="38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Compensation Committee Report</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Compensation of Executive Officers</w:t>
              </w:r>
            </w:hyperlink>
          </w:p>
        </w:tc>
        <w:tc>
          <w:tcPr>
            <w:tcW w:w="628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Director Compensation</w:t>
              </w:r>
            </w:hyperlink>
          </w:p>
        </w:tc>
        <w:tc>
          <w:tcPr>
            <w:tcW w:w="720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2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Equity Compensation Plan Information</w:t>
              </w:r>
            </w:hyperlink>
          </w:p>
        </w:tc>
        <w:tc>
          <w:tcPr>
            <w:tcW w:w="608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Compensation Committee Interlocks and Insider Participation</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3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Certain Relationships and Related Transactions</w:t>
              </w:r>
            </w:hyperlink>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Audit Committee Report</w:t>
              </w:r>
            </w:hyperlink>
          </w:p>
        </w:tc>
        <w:tc>
          <w:tcPr>
            <w:tcW w:w="710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Section 16(a) Beneficial Ownership Reporting Compliance</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4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Stockholder Proposals</w:t>
              </w:r>
            </w:hyperlink>
          </w:p>
        </w:tc>
        <w:tc>
          <w:tcPr>
            <w:tcW w:w="470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6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Other Matters</w:t>
              </w:r>
            </w:hyperlink>
          </w:p>
        </w:tc>
        <w:tc>
          <w:tcPr>
            <w:tcW w:w="726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740" w:type="dxa"/>
            <w:vAlign w:val="bottom"/>
            <w:gridSpan w:val="19"/>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84">
              <w:r>
                <w:rPr>
                  <w:rFonts w:ascii="Times New Roman" w:cs="Times New Roman" w:eastAsia="Times New Roman" w:hAnsi="Times New Roman"/>
                  <w:sz w:val="18"/>
                  <w:szCs w:val="18"/>
                  <w:color w:val="0000EE"/>
                  <w:w w:val="97"/>
                </w:rPr>
                <w:t>Appendix A — Reconciliations of Non-GAAP Financial Measures</w:t>
              </w:r>
            </w:hyperlink>
          </w:p>
        </w:tc>
        <w:tc>
          <w:tcPr>
            <w:tcW w:w="414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10219"/>
          </w:cols>
          <w:pgMar w:left="240" w:top="455"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INTEGRA LIFESCIENCES HOLDINGS CORPORATION</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311 ENTERPRISE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116840</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ON MAY 20, 2014</w:t>
      </w:r>
    </w:p>
    <w:p>
      <w:pPr>
        <w:spacing w:after="0" w:line="58" w:lineRule="exact"/>
        <w:rPr>
          <w:sz w:val="20"/>
          <w:szCs w:val="20"/>
          <w:color w:val="auto"/>
        </w:rPr>
      </w:pPr>
    </w:p>
    <w:p>
      <w:pPr>
        <w:jc w:val="center"/>
        <w:ind w:left="260" w:right="1920"/>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20, 2014. The proxy statement and annual report to security holders are available on our internet site at http://investor.integralife.com/financials.cfm</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PURPOSE OF MEETING</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providing this Proxy Statement to holders of our common stock in connection with the solicitation by the Board of Directors of Integra LifeSciences Holdings Corporation (the “Company”) of proxies to be voted at the Company’s 2014 Annual Meeting of Stockholders (the “Meeting”) and at any adjournments or postponements thereof. The Meeting will begin at 9:00 a.m. local time on Tuesday, May 20, 2014 at the Company’s Corporate Headquarters, 315 Enterprise Drive, Plainsboro, New Jersey. We are first mailing this Proxy Statement, the Notice of Annual Meeting of Stockholders and the form of proxy to stockholders of the Company on or about April 14, 2014.</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Meeting, we will ask the stockholders of the Company to consider and vote upon:</w:t>
      </w:r>
    </w:p>
    <w:p>
      <w:pPr>
        <w:spacing w:after="0" w:line="90" w:lineRule="exact"/>
        <w:rPr>
          <w:sz w:val="20"/>
          <w:szCs w:val="20"/>
          <w:color w:val="auto"/>
        </w:rPr>
      </w:pPr>
    </w:p>
    <w:p>
      <w:pPr>
        <w:ind w:left="460" w:right="300" w:firstLine="443"/>
        <w:spacing w:after="0" w:line="275"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ten directors to serve until the next annual meeting of stockholders and until their successors are duly elected and qualified (see “Proposal 1. Election of Directors”);</w:t>
      </w:r>
    </w:p>
    <w:p>
      <w:pPr>
        <w:spacing w:after="0" w:line="38" w:lineRule="exact"/>
        <w:rPr>
          <w:rFonts w:ascii="Times New Roman" w:cs="Times New Roman" w:eastAsia="Times New Roman" w:hAnsi="Times New Roman"/>
          <w:sz w:val="18"/>
          <w:szCs w:val="18"/>
          <w:color w:val="auto"/>
        </w:rPr>
      </w:pPr>
    </w:p>
    <w:p>
      <w:pPr>
        <w:ind w:left="460" w:firstLine="443"/>
        <w:spacing w:after="0" w:line="275" w:lineRule="auto"/>
        <w:tabs>
          <w:tab w:leader="none" w:pos="11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 for the fiscal year 2014 (see “Proposal 2. Ratification of Independent Registered Public Accounting Firm”); and</w:t>
      </w:r>
    </w:p>
    <w:p>
      <w:pPr>
        <w:spacing w:after="0" w:line="38" w:lineRule="exact"/>
        <w:rPr>
          <w:rFonts w:ascii="Times New Roman" w:cs="Times New Roman" w:eastAsia="Times New Roman" w:hAnsi="Times New Roman"/>
          <w:sz w:val="18"/>
          <w:szCs w:val="18"/>
          <w:color w:val="auto"/>
        </w:rPr>
      </w:pPr>
    </w:p>
    <w:p>
      <w:pPr>
        <w:ind w:left="460" w:right="300" w:firstLine="443"/>
        <w:spacing w:after="0" w:line="275" w:lineRule="auto"/>
        <w:tabs>
          <w:tab w:leader="none" w:pos="12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resolution to approve the compensation of our named executive officers (see “Proposal 3. Advisory Vote on Named Executive Officer Compensation”).</w:t>
      </w:r>
    </w:p>
    <w:p>
      <w:pPr>
        <w:spacing w:after="0" w:line="39"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92"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As of March 31, 2014, the record date for the Meeting, 32,581,271 shares of our common stock were outstanding. Only holders of record of our common stock as of the close of business on the record date are entitled to notice of, and to vote at, the Meeting or at any adjournment or postponement thereof.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REVOCABILITY OF PROXIES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2014 fiscal year (Proposal 2). In all other instances, brokers and other shareowners of record who serve as nominees for a beneficial owner may not vote on a proposal without having voting instructions from the beneficial owner.</w:t>
      </w:r>
    </w:p>
    <w:p>
      <w:pPr>
        <w:spacing w:after="0" w:line="2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55" w:lineRule="exact"/>
        <w:rPr>
          <w:sz w:val="20"/>
          <w:szCs w:val="20"/>
          <w:color w:val="auto"/>
        </w:rPr>
      </w:pPr>
    </w:p>
    <w:p>
      <w:pPr>
        <w:jc w:val="both"/>
        <w:ind w:right="60" w:firstLine="456"/>
        <w:spacing w:after="0" w:line="301" w:lineRule="auto"/>
        <w:rPr>
          <w:sz w:val="20"/>
          <w:szCs w:val="20"/>
          <w:color w:val="auto"/>
        </w:rPr>
      </w:pPr>
      <w:r>
        <w:rPr>
          <w:rFonts w:ascii="Times New Roman" w:cs="Times New Roman" w:eastAsia="Times New Roman" w:hAnsi="Times New Roman"/>
          <w:sz w:val="16"/>
          <w:szCs w:val="16"/>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2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AST Phoenix Advisors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92"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The Board of Directors has nominated ten persons for election as directors who will serve until the next annual meeting of stockholders and until their successors are duly elected and qualified: Peter J. Arduini, Keith Bradley, Ph.D., Richard E. Caruso, Ph.D., Stuart M. Essig, Ph.D., Barbara B. Hill, Lloyd W. Howell, Jr., Donald E. Morel, Jr., Ph.D., Raymond G. Murphy, Christian S. Schade and James M. Sullivan, each of whom are currently directors of the Company.</w:t>
      </w:r>
    </w:p>
    <w:p>
      <w:pPr>
        <w:spacing w:after="0" w:line="1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4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 J. ARDUINI </w:t>
      </w:r>
      <w:r>
        <w:rPr>
          <w:rFonts w:ascii="Times New Roman" w:cs="Times New Roman" w:eastAsia="Times New Roman" w:hAnsi="Times New Roman"/>
          <w:sz w:val="18"/>
          <w:szCs w:val="18"/>
          <w:color w:val="auto"/>
        </w:rPr>
        <w:t>is Integra’s President and Chief Executive Officer and a director. He joined Integra in November 2010 as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 Mr. Arduini is 49 years old.</w:t>
      </w:r>
    </w:p>
    <w:p>
      <w:pPr>
        <w:spacing w:after="0" w:line="5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KEITH BRADLEY, PH.D. </w:t>
      </w:r>
      <w:r>
        <w:rPr>
          <w:rFonts w:ascii="Times New Roman" w:cs="Times New Roman" w:eastAsia="Times New Roman" w:hAnsi="Times New Roman"/>
          <w:sz w:val="18"/>
          <w:szCs w:val="18"/>
          <w:color w:val="auto"/>
        </w:rPr>
        <w:t>has been a director of the Company since 1992. Between 1996 and 2003, he was a director of Highway Insurance plc,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is an adviser to RPH Capital, Canada. He previously served as a director and chair of North Star Capital Management Limited and GRS Financial Solutions Limited. Dr. Bradley is 69 years old.</w:t>
      </w:r>
    </w:p>
    <w:p>
      <w:pPr>
        <w:spacing w:after="0" w:line="54"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RICHARD E. CARUSO, PH.D. </w:t>
      </w:r>
      <w:r>
        <w:rPr>
          <w:rFonts w:ascii="Times New Roman" w:cs="Times New Roman" w:eastAsia="Times New Roman" w:hAnsi="Times New Roman"/>
          <w:sz w:val="16"/>
          <w:szCs w:val="16"/>
          <w:color w:val="auto"/>
        </w:rPr>
        <w:t>founded the Company in 1989 and served as the Company’s Chairman from March 1992 until January 2012 and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 since March 1992. Dr. Caruso is currently the President and a member of The Provco Group, a venture and real estate investment company, an advisor to Quaker BioVentures, a medical venture capital financial investor, a member of the Board of Directors of Diasome Pharmaceuticals, LLC, a start-up company, and an advisor to NewSpring Capital and ePlanet Ventures II, both diversified venture capital financial investors. Further, he serves as the Chief Executive Officer of Smart Personalized Medicine, LLC and Chairman and Chief Executive Officer of CeeLite Technologies, LLC.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w:t>
      </w:r>
    </w:p>
    <w:p>
      <w:pPr>
        <w:spacing w:after="0" w:line="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 Ph.D. degree from the London School of Economics, University of London (United Kingdom), and an honorary Ph.D. degree in medical engineering from Drexel University. Dr. Caruso is 70 years old.</w:t>
      </w:r>
    </w:p>
    <w:p>
      <w:pPr>
        <w:spacing w:after="0" w:line="55" w:lineRule="exact"/>
        <w:rPr>
          <w:sz w:val="20"/>
          <w:szCs w:val="20"/>
          <w:color w:val="auto"/>
        </w:rPr>
      </w:pPr>
    </w:p>
    <w:p>
      <w:pPr>
        <w:jc w:val="both"/>
        <w:ind w:right="2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STUART M. ESSIG, PH.D. </w:t>
      </w:r>
      <w:r>
        <w:rPr>
          <w:rFonts w:ascii="Times New Roman" w:cs="Times New Roman" w:eastAsia="Times New Roman" w:hAnsi="Times New Roman"/>
          <w:sz w:val="18"/>
          <w:szCs w:val="18"/>
          <w:color w:val="auto"/>
        </w:rPr>
        <w:t>is Integra’s Chairman of the Board of Directors. He has been our Chairman since January 2012 and a director since he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 in December 1997. He also served as our Chief Executive Officer from December 1997 until January 2012. In addition, he served as our President from December 1997 until November 2010. He currently serves as Managing Director of Prettybrook Partners LLC. Before joining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 Dr. Essig has chaired Audit, Compensation and Nominating and Governance Committees and served on the boards of several NASDAQ and NYSE listed companies ranging in size from several hundred million dollars to $20 billion in market capitalization. Dr. Essig currently serves on the Board of Directors of St. Jude Medical Corporation and Owens &amp; Minor, Inc. and as Chairman of the Board of Directors of Breg, Inc. He is a founding investor member of Tigerlabs, a Princeton-based accelerator. He is an Executive in Residence at Cardinal Partners and a Venture Partner at Wellington Partners Advisory AG, both venture capital firms and serves as a Senior Advisor to TowerBrook Capital Partners. From March 2005 until August 2008, he served on the Board of Directors of Zimmer Holdings, Inc., and from 1998 to 2002 he served on the Board of Directors of Vital Signs, Inc. Dr. Essig has also served on the executive committee, nominating and governance committee and as treasurer of ADVAMED, the Advanced Medical Technology Association. Dr. Essig is also involved in several non-profit charitable organizations, including from time to time having served on the boards of such organizations. Dr. Essig received an A.B. degree, and graduated with magna cum laude honors from the Woodrow Wilson School of Public and International Affairs at Princeton University and an M.B.A. and a Ph.D. degree in Financial Economics from the University of Chicago, Graduate School of Business. Dr. Essig is 52 years old.</w:t>
      </w:r>
    </w:p>
    <w:p>
      <w:pPr>
        <w:spacing w:after="0" w:line="25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BARBARA B. HILL </w:t>
      </w:r>
      <w:r>
        <w:rPr>
          <w:rFonts w:ascii="Times New Roman" w:cs="Times New Roman" w:eastAsia="Times New Roman" w:hAnsi="Times New Roman"/>
          <w:sz w:val="18"/>
          <w:szCs w:val="18"/>
          <w:color w:val="auto"/>
        </w:rPr>
        <w:t>has been a director of the Company since May 2013. Ms. Hill is currently an Operating Partner of Moelis Capital Partners,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firm, where she focuses on healthcare-related investments and providing strategic operating support for its healthcare portfolio companies. She has served as an Operating Partner of Moelis Capital Partners since March 2011. From March 2006 to September 2010, Ms. Hill served as Chief Executive Officer and a director of ValueOptions, Inc., a managed behavioral health company, and FHC Health Systems, Inc., its parent company. Prior to that, from August 2004 to March 2006, she served as Chairman and Chief Executive Officer of Woodhaven Health Services, an institutional pharmacy company. In addition, from 2002 to 2003,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or committees of the Association of Health Insurance Plans and other health insurance industry groups. Currently, she serves as a board member as well as a member of the compensation committee of St. Jude Medical Corporation, a medical device company. In addition, Ms. Hill serves as a board member and a member of the audit committee of Omega Healthcare Investors, Inc., a Maryland real estate investment trust. Ms. Hill also serves as a board member of Revera Inc., a Canadian company operating seniors’ facilities throughout Canada and the United States. Ms. Hill received B.A and M.S. degrees from the Johns Hopkins University. She is 61 years old.</w:t>
      </w:r>
    </w:p>
    <w:p>
      <w:pPr>
        <w:spacing w:after="0" w:line="56"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LLOYD W. HOWELL, JR. </w:t>
      </w:r>
      <w:r>
        <w:rPr>
          <w:rFonts w:ascii="Times New Roman" w:cs="Times New Roman" w:eastAsia="Times New Roman" w:hAnsi="Times New Roman"/>
          <w:sz w:val="16"/>
          <w:szCs w:val="16"/>
          <w:color w:val="auto"/>
        </w:rPr>
        <w:t>has been a director of the Company since March 2013. Mr. Howell is an Executive Vice President at Booz Allen Hamilton,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 he has held a variety of leadership positions since originally joining the firm in 1988 as a consultant. He currently serves as the Civilian Market Group Leader of Booz Allen Hamilton. From 2009 to 2013, he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 group that he has been a member of since 1995. Prior to that, from 1993 to 1995, he worked at Goldman Sachs as an Associate in their Investment Banking Division. Currently,</w:t>
      </w:r>
    </w:p>
    <w:p>
      <w:pPr>
        <w:spacing w:after="0" w:line="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Mr. Howell is a board member of the United Negro College Fund, Partnership for Public Service, Capital Partners for Education, Management Leadership for Tomorrow, the Committee for Economic Development and the University of Pennsylvania’s Engineering School. Mr. Howell received a B.S. in Electrical Engineering from the University of Pennsylvania and an M.B.A. from Harvard University. Mr. Howell is 47 years old.</w:t>
      </w:r>
    </w:p>
    <w:p>
      <w:pPr>
        <w:spacing w:after="0" w:line="55" w:lineRule="exact"/>
        <w:rPr>
          <w:sz w:val="20"/>
          <w:szCs w:val="20"/>
          <w:color w:val="auto"/>
        </w:rPr>
      </w:pPr>
    </w:p>
    <w:p>
      <w:pPr>
        <w:jc w:val="both"/>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DONALD E. MOREL, JR., PH.D. </w:t>
      </w:r>
      <w:r>
        <w:rPr>
          <w:rFonts w:ascii="Times New Roman" w:cs="Times New Roman" w:eastAsia="Times New Roman" w:hAnsi="Times New Roman"/>
          <w:sz w:val="18"/>
          <w:szCs w:val="18"/>
          <w:color w:val="auto"/>
        </w:rPr>
        <w:t>has been a director of the Company since August 2013. Dr. Morel is currently the Chief Executive Officer and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of Directors of West Pharmaceutical Services, Inc., a manufacturer of components and systems for the packaging and delivery of injectable drugs as well as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6"/>
          <w:szCs w:val="16"/>
          <w:color w:val="auto"/>
        </w:rPr>
        <w:t>delivery system components for the pharmaceutical, healthcare and consumer products industries. Dr. Morel has served as the Chief Executive Officer of West Pharmaceutical Services, Inc. since April 2002, Chairman of the Board of Directors of West Pharmaceutical Services, Inc. since March 2003 and a director of West Pharmaceutical Services, Inc. since March 2002. In addition, he served as President of West Pharmaceutical Services, Inc. from April 2002 to June 2005.</w:t>
      </w:r>
    </w:p>
    <w:p>
      <w:pPr>
        <w:spacing w:after="0" w:line="1"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8"/>
          <w:szCs w:val="18"/>
          <w:color w:val="auto"/>
        </w:rPr>
        <w:t>Dr. Morel served as a director of Kensey Nash Corporation, a medical device product development and manufacturing company, from March 2010 to June 2012 as well as a member of its audit and compensation committees. He serves as Chairman of the Board of Directors of the American Oncologic Hospital of the Fox Chase Cancer Center and as a member of the board of trustees of The Franklin Institute and of Lafayette College. Dr. Morel received a B.S. in Engineering from Lafayette College and an M.S. and Ph.D. in Materials Science from Cornell University. Dr. Morel is 56 years old.</w:t>
      </w:r>
    </w:p>
    <w:p>
      <w:pPr>
        <w:spacing w:after="0" w:line="5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RAYMOND G. MURPHY </w:t>
      </w:r>
      <w:r>
        <w:rPr>
          <w:rFonts w:ascii="Times New Roman" w:cs="Times New Roman" w:eastAsia="Times New Roman" w:hAnsi="Times New Roman"/>
          <w:sz w:val="18"/>
          <w:szCs w:val="18"/>
          <w:color w:val="auto"/>
        </w:rPr>
        <w:t>has been a director of the Company since April 2009. Between 2004 and 2008, he was Senior Vice President &amp; Treasurer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66 years old.</w:t>
      </w:r>
    </w:p>
    <w:p>
      <w:pPr>
        <w:spacing w:after="0" w:line="60"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CHRISTIAN S. SCHADE </w:t>
      </w:r>
      <w:r>
        <w:rPr>
          <w:rFonts w:ascii="Times New Roman" w:cs="Times New Roman" w:eastAsia="Times New Roman" w:hAnsi="Times New Roman"/>
          <w:sz w:val="16"/>
          <w:szCs w:val="16"/>
          <w:color w:val="auto"/>
        </w:rPr>
        <w:t>has been a director of the Company since 2006. He is currently the Chief Executive Officer of Novira Therapeutics, Inc.,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antiviral drug discovery company focused on first-in-class therapeutics for chronic HBV infection. Prior to joining Novira Therapeutics, Inc. in March 2014, he served as Executive Vice President and Chief Financial Officer of Omthera Pharmaceuticals, Inc. from September 2011 to July 2013. Omthera was an emerging specialty pharmaceuticals company focused on the clinical development of therapies for dyslipidemia until it was purchased by AstraZeneca Plc in July 2013.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as Chair of the Board of Trustees at Princeton Academy School. Mr. Schade received an A.B. degree from Princeton University, and received an M.B.A. from the Wharton School at the University of Pennsylvania. Mr. Schade is 53 years old.</w:t>
      </w:r>
    </w:p>
    <w:p>
      <w:pPr>
        <w:spacing w:after="0" w:line="256" w:lineRule="exact"/>
        <w:rPr>
          <w:sz w:val="20"/>
          <w:szCs w:val="20"/>
          <w:color w:val="auto"/>
        </w:rPr>
      </w:pPr>
    </w:p>
    <w:p>
      <w:pPr>
        <w:ind w:right="12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JAMES M. SULLIVAN </w:t>
      </w:r>
      <w:r>
        <w:rPr>
          <w:rFonts w:ascii="Times New Roman" w:cs="Times New Roman" w:eastAsia="Times New Roman" w:hAnsi="Times New Roman"/>
          <w:sz w:val="16"/>
          <w:szCs w:val="16"/>
          <w:color w:val="auto"/>
        </w:rPr>
        <w:t>has been a director of the Company since 1992. He is a Co-Founder of, and currently the Principal Advisor to, the Clover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Group. Between 1986 and April 2009, he held 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auditor with Arthur Andersen &amp; Co. and served as a director of Classic Vacation Group, Inc. until its acquisition by Expedia, Inc. in March 2002. Mr. Sullivan received a B.S. degree in Accounting from Boston College and an M.B.A. degree from the University of Connecticut. Mr. Sullivan is 70 years old.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Approval and Recommendation of the Board of Directors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hereby recommends that the stockholders of the Company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“FOR” the election of each nominee for director.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CONCERNING MEETINGS, EXECUTIVE SESSIONS AND CERTAIN COMMITTEES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Board of Directors held five regularly scheduled and two special meetings during 2013. The Company’s independent directors meet at least twice a year in executive session without management present. The Board of Directors has determined that all of the Company’s directors, except for Messrs. Arduini and Essig,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determination with respect to Dr. Caruso and</w:t>
      </w:r>
    </w:p>
    <w:p>
      <w:pPr>
        <w:spacing w:after="0" w:line="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Mr. Moszkowski (Mr. Moszkowski resigned from the Board of Directors on August 27, 2013), the Board of Directors considered that Dr. Caruso, Dr. Essig and Mr. Henneman, our Corporate Vice President, Finance and Administration, and Chief Financial Officer, are limited partners in private equity funds managed by TowerBrook Capital Partners, LP, of which Mr. Moszkowski serves as co-chief executive officer, and concluded that such investments do not affect the independence of Dr. Caruso and Mr. Moszkowski. In making this determination with respect to Mr. Moszkowski, the Board of Directors also considered (i) that Dr. Essig serves on the Senior Advisory Board of TowerBrook Capital Partners, LP and concluded that such relationship does not affect the independence of Mr. Moszkowski, (ii) that the Company pays insurance premiums to IronShore (of which TowerBrook Investors II (one of the TowerBrook funds) has an approximately 8% interest) for insurance policies obtained through a competitive bidding process and for which Mr. Moszkowski receives no compensation, and concluded that such relationship does not affect the independence of Mr. Moszkowski and (iii) that Mr. Henneman serves and has previously served as trustee for no compensation under a Moszkowski family trust, and concluded that such relationship does not affect the independence of Mr. Moszkowski.</w:t>
      </w:r>
    </w:p>
    <w:p>
      <w:pPr>
        <w:spacing w:after="0" w:line="3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Relations” link under the heading “Corporate Governance.” During 2013, each incumbent director attended in person or by teleconference at least 75% of the total number of meetings of the Board of Directors and of each committee of the Board of Directors on which he or she served.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 COMPOSITION</w:t>
      </w:r>
    </w:p>
    <w:p>
      <w:pPr>
        <w:spacing w:after="0" w:line="91" w:lineRule="exact"/>
        <w:rPr>
          <w:sz w:val="20"/>
          <w:szCs w:val="20"/>
          <w:color w:val="auto"/>
        </w:rPr>
      </w:pPr>
    </w:p>
    <w:tbl>
      <w:tblPr>
        <w:tblLayout w:type="fixed"/>
        <w:tblInd w:w="434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0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Nominating and Corporate</w:t>
            </w:r>
          </w:p>
        </w:tc>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30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Governance</w:t>
            </w:r>
          </w:p>
        </w:tc>
        <w:tc>
          <w:tcPr>
            <w:tcW w:w="19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2"/>
              </w:rPr>
              <w:t>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54875" cy="3215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3215640"/>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Stuart M. Essig, Ph.D. </w:t>
      </w:r>
      <w:r>
        <w:rPr>
          <w:sz w:val="1"/>
          <w:szCs w:val="1"/>
          <w:color w:val="auto"/>
        </w:rPr>
        <w:drawing>
          <wp:inline distT="0" distB="0" distL="0" distR="0">
            <wp:extent cx="94615" cy="857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J. Arduini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Keith Bradley, Ph.D. </w:t>
      </w:r>
      <w:r>
        <w:rPr>
          <w:sz w:val="1"/>
          <w:szCs w:val="1"/>
          <w:color w:val="auto"/>
        </w:rPr>
        <w:drawing>
          <wp:inline distT="0" distB="0" distL="0" distR="0">
            <wp:extent cx="51435" cy="85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Richard E. Caruso, Ph.D. </w:t>
      </w:r>
      <w:r>
        <w:rPr>
          <w:sz w:val="1"/>
          <w:szCs w:val="1"/>
          <w:color w:val="auto"/>
        </w:rPr>
        <w:drawing>
          <wp:inline distT="0" distB="0" distL="0" distR="0">
            <wp:extent cx="51435" cy="85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Barbara B. Hill </w:t>
      </w:r>
      <w:r>
        <w:rPr>
          <w:sz w:val="1"/>
          <w:szCs w:val="1"/>
          <w:color w:val="auto"/>
        </w:rPr>
        <w:drawing>
          <wp:inline distT="0" distB="0" distL="0" distR="0">
            <wp:extent cx="51435" cy="85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Lloyd W. Howell, Jr. </w:t>
      </w:r>
      <w:r>
        <w:rPr>
          <w:sz w:val="1"/>
          <w:szCs w:val="1"/>
          <w:color w:val="auto"/>
        </w:rPr>
        <w:drawing>
          <wp:inline distT="0" distB="0" distL="0" distR="0">
            <wp:extent cx="5143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Donald E. Morel, Jr., Ph.D. </w:t>
      </w:r>
      <w:r>
        <w:rPr>
          <w:sz w:val="1"/>
          <w:szCs w:val="1"/>
          <w:color w:val="auto"/>
        </w:rPr>
        <w:drawing>
          <wp:inline distT="0" distB="0" distL="0" distR="0">
            <wp:extent cx="51435" cy="857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Raymond G. Murphy </w:t>
      </w:r>
      <w:r>
        <w:rPr>
          <w:sz w:val="1"/>
          <w:szCs w:val="1"/>
          <w:color w:val="auto"/>
        </w:rPr>
        <w:drawing>
          <wp:inline distT="0" distB="0" distL="0" distR="0">
            <wp:extent cx="51435" cy="857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Christian S. Schade </w:t>
      </w:r>
      <w:r>
        <w:rPr>
          <w:sz w:val="1"/>
          <w:szCs w:val="1"/>
          <w:color w:val="auto"/>
        </w:rPr>
        <w:drawing>
          <wp:inline distT="0" distB="0" distL="0" distR="0">
            <wp:extent cx="51435"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James M. Sullivan </w:t>
      </w:r>
      <w:r>
        <w:rPr>
          <w:sz w:val="1"/>
          <w:szCs w:val="1"/>
          <w:color w:val="auto"/>
        </w:rPr>
        <w:drawing>
          <wp:inline distT="0" distB="0" distL="0" distR="0">
            <wp:extent cx="51435" cy="85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p>
      <w:pPr>
        <w:spacing w:after="0" w:line="120" w:lineRule="exact"/>
        <w:rPr>
          <w:sz w:val="20"/>
          <w:szCs w:val="20"/>
          <w:color w:val="auto"/>
        </w:rPr>
      </w:pPr>
    </w:p>
    <w:p>
      <w:pPr>
        <w:jc w:val="center"/>
        <w:ind w:right="-19"/>
        <w:spacing w:after="0"/>
        <w:rPr>
          <w:sz w:val="20"/>
          <w:szCs w:val="20"/>
          <w:color w:val="auto"/>
        </w:rPr>
      </w:pPr>
      <w:r>
        <w:rPr>
          <w:sz w:val="1"/>
          <w:szCs w:val="1"/>
          <w:color w:val="auto"/>
        </w:rPr>
        <w:drawing>
          <wp:inline distT="0" distB="0" distL="0" distR="0">
            <wp:extent cx="94615" cy="857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 Chairman of the Board </w:t>
      </w:r>
      <w:r>
        <w:rPr>
          <w:sz w:val="1"/>
          <w:szCs w:val="1"/>
          <w:color w:val="auto"/>
        </w:rPr>
        <w:drawing>
          <wp:inline distT="0" distB="0" distL="0" distR="0">
            <wp:extent cx="85725"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 Chair </w:t>
      </w:r>
      <w:r>
        <w:rPr>
          <w:sz w:val="1"/>
          <w:szCs w:val="1"/>
          <w:color w:val="auto"/>
        </w:rPr>
        <w:drawing>
          <wp:inline distT="0" distB="0" distL="0" distR="0">
            <wp:extent cx="85725"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 Member </w:t>
      </w:r>
      <w:r>
        <w:rPr>
          <w:sz w:val="1"/>
          <w:szCs w:val="1"/>
          <w:color w:val="auto"/>
        </w:rPr>
        <w:drawing>
          <wp:inline distT="0" distB="0" distL="0" distR="0">
            <wp:extent cx="51435"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 Independent Under NASDAQ Listing Standards #=Presiding Director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The members of the Audit Committee are Mr. Murphy (chair), Mr. Howell, Mr. Schade and Mr. Sullivan. The Committee met eight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2013.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Mr. Murphy, Mr. Schade and Mr. Sullivan are “audit committee financial experts,” as defined under Item 407(d) of Regulation S-K, and that each of them is “financially sophisticated” in accordance with NASDAQ Stock Market listing standards.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The members of the Nominating and Corporate Governance Committee are Mr. Sullivan (chair),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 Bradley and Ms. Hill. The Committee met five times in 2013. The purpose of the Nominating and Corporate Governance Committee is to assist the Board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in the identification of qualified candidates to become directors, the selection of nominees for election as directors at the stockholders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selection of candidates to fill any vacancies on the Board of Directors, the development and recommendation to the Board of Directors of a set of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governance guidelines and principles applicable to the Company, the oversight of the evaluation of the Board of Directors and otherwise taking a leadership role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shaping the corporate governance of the Company. The Board of Directors has determined that all of the members of the Nominating and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Committee are independent, as defined by the applicable NASDAQ Stock Market listing standards.</w:t>
      </w:r>
    </w:p>
    <w:p>
      <w:pPr>
        <w:spacing w:after="0" w:line="78"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Essig and Sullivan recommended the nomination of Dr. Morel for election to the Board of Directors.</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6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 stockholder’s recommendation must also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provided by the stockholder pursuant to Regulation 14A under the Exchange Act or under our Bylaws,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Administration and Secretary.</w:t>
      </w:r>
    </w:p>
    <w:p>
      <w:pPr>
        <w:spacing w:after="0" w:line="5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The members of the Compensation Committee are Dr. Bradley (chair), Ms. Hill and Dr. Morel. The Committee met nine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2013.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5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Exchange Act pursuant to Rule 16b-3 by virtue of being approved by a committee of “non-employee directors.”</w:t>
      </w:r>
    </w:p>
    <w:p>
      <w:pPr>
        <w:spacing w:after="0" w:line="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employees who are, or could be, a “covered employee” within the meaning of Section 162(m) of the Code or employees whose grants would result in their receiving more than 5,000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22, 2013.</w:t>
      </w:r>
    </w:p>
    <w:p>
      <w:pPr>
        <w:spacing w:after="0" w:line="58"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Oversight and Authority Over Executive Compensation — Role of Chief Executive Officer and Management in Executive Compensation,” the Compensation Committee approves the compensation of these officers, taking into consideration the recommendations of the Chief Executive Officer.</w:t>
      </w:r>
    </w:p>
    <w:p>
      <w:pPr>
        <w:spacing w:after="0" w:line="55"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51"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During 2014, the Compensation Committee of the Board of Directors engaged Towers Watson to provide consulting services on (i) the Compensation Discussion and Analysis and the Say on Pay proposal, (ii) shareholder advisory matters and (iii) compensation arrangements for the Chief Executive Officer and Chief Financial Officer for 2013. During 2013, the Compensation Committee of the Board of Directors engaged Towers Watson to provide consulting services on</w:t>
      </w:r>
    </w:p>
    <w:p>
      <w:pPr>
        <w:spacing w:after="0" w:line="1" w:lineRule="exact"/>
        <w:rPr>
          <w:sz w:val="20"/>
          <w:szCs w:val="20"/>
          <w:color w:val="auto"/>
        </w:rPr>
      </w:pPr>
    </w:p>
    <w:p>
      <w:pPr>
        <w:ind w:right="100" w:firstLine="8"/>
        <w:spacing w:after="0" w:line="255" w:lineRule="auto"/>
        <w:tabs>
          <w:tab w:leader="none" w:pos="2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Discussion and Analysis and Say on Pay proposal, (ii) the design of the Company’s annual and long-term incentive plans, (iii) change in control and severance guidelines, (iv) market data for the Company’s top executive officers compensation in 2012 and (v) market data on non-employee director compensation in 2012. During 2012, the Compensation Committee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the Board of Directors engaged Towers Watson to provide consulting services on (i) the Compensation Discussion and Analysis, Say on Pay proposal and the Summary of Potential Payments table in the 2012 proxy statement, (ii) compensation arrangements for the Chief Executive Officer and Chief Financial Officer for 2012, (iii) the development of a new peer group and (iv) the burn rate and overhang analysis relating to our equity incentive plans. During 2011, the Compensation Committee of the Board of Directors engaged Towers Watson to provide consulting services on (i) the Compensation Discussion and Analysis and Say on Pay proposal, as well as the Summary of Potential Payments table in the 2011 proxy statement, (ii) a review of the compensation of our then-top three executive officers, (iii) the extension of the employment agreement with Dr. Essig and (iv) the amended and restated employment agreement for Mr. Arduini.</w:t>
      </w:r>
    </w:p>
    <w:p>
      <w:pPr>
        <w:spacing w:after="0" w:line="28"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Finance Committee. </w:t>
      </w:r>
      <w:r>
        <w:rPr>
          <w:rFonts w:ascii="Times New Roman" w:cs="Times New Roman" w:eastAsia="Times New Roman" w:hAnsi="Times New Roman"/>
          <w:sz w:val="18"/>
          <w:szCs w:val="18"/>
          <w:color w:val="auto"/>
        </w:rPr>
        <w:t>The members of the Finance Committee are Mr. Schade (chair), Mr. Howell and Mr. Murphy. The Committee was established in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and met one time in 2013. 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indicated above under “Information Concerning Meetings, Executive Sessions and Certain Committees—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5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identifying appropriate candidates to serve as directors, the Board believes that individuals with experience as chief executive officers, chief financial officers or senior executives have demonstrated leadership skills and experience to provide sound business judgment and insights to assist the Company in addressing the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57"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Mr. Arduini has served as our President and Chief Executive Officer and as a director since January 2012. He joined the Company in November 2010 as President and Chief Operating Officer.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The Board greatly values his significant experience and knowledge of the medical device and life sciences industries with a public company, leadership skills, operating skills, international and human resources experience and business acumen.</w:t>
      </w:r>
    </w:p>
    <w:p>
      <w:pPr>
        <w:spacing w:after="0" w:line="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Dr. Bradley has been a director of the Company since 1992. He has experience as a director of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Dr. Caruso founded the Company in 1989 and served as a director since March 1992 and as the Company’s Chairman of the Board of Directors from March 1992 until January 2012. As a result, he has significant experience with, and knowledge of, the Company, its operations, products and history. He currently is the President and a member of The Provco Group, a venture and real estate investment company, and is an advisor to several funds that invest in life sciences companies. The Board believes that it benefits greatly by having a director with significant experience and knowledge of the Company and the medical device and life sciences industries, leadership and risk management skills, product and business development expertise, financing and international experience, business acumen and outside board experience.</w:t>
      </w:r>
    </w:p>
    <w:p>
      <w:pPr>
        <w:spacing w:after="0" w:line="5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As indicated below under “Board Leadership Structure,” Dr. Essig has served as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board member of St. Jude Medical Corporation and Owens &amp; Minor, Inc., both NYSE-listed companies. Previously he served on the board of directors of Zimmer Holdings, Inc., a NYSE-listed medical device company, and ADVAMED, a trade association that represents the medical device industry. Dr.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Chairman of the Board.</w:t>
      </w:r>
    </w:p>
    <w:p>
      <w:pPr>
        <w:spacing w:after="0" w:line="5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Ms. Hill is an Operating Partner of Moelis Capital Partners, a private equity firm. She previously served as Chief Executive Officer and a director of ValueOptions, Inc., as Chief Executive Officer and Chairman of the Board of Woodhaven Health Services, and as President and a director of Express Scripts. She also serves as a board member of St. Jude Medical Corporation, a NYSE-listed company and Omega Healthcare Investors, Inc., a NYSE-listed real estate investment trust. Her experience in the healthcare and medical device industry, in leadership and management and her outside board experience will provide valuable contributions to the Board.</w:t>
      </w:r>
    </w:p>
    <w:p>
      <w:pPr>
        <w:spacing w:after="0" w:line="58"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Mr. Howell is an Executive Vice President as well as the Civil Market Group Leader at Booz Allen Hamilton, where he has held a variety of leadership positions since joining the firm in 1988. At Booz Allen Hamilton, Mr. Howell has led the business in delivering the firm’s capabilities and service offerings to both the federal and private sectors. The Board believes that it benefits greatly by having a director who is a seasoned senior executive with extensive business expertise. His management and leadership experience provide valuable contributions to the Board.</w:t>
      </w:r>
    </w:p>
    <w:p>
      <w:pPr>
        <w:spacing w:after="0" w:line="5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Dr. Morel has been Chief Executive Officer of West Pharmaceutical Services, Inc., a manufacturer of components and systems for the packaging and delivery of injectable drugs as well as delivery system components for the pharmaceutical, healthcare and consumer products industries. He has significant biomedical and pharmaceutical experience with over 20 years of experience developing and managing programs involving advanced materials for aerospace, biomedical and pharmaceutical applications. In addition, having served in a variety of increasingly responsible roles at West Pharmaceutical Services, Inc., including Chief Operating Officer, head of the drug delivery division and Vice President of Research and Development, Dr. Morel has considerable experience identifying and implementing strategic priorities. Dr. Morel’s experience as the Chief Executive Officer of a publicly held life sciences company and as a director of public companies as well as his leadership and management experience make him well qualified to serve on the Board.</w:t>
      </w:r>
    </w:p>
    <w:p>
      <w:pPr>
        <w:spacing w:after="0" w:line="6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5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Mr. Schade is the Chief Executive Officer of Novira Therapeutics, Inc., an antiviral drug discovery company. In addition, he served as Executive Vice President and Chief Financial Officer of Omthera Pharmaceuticals, Inc., a former public company that is an emerging specialty pharmaceuticals company, from September 2011 to July 2013.</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auto"/>
        </w:rPr>
        <w:t>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2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on the background and experience of each of our directors, see “Proposal 1. Election of Directors.”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currently has ten members of the Board of Directors, who will serve until the next annual meeting of stockholders and until their successors are duly elected and qualified. The current directors are Peter J. Arduini, Keith Bradley, Ph.D., Richard E. Caruso, Ph.D., Stuart M. Essig, Ph.D., Barbara B. Hill, Lloyd W. Howell, Jr., Donald E. Morel, Jr., Ph.D., Raymond G. Murphy, Christian S. Schade and James M. Sullivan. All current members of the Board are nominees for election to the Board at the 2014 annual meeting of stockholders.</w:t>
      </w:r>
    </w:p>
    <w:p>
      <w:pPr>
        <w:spacing w:after="0" w:line="5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a separate Chairman position as putting the Company in the best position to oversee all executives of the Company and set a pro-shareholder agenda without the management conflicts that a CEO or other executive insiders might face. This, in turn, leads to a more effective board of directors. As a result, we believe that it is a good corporate governance practice to have separate Chairman and Chief Executive Officer positions.</w:t>
      </w:r>
    </w:p>
    <w:p>
      <w:pPr>
        <w:spacing w:after="0" w:line="58" w:lineRule="exact"/>
        <w:rPr>
          <w:sz w:val="20"/>
          <w:szCs w:val="20"/>
          <w:color w:val="auto"/>
        </w:rPr>
      </w:pPr>
    </w:p>
    <w:p>
      <w:pPr>
        <w:jc w:val="both"/>
        <w:ind w:right="40" w:firstLine="456"/>
        <w:spacing w:after="0" w:line="256" w:lineRule="auto"/>
        <w:rPr>
          <w:sz w:val="20"/>
          <w:szCs w:val="20"/>
          <w:color w:val="auto"/>
        </w:rPr>
      </w:pPr>
      <w:r>
        <w:rPr>
          <w:rFonts w:ascii="Times New Roman" w:cs="Times New Roman" w:eastAsia="Times New Roman" w:hAnsi="Times New Roman"/>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As a result, he has significant experience with, and knowledge of, the Company, its operations, products and history. In addition, he is a significant stockholder of the Company. We believe that we benefit greatly by having a Chairman with significant experience and knowledge of the Company and whose interests are strongly aligned with those of our stockholders.</w:t>
      </w:r>
    </w:p>
    <w:p>
      <w:pPr>
        <w:spacing w:after="0" w:line="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appointed Mr. Sullivan Presiding Director, effective as of May 17, 2012. He has been a director since 1992. Accordingly, he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58"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 nominees that the Nominating and Corporate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Committee considered relevant in nominating them and “Proposal 1. Election of Directors” for each director nominee’s biographical information.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addition, we believe that the size of the Board and Board Committees is appropriate, given the size, nature, structure and complexity of the Company.</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Accordingly, we believe that our Board leadership structure is appropriate at this time.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5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and treasury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5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2014 incentive compensation programs (which cover the executive officers and certain other employees in the United States, Australia, Canada, Europe, New Zealand, Asia Pacific and Latin America regions, Mexico and Puerto Rico) and presented a report to the Board on this subject at its February 2014 meeting. The Compensation Committee reviewed this report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62" w:lineRule="exact"/>
        <w:rPr>
          <w:sz w:val="20"/>
          <w:szCs w:val="20"/>
          <w:color w:val="auto"/>
        </w:rPr>
      </w:pPr>
    </w:p>
    <w:p>
      <w:pPr>
        <w:ind w:right="9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Finance Committee has oversight on matters related to financing strategy, as well as the Company’s capital structure and capital allocation initiatives.</w:t>
      </w:r>
    </w:p>
    <w:p>
      <w:pPr>
        <w:spacing w:after="0" w:line="11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5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Finance Department and the internal audit team meet with our senior executive team annually to determine whether there is a need to conduct a formal enterprise risk assessment for the Company. This assessment would involve many members of management and solicit management’s views of all the business risks facing the Company. Management would report to, and discuss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ASSESSMENT REGARDING COMPENSATION POLICIES AND PRACTICES</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58" w:lineRule="exact"/>
        <w:rPr>
          <w:sz w:val="20"/>
          <w:szCs w:val="20"/>
          <w:color w:val="auto"/>
        </w:rPr>
      </w:pPr>
    </w:p>
    <w:p>
      <w:pPr>
        <w:ind w:left="700" w:hanging="24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of base salary, annual bonus opportunities and long-term equity compensation;</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between annual and longer-term performance opportunities;</w:t>
      </w:r>
    </w:p>
    <w:p>
      <w:pPr>
        <w:spacing w:after="0" w:line="90" w:lineRule="exact"/>
        <w:rPr>
          <w:rFonts w:ascii="Times New Roman" w:cs="Times New Roman" w:eastAsia="Times New Roman" w:hAnsi="Times New Roman"/>
          <w:sz w:val="18"/>
          <w:szCs w:val="18"/>
          <w:color w:val="auto"/>
        </w:rPr>
      </w:pPr>
    </w:p>
    <w:p>
      <w:pPr>
        <w:ind w:left="700" w:right="260" w:hanging="246"/>
        <w:spacing w:after="0" w:line="275"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of annual and long-term incentives to ensure that the awards encourage consistent behaviors and achievable performance results, without encouraging excessive or unnecessary risk-taking;</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use non-financial and other qualitative performance factors in determining actual compensation payouts;</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equity awards that vest over time, discouraging excessive or unnecessary risk-taking by senior leadership;</w:t>
      </w:r>
    </w:p>
    <w:p>
      <w:pPr>
        <w:spacing w:after="0" w:line="90" w:lineRule="exact"/>
        <w:rPr>
          <w:rFonts w:ascii="Times New Roman" w:cs="Times New Roman" w:eastAsia="Times New Roman" w:hAnsi="Times New Roman"/>
          <w:sz w:val="18"/>
          <w:szCs w:val="18"/>
          <w:color w:val="auto"/>
        </w:rPr>
      </w:pPr>
    </w:p>
    <w:p>
      <w:pPr>
        <w:ind w:left="700" w:right="80" w:hanging="246"/>
        <w:spacing w:after="0" w:line="275"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w:t>
      </w:r>
    </w:p>
    <w:p>
      <w:pPr>
        <w:spacing w:after="0" w:line="38" w:lineRule="exact"/>
        <w:rPr>
          <w:rFonts w:ascii="Times New Roman" w:cs="Times New Roman" w:eastAsia="Times New Roman" w:hAnsi="Times New Roman"/>
          <w:sz w:val="18"/>
          <w:szCs w:val="18"/>
          <w:color w:val="auto"/>
        </w:rPr>
      </w:pPr>
    </w:p>
    <w:p>
      <w:pPr>
        <w:ind w:left="700" w:right="60" w:hanging="246"/>
        <w:spacing w:after="0" w:line="334"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longer-term consequences; and</w:t>
      </w:r>
    </w:p>
    <w:p>
      <w:pPr>
        <w:spacing w:after="0" w:line="1" w:lineRule="exact"/>
        <w:rPr>
          <w:rFonts w:ascii="Times New Roman" w:cs="Times New Roman" w:eastAsia="Times New Roman" w:hAnsi="Times New Roman"/>
          <w:sz w:val="16"/>
          <w:szCs w:val="16"/>
          <w:color w:val="auto"/>
        </w:rPr>
      </w:pPr>
    </w:p>
    <w:p>
      <w:pPr>
        <w:ind w:left="700" w:hanging="24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systems and processes in place to identify and assess risk.</w:t>
      </w:r>
    </w:p>
    <w:p>
      <w:pPr>
        <w:spacing w:after="0" w:line="9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Our Compensation Committee considered the risk implications of our compensation practices during its deliberations on the design of our 2014 executive compensation programs, with the goal of appropriately balancing short-term incentives and long-term performance.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 SHAREHOLDER</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7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It is our policy to encourage our directors to attend the annual meeting of stockholders. Eight of our then-nine incumbent nominee directors and one non-incumbent nominee for director attended the 2013 Annual Meeting of Stockholders.</w:t>
      </w:r>
    </w:p>
    <w:p>
      <w:pPr>
        <w:spacing w:after="0" w:line="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Administration and Secretary.</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the name, age, position and a brief account of the business experience of each of our current executive officers: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08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5"/>
        </w:trPr>
        <w:tc>
          <w:tcPr>
            <w:tcW w:w="3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Peter</w:t>
            </w:r>
          </w:p>
        </w:tc>
        <w:tc>
          <w:tcPr>
            <w:tcW w:w="36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J. Arduini</w:t>
            </w:r>
          </w:p>
        </w:tc>
        <w:tc>
          <w:tcPr>
            <w:tcW w:w="2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30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w w:val="96"/>
              </w:rPr>
              <w:t>President and Chief Executive Officer</w:t>
            </w:r>
          </w:p>
        </w:tc>
        <w:tc>
          <w:tcPr>
            <w:tcW w:w="480" w:type="dxa"/>
            <w:vAlign w:val="bottom"/>
            <w:tcBorders>
              <w:top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and</w:t>
            </w:r>
          </w:p>
        </w:tc>
        <w:tc>
          <w:tcPr>
            <w:tcW w:w="2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1"/>
              </w:rPr>
              <w:t>Director (formerly our Chief Operating</w:t>
            </w: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Officer until January 2012)</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Burhop,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Chief Scientific Officer</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E. Corbin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Corporate Controller</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T. Davis, Jr.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President — Neurosurgery</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Gorelick</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General Counsel, Administration and Secretary</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 Henneman, III</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Finance and Administration, and Chief Financial</w:t>
            </w: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Larkin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President — Global Spine and Orthobiologics, and</w:t>
            </w: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Head of Strategic Development</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Debbie Leonetti</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President — Instruments</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Mooradian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Global Operations and Supply Chain</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E. O’Grady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Corporate Vice President, Global Regulatory Affairs, and Corporate Compliance</w:t>
            </w: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D. Paltridge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President — Extremity Reconstruction</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Reuvers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President — International</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Padma Thiruvengadam</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Chief Human Resources Officer</w:t>
            </w:r>
          </w:p>
        </w:tc>
      </w:tr>
      <w:tr>
        <w:trPr>
          <w:trHeight w:val="22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Vinhais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Corporate Vice President, Global Quality Assurance</w:t>
            </w:r>
          </w:p>
        </w:tc>
      </w:tr>
    </w:tbl>
    <w:p>
      <w:pPr>
        <w:spacing w:after="0" w:line="67"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 J. ARDUINI </w:t>
      </w:r>
      <w:r>
        <w:rPr>
          <w:rFonts w:ascii="Times New Roman" w:cs="Times New Roman" w:eastAsia="Times New Roman" w:hAnsi="Times New Roman"/>
          <w:sz w:val="18"/>
          <w:szCs w:val="18"/>
          <w:color w:val="auto"/>
        </w:rPr>
        <w:t>is Integra’s President and Chief Executive Officer and a director. He joined Integra in November 2010 as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w:t>
      </w:r>
    </w:p>
    <w:p>
      <w:pPr>
        <w:spacing w:after="0" w:line="5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KENNETH BURHOP, PH.D. </w:t>
      </w:r>
      <w:r>
        <w:rPr>
          <w:rFonts w:ascii="Times New Roman" w:cs="Times New Roman" w:eastAsia="Times New Roman" w:hAnsi="Times New Roman"/>
          <w:sz w:val="18"/>
          <w:szCs w:val="18"/>
          <w:color w:val="auto"/>
        </w:rPr>
        <w:t>is Integra’s Corporate Vice President, Chief Scientific Officer. Dr. Burhop is responsible for setting Integra’s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scientific vision and roadmap, as well as leading the Company’s portfolio prioritization and management and the scientific evaluation of corporate development and new product opportunities. He joined Integra in February 2014 as Senior Vice President, Chief Scientific Officer and was appointed Corporate Vice President in March 2014. Prior to joining Integra, Dr. Burhop served as Chief Scientific Officer at Sangart, Inc., from January 2011 to October 2013. Prior to joining Sangart, Inc., he spent 24 years with Baxter Healthcare Corporation, from 1986 through 2010, in a series of leadership roles such as Vice President, R&amp;D, Baxter Pharmaceutical Technologies and Vice President, Global Scientific Lead for Baxter’s Medication Delivery Division, a business with over $4 billion in annual sales. Dr. Burhop received his Ph.D. and M.S. in Veterinary Science from the University of Wisconsin-Madison, and his B.A. in Zoology from the University of Wisconsin-Milwaukee.</w:t>
      </w:r>
    </w:p>
    <w:p>
      <w:pPr>
        <w:spacing w:after="0" w:line="57"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JERRY E. CORBIN </w:t>
      </w:r>
      <w:r>
        <w:rPr>
          <w:rFonts w:ascii="Times New Roman" w:cs="Times New Roman" w:eastAsia="Times New Roman" w:hAnsi="Times New Roman"/>
          <w:sz w:val="18"/>
          <w:szCs w:val="18"/>
          <w:color w:val="auto"/>
        </w:rPr>
        <w:t>is Integra’s Corporate Vice President, Corporate Controller and Principal Accounting Officer. He is responsible for US GAAP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financial reporting, accounting principles and policies and</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tax accounting. Mr. Corbin was appointed Integra’s Corporate Vice President in December 2012. He has been Integra’s Corporate Controller and Principal Accounting Officer since 2006. Prior to joining Integra in 2006, Mr. Corbin held key finance positions in corporate accounting, sales and marketing and research and development for Sanofi-Aventis and its predecessors from 1989 to 2006. Prior to that, he held management positions with Sigma-Aldrich Corporation and Edward D. Jones &amp; Company and he gained his initial auditing experience with Arthur Andersen &amp; Company. Mr. Corbin received a B.S. degree from Illinois State University and is a certified public accountant.</w:t>
      </w:r>
    </w:p>
    <w:p>
      <w:pPr>
        <w:spacing w:after="0" w:line="56"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ROBERT T. DAVIS, JR. </w:t>
      </w:r>
      <w:r>
        <w:rPr>
          <w:rFonts w:ascii="Times New Roman" w:cs="Times New Roman" w:eastAsia="Times New Roman" w:hAnsi="Times New Roman"/>
          <w:sz w:val="18"/>
          <w:szCs w:val="18"/>
          <w:color w:val="auto"/>
        </w:rPr>
        <w:t>is Integra’s Corporate Vice President, President — Neurosurgery. His responsibilities include leadership of sales,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development, quality assurance and manufacturing. Mr. Davis joined Integra in July 2012 as President of the Global Neurosurgery business and was appointed Integra’s Corporate Vice President in December 2012.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54" w:lineRule="exact"/>
        <w:rPr>
          <w:sz w:val="20"/>
          <w:szCs w:val="20"/>
          <w:color w:val="auto"/>
        </w:rPr>
      </w:pPr>
    </w:p>
    <w:p>
      <w:pPr>
        <w:jc w:val="both"/>
        <w:ind w:right="300" w:firstLine="456"/>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RICHARD D. GORELICK </w:t>
      </w:r>
      <w:r>
        <w:rPr>
          <w:rFonts w:ascii="Times New Roman" w:cs="Times New Roman" w:eastAsia="Times New Roman" w:hAnsi="Times New Roman"/>
          <w:sz w:val="16"/>
          <w:szCs w:val="16"/>
          <w:color w:val="auto"/>
        </w:rPr>
        <w:t>is Integra’s Corporate Vice President, General Counsel, Administration and Secretary. Mr. Gorelick was appointed Integra’s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Vice President in December 2012. He joined Integra as Vice President and General Counsel in 2000, and was appointed Senior Vice President and Corporate Secretary in 2006. Mr. Gorelick also chaired the Human Resources Department from 2008 to 2011. In September 2011, Mr. Gorelick was given the additional responsibilities of Corporate Communications, Environmental, Health and Safety, Government Relations and Public Policy, and Risk Management.</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joining Integra, he spent four and a half years at Aventis Behring LLC, a global leader in biologics (plasma proteins) as Associate General Counsel, where his practice focused on technology licensing, strategic alliances, acquisitions and managing commercial litigation. Prior to that, Mr. Gorelick worked in the Business and Finance Section of Morgan, Lewis &amp; Bockius LLP, in Philadelphia, where his practice concentrated on transactions, corporate reorganizations, creditors’ rights and secured transactions. Mr. Gorelick received his A.B. degree from Princeton University and a J.D. degree from the University of California at Berkeley School of Law.</w:t>
      </w:r>
    </w:p>
    <w:p>
      <w:pPr>
        <w:spacing w:after="0" w:line="5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B. HENNEMAN, III </w:t>
      </w:r>
      <w:r>
        <w:rPr>
          <w:rFonts w:ascii="Times New Roman" w:cs="Times New Roman" w:eastAsia="Times New Roman" w:hAnsi="Times New Roman"/>
          <w:sz w:val="18"/>
          <w:szCs w:val="18"/>
          <w:color w:val="auto"/>
        </w:rPr>
        <w:t>is Integra’s Corporate Vice President, Finance and Administration, and Chief Financial Officer. He is responsible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finance department, including accounting and financial reporting, budgeting, internal audit, tax, and treasury. In addition, he is responsible for information systems, business development, the law department and investor relations. Mr. Henneman was appointed Integra’s Corporate Vice President in December 2012, and has been Integra’s Executive Vice President since February 2003, was our Chief Administrative Officer from February 2003 until May 2008 and was Acting Chief Financial Officer from September 2007 until May 2008, when he was appointed Chief Financial Officer. Mr. Henneman was our General Counsel from September 1998 until September 2000 and our Senior Vice President, Chief Administrative Officer and Secretary from September 2000 until February 2003. Mr. Henneman received an A.B. degree from Princeton University and a J.D. from the University of Michigan Law School.</w:t>
      </w:r>
    </w:p>
    <w:p>
      <w:pPr>
        <w:spacing w:after="0" w:line="5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BRIAN LARKIN </w:t>
      </w:r>
      <w:r>
        <w:rPr>
          <w:rFonts w:ascii="Times New Roman" w:cs="Times New Roman" w:eastAsia="Times New Roman" w:hAnsi="Times New Roman"/>
          <w:sz w:val="18"/>
          <w:szCs w:val="18"/>
          <w:color w:val="auto"/>
        </w:rPr>
        <w:t>is Integra’s Corporate Vice President, President — Global Spine and Orthobiologics, and Head of Strategic Development.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include executive oversight and leadership of Integra’s worldwide Spine and Orthobiologics businesses, in addition to executive oversight of several of Integra’s corporate functions, including marketing and strategic planning. Mr. Larkin was appointed Integra’s Corporate Vice President in December 2012. He joined Integra in January 2000 as a Regional Sales Manager. He was promoted to National Sales Manager in 2003, Vice President, North American Sales in 2005, and President of Integra’s Neurosurgery business in 2007. In 2010 he was appointed President, Global Spine &amp; Orthobiologics, and Head of Strategic Development. Mr. Larkin has over 20 years of sales, marketing, and executive management experience in the medical technology industry. Prior to joining Integra, he was the National Sales Manager for Connell Neurosurgical. Mr. Larkin received a B.S. degree in Chemistry from the University of Richmond, and completed the Advanced Management Program at Harvard Business School.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DEBBIE LEONETTI </w:t>
      </w:r>
      <w:r>
        <w:rPr>
          <w:rFonts w:ascii="Times New Roman" w:cs="Times New Roman" w:eastAsia="Times New Roman" w:hAnsi="Times New Roman"/>
          <w:sz w:val="18"/>
          <w:szCs w:val="18"/>
          <w:color w:val="auto"/>
        </w:rPr>
        <w:t>is Integra’s Corporate Vice President, President — Instruments. Her responsibilities include sales, marketing and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for Integra’s acute and alternate site instrument businesses. She joined Integra in 1997 as Director of Marketing, was promoted to Vice President of Marketing in April 1999, Senior Vice President of Global Marketing in May 2004, Chief Marketing Officer in September 2007, President of Latin America, Asia Pacific and Canada (LAPAC) in 2008, and President of Integra Surgical in 2009. In 2010, Ms. Leonetti was appointed President of Integra’s Instrument business and LAPAC. Ms. Leonetti was appointed President — International in 2011, Corporate Vice President in December 2012, and President — Instruments in November 2013. From 1989 through 1997, Ms. Leonetti worked for Cabot Medical, which was later acquired by Circon Corporation, and held positions in sales, sales training, and marketing. Prior to her experience at Cabot-Circon, Ms. Leonetti completed fifteen years of clinical practice as a registered nurse at St. Christopher’s Hospital for Children in Philadelphia. Ms. Leonetti received her Nursing degree from St. Joseph’s Hospital School of Nursing and La Salle University.</w:t>
      </w:r>
    </w:p>
    <w:p>
      <w:pPr>
        <w:spacing w:after="0" w:line="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MOORADIAN </w:t>
      </w:r>
      <w:r>
        <w:rPr>
          <w:rFonts w:ascii="Times New Roman" w:cs="Times New Roman" w:eastAsia="Times New Roman" w:hAnsi="Times New Roman"/>
          <w:sz w:val="18"/>
          <w:szCs w:val="18"/>
          <w:color w:val="auto"/>
        </w:rPr>
        <w:t>is Integra’s Corporate Vice President, Global Operations and Supply Chain. His responsibilities include global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chain. Mr. Mooradian was appointed Integra’s Corporate Vice President in December 2012. He joined Integra in September 2012 as Senior Vice President, Global Operations and Supply Chain. Before coming to Integra, Mr. Mooradian spent 24 years at Abbott Laboratories in a series of leadership roles, including managing the Hematology and Point of Care businesses and, more recently, worldwide operations at Abbott Diagnostics Division, a $4 billion business with over 11,000 employees. Prior to Abbott, Mr. Mooradian held several positions at General Motors. Mr. Mooradian received a B.B.A. degree in Management from the University of Texas, Arlington.</w:t>
      </w:r>
    </w:p>
    <w:p>
      <w:pPr>
        <w:spacing w:after="0" w:line="5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JUDITH E. O’GRADY </w:t>
      </w:r>
      <w:r>
        <w:rPr>
          <w:rFonts w:ascii="Times New Roman" w:cs="Times New Roman" w:eastAsia="Times New Roman" w:hAnsi="Times New Roman"/>
          <w:sz w:val="18"/>
          <w:szCs w:val="18"/>
          <w:color w:val="auto"/>
        </w:rPr>
        <w:t>is Integra’s Corporate Vice President, Global Regulatory Affairs, and Corporate Compliance Officer. She was appointed Integra’s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Vice President in December 2012. Prior to that, Ms. O’Grady was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6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ROBERT D. PALTRIDGE </w:t>
      </w:r>
      <w:r>
        <w:rPr>
          <w:rFonts w:ascii="Times New Roman" w:cs="Times New Roman" w:eastAsia="Times New Roman" w:hAnsi="Times New Roman"/>
          <w:sz w:val="18"/>
          <w:szCs w:val="18"/>
          <w:color w:val="auto"/>
        </w:rPr>
        <w:t>is Integra’s Corporate Vice President, President — Extremity Reconstruction. His responsibilities include leading the Extremity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Reconstruction business to increased growth and profitability. Mr. Paltridge was appointed Integra’s Corporate Vice President in December 2012. He joined Integra as National Sales Director in 1995, served as Vice President, North American Sales since 1997, was promoted to Senior Vice President, Global Sales in 2003 and promoted to President, Extremity Reconstruction in 2006. Mr. Paltridge has 30 years of sales and sales management experience in the medical technology industry. Before joining Integra, he was National Sales Manager at Strato Medical, a division of Pfizer, Inc. Mr. Paltridge received a B.S. degree in Business Administration from Rutgers University.</w:t>
      </w:r>
    </w:p>
    <w:p>
      <w:pPr>
        <w:spacing w:after="0" w:line="5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DAN REUVERS </w:t>
      </w:r>
      <w:r>
        <w:rPr>
          <w:rFonts w:ascii="Times New Roman" w:cs="Times New Roman" w:eastAsia="Times New Roman" w:hAnsi="Times New Roman"/>
          <w:sz w:val="18"/>
          <w:szCs w:val="18"/>
          <w:color w:val="auto"/>
        </w:rPr>
        <w:t>is Integra’s Corporate Vice President, President — International. His responsibilities include executive oversight and leadership of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Integra’s international businesses, including Europe, Middle East, Africa, Latin America, Asia Pacific and Canada. He joined Integra in 2008 as Vice President of Marketing and Product Development for Integra’s surgical business and was promoted to President of the acute surgical business in June 2010. He was appointed President — Instruments in 2011, Corporate Vice President in December 2012, and President — International in November 2013. Mr. Reuvers was President of Omni-Tract Surgical from September 2005 until December 2008, when the company was acquired by Integra. Mr. Reuvers has over 25 years of experience in the medical technology field, including holding various executive level positions in sales, marketing and general management. He serves on the board of directors of Respirtech, Inc.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PADMA THIRUVENGADAM </w:t>
      </w:r>
      <w:r>
        <w:rPr>
          <w:rFonts w:ascii="Times New Roman" w:cs="Times New Roman" w:eastAsia="Times New Roman" w:hAnsi="Times New Roman"/>
          <w:sz w:val="18"/>
          <w:szCs w:val="18"/>
          <w:color w:val="auto"/>
        </w:rPr>
        <w:t>is Integra’s Corporate Vice President, Chief Human Resources Officer. She is responsible for providing leadership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and executing human resources strategy in support of the overall business plan and strategic direction of the organization. She is also responsible for Integra’s strategic initiatives and program management. Ms. Thiruvengadam was appointed Integra’s Corporate Vice President in December 2012. Previously, from September 2011 to December 2012, Ms. Thiruvengadam served as Integra’s Chief Human Resources Officer. Prior to joining Integra, Ms. Thiruvengadam held several leadership positions at Pfizer, Inc., from 2008 to 2011, including Vice President, Global Human Resources for Oncology. She led the Wyeth integration globally for oncology and also served as Vice President, Oncology Asia-Pacific/Canada Operations. Prior to joining Pfizer, Ms. Thiruvengadam served as a Senior Vice President, Human Resources Executive at Bank of America, from 2005 to 2007, and as Executive Vice President, Human Resource, at Loral Skynet—Loral Space and Communications, from 2001 to 2004. Ms. Thiruvengadam completed her Master’s program from Madras University and her Bachelor’s from Osmania University.</w:t>
      </w:r>
    </w:p>
    <w:p>
      <w:pPr>
        <w:spacing w:after="0" w:line="62"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JOSEPH VINHAIS </w:t>
      </w:r>
      <w:r>
        <w:rPr>
          <w:rFonts w:ascii="Times New Roman" w:cs="Times New Roman" w:eastAsia="Times New Roman" w:hAnsi="Times New Roman"/>
          <w:sz w:val="16"/>
          <w:szCs w:val="16"/>
          <w:color w:val="auto"/>
        </w:rPr>
        <w:t>is Integra’s Corporate Vice President, Global Quality Assurance. His responsibilities include strategic direction for 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compliance and quality systems. Mr. Vinhais joined Integra in September 2012 as Senior Vice President, Global Quality Assurance, and was appointed Corporate Vice President in December 2012. Mr. Vinhais has over 20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w:t>
      </w:r>
    </w:p>
    <w:p>
      <w:pPr>
        <w:spacing w:after="0" w:line="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Mr. Vinhais received a B.S. in Information Sciences and Systems from Central Connecticut State University, a certificate in Medical Device Management from Worcester Polytechnic Institute, and a certificate in Regulatory Affairs and Compliance from Northeastern University.</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INDEPENDENT REGISTERED PUBLIC ACCOUNTING FIRM</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firm of PricewaterhouseCoopers LLP served as our independent registered public accounting firm for fiscal year 2013 and has been selected by the Audit Committee to serve in the same capacity for fiscal year 2014.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5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5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During fiscal year 2013, PricewaterhouseCoopers LLP not only provided audit services, but also rendered other services, including tax compliance and planning services.</w:t>
      </w:r>
    </w:p>
    <w:p>
      <w:pPr>
        <w:spacing w:after="0" w:line="39"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4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Actual Fees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98"/>
              </w:rPr>
              <w:t>4,119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3,993</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Audit and Audit-Related Fees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98"/>
              </w:rPr>
              <w:t>4,391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4,241</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98"/>
              </w:rPr>
              <w:t>4,431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4,427</w:t>
            </w:r>
          </w:p>
        </w:tc>
        <w:tc>
          <w:tcPr>
            <w:tcW w:w="100" w:type="dxa"/>
            <w:vAlign w:val="bottom"/>
          </w:tcPr>
          <w:p>
            <w:pPr>
              <w:spacing w:after="0"/>
              <w:rPr>
                <w:sz w:val="19"/>
                <w:szCs w:val="19"/>
                <w:color w:val="auto"/>
              </w:rPr>
            </w:pPr>
          </w:p>
        </w:tc>
      </w:tr>
    </w:tbl>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nature of the services provided in each of the categories listed above is described below:</w:t>
      </w:r>
    </w:p>
    <w:p>
      <w:pPr>
        <w:spacing w:after="0" w:line="88" w:lineRule="exact"/>
        <w:rPr>
          <w:sz w:val="20"/>
          <w:szCs w:val="20"/>
          <w:color w:val="auto"/>
        </w:rPr>
      </w:pPr>
    </w:p>
    <w:p>
      <w:pPr>
        <w:ind w:right="6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 Consists of professional services rendered for the integrated audit of the consolidated financial statements of the Company,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statutory audits, comfort letters, consents and review of documents filed with the Securities and Exchange Commission.</w:t>
      </w:r>
    </w:p>
    <w:p>
      <w:pPr>
        <w:spacing w:after="0" w:line="35"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 Consists of services related to agreed upon procedures, reports, audits and reviews in connection with acquisitions,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consultations in connection with proposed acquisitions and consultations concerning financial accounting and reporting standards.</w:t>
      </w:r>
    </w:p>
    <w:p>
      <w:pPr>
        <w:spacing w:after="0" w:line="35"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 Consists of tax compliance (review of corporate tax returns, assistance with tax audits and review of the tax treatment for certain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international tax planning and consultations with respect to various domestic and international tax planning matters.</w:t>
      </w:r>
    </w:p>
    <w:p>
      <w:pPr>
        <w:spacing w:after="0" w:line="35"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 Consists of advisory services relating to the future implementation of a global resource planning system and the licensing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software.</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other fees were incurred to PricewaterhouseCoopers LLP during 2012 or 2013.</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approved all services and fees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27"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16"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3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Approval and Recommendation of the Board of Directors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2014. Abstentions will not be voted and will have the effect of a vote against this proposal. Broker non-votes will not be counted in determining the number of shares necessary for approval and will have no effect on the outcome of this proposal.</w:t>
      </w:r>
    </w:p>
    <w:p>
      <w:pPr>
        <w:spacing w:after="0" w:line="53" w:lineRule="exact"/>
        <w:rPr>
          <w:sz w:val="20"/>
          <w:szCs w:val="20"/>
          <w:color w:val="auto"/>
        </w:rPr>
      </w:pPr>
    </w:p>
    <w:p>
      <w:pPr>
        <w:jc w:val="both"/>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2014.</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ADVISORY VOTE ON NAMED EXECUTIVE OFFICER COMPENSATION</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seeking our stockholders’ vote to approve, on a non-binding, advisory basis, the compensation of our named executive officers, as described in the “Executive Compensation” section of this proxy statement beginning on page 24. In deciding how to vote on this proposal, the Board and the Compensation Committee (the “Committee”) invite you to consider the changes that we made to our executive compensation programs. We summarize these changes below and describe them more fully in the Compensation Discussion and Analysis section of this proxy statement (the “CD&amp;A”).</w:t>
      </w:r>
    </w:p>
    <w:p>
      <w:pPr>
        <w:spacing w:after="0" w:line="5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At our annual meeting of stockholders held in May 2013, we submitted a non-binding advisory vote to our stockholders to approve our executive compensation (“Say on Pay”). Approximately 89% of the stockholders who voted on our 2013 Say on Pay proposal voted in favor of it. We attribute that broad support in part to our continued efforts to understand and address the concerns of our stockholders. Specifically, we expanded our investor outreach program that includes (i) engaging a third-party firm to interview institutional investors to understand how investors perceive our management team and strategy, including our executive compensation program; (ii) regular meetings with investors to discuss the Company’s strategic plan and growth prospects; and (iii) individual, detailed meetings with stockholders to obtain feedback. We used the results of this program to help guide our thinking as to what changes to make to our compensation programs (described below). We will continue our outreach to stockholders and proxy advisors to sustain and, where appropriate, refine alignment on executive compensation practices.</w:t>
      </w:r>
    </w:p>
    <w:p>
      <w:pPr>
        <w:spacing w:after="0" w:line="5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described in the CD&amp;A, our executive compensation programs are designed to attract, retain and motivate our named executive officers, who are crucial to our long-term success. Under these programs, we provide our named executive officers with appropriate objectives and incentives to achieve our business objectives. In addition, as explained more fully in the CD&amp;A, the Committee took significant actions in 2013 and the Company continued its enhanced investor outreach program to achieve these objectives, including the following actions and changes:</w:t>
      </w:r>
    </w:p>
    <w:p>
      <w:pPr>
        <w:spacing w:after="0" w:line="13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KEY ACTIONS AND CHANGES IN 2013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New Performance Incentive Compensation Plan for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2838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838450"/>
                    </a:xfrm>
                    <a:prstGeom prst="rect">
                      <a:avLst/>
                    </a:prstGeom>
                    <a:noFill/>
                  </pic:spPr>
                </pic:pic>
              </a:graphicData>
            </a:graphic>
          </wp:anchor>
        </w:drawing>
      </w:r>
    </w:p>
    <w:p>
      <w:pPr>
        <w:spacing w:after="0" w:line="3" w:lineRule="exact"/>
        <w:rPr>
          <w:sz w:val="20"/>
          <w:szCs w:val="20"/>
          <w:color w:val="auto"/>
        </w:rPr>
      </w:pPr>
    </w:p>
    <w:p>
      <w:pPr>
        <w:ind w:left="740" w:right="5020" w:hanging="178"/>
        <w:spacing w:after="0" w:line="250" w:lineRule="auto"/>
        <w:tabs>
          <w:tab w:leader="none" w:pos="8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formulaic funding mechanism (based on quantitative metrics) for all participants, including named executive officers</w:t>
      </w:r>
    </w:p>
    <w:p>
      <w:pPr>
        <w:ind w:left="740" w:right="5040" w:hanging="178"/>
        <w:spacing w:after="0" w:line="250" w:lineRule="auto"/>
        <w:tabs>
          <w:tab w:leader="none" w:pos="8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only negative discretion to reduce (and not increase) awards for named executive officers</w:t>
      </w:r>
    </w:p>
    <w:p>
      <w:pPr>
        <w:ind w:left="740" w:right="5640" w:hanging="178"/>
        <w:spacing w:after="0" w:line="250" w:lineRule="auto"/>
        <w:tabs>
          <w:tab w:leader="none" w:pos="8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comply with Section 162(m) of the Internal Revenue Code (“Section 162(m)”)</w:t>
      </w:r>
    </w:p>
    <w:p>
      <w:pPr>
        <w:ind w:left="820" w:hanging="25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clawback provision</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Refined Long-Term Equity Incentive Plan for Executive Officers</w:t>
      </w:r>
    </w:p>
    <w:p>
      <w:pPr>
        <w:spacing w:after="0" w:line="23" w:lineRule="exact"/>
        <w:rPr>
          <w:sz w:val="20"/>
          <w:szCs w:val="20"/>
          <w:color w:val="auto"/>
        </w:rPr>
      </w:pPr>
    </w:p>
    <w:p>
      <w:pPr>
        <w:ind w:left="820" w:hanging="25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annual equity awards to executive officers are contingent on achieving one or more performance metrics</w:t>
      </w:r>
    </w:p>
    <w:p>
      <w:pPr>
        <w:spacing w:after="0" w:line="9" w:lineRule="exact"/>
        <w:rPr>
          <w:rFonts w:ascii="Times New Roman" w:cs="Times New Roman" w:eastAsia="Times New Roman" w:hAnsi="Times New Roman"/>
          <w:sz w:val="18"/>
          <w:szCs w:val="18"/>
          <w:color w:val="auto"/>
        </w:rPr>
      </w:pPr>
    </w:p>
    <w:p>
      <w:pPr>
        <w:ind w:left="820" w:hanging="25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to executive officers vest over at least three years</w:t>
      </w:r>
    </w:p>
    <w:p>
      <w:pPr>
        <w:spacing w:after="0" w:line="22" w:lineRule="exact"/>
        <w:rPr>
          <w:sz w:val="20"/>
          <w:szCs w:val="20"/>
          <w:color w:val="auto"/>
        </w:rPr>
      </w:pPr>
    </w:p>
    <w:p>
      <w:pPr>
        <w:ind w:left="120" w:right="5300"/>
        <w:spacing w:after="0" w:line="258" w:lineRule="auto"/>
        <w:rPr>
          <w:sz w:val="20"/>
          <w:szCs w:val="20"/>
          <w:color w:val="auto"/>
        </w:rPr>
      </w:pPr>
      <w:r>
        <w:rPr>
          <w:rFonts w:ascii="Times New Roman" w:cs="Times New Roman" w:eastAsia="Times New Roman" w:hAnsi="Times New Roman"/>
          <w:sz w:val="18"/>
          <w:szCs w:val="18"/>
          <w:b w:val="1"/>
          <w:bCs w:val="1"/>
          <w:u w:val="single" w:color="auto"/>
          <w:color w:val="auto"/>
        </w:rPr>
        <w:t>Amendments to Long-Term Equity Incentive Plan for All Participants including Executive Officers</w:t>
      </w:r>
    </w:p>
    <w:p>
      <w:pPr>
        <w:spacing w:after="0" w:line="1" w:lineRule="exact"/>
        <w:rPr>
          <w:sz w:val="20"/>
          <w:szCs w:val="20"/>
          <w:color w:val="auto"/>
        </w:rPr>
      </w:pPr>
    </w:p>
    <w:p>
      <w:pPr>
        <w:ind w:left="740" w:right="360" w:hanging="178"/>
        <w:spacing w:after="0" w:line="250" w:lineRule="auto"/>
        <w:tabs>
          <w:tab w:leader="none" w:pos="8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a single-trigger change in control provision with a double-trigger change in control provision (thus requiring a qualifying termination in connection with a change in control in order to accelerate the vesting of an executive’s equity awards)</w:t>
      </w:r>
    </w:p>
    <w:p>
      <w:pPr>
        <w:ind w:left="820" w:hanging="25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clawback provision</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Refined Director Compensation</w:t>
      </w:r>
    </w:p>
    <w:p>
      <w:pPr>
        <w:spacing w:after="0" w:line="23" w:lineRule="exact"/>
        <w:rPr>
          <w:sz w:val="20"/>
          <w:szCs w:val="20"/>
          <w:color w:val="auto"/>
        </w:rPr>
      </w:pPr>
    </w:p>
    <w:p>
      <w:pPr>
        <w:ind w:left="820" w:hanging="25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no longer receive stock options for their service but continue to receive restricted stock</w:t>
      </w:r>
    </w:p>
    <w:p>
      <w:pPr>
        <w:spacing w:after="0" w:line="2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New Stock Retention Requirements</w:t>
      </w:r>
    </w:p>
    <w:p>
      <w:pPr>
        <w:spacing w:after="0" w:line="23" w:lineRule="exact"/>
        <w:rPr>
          <w:rFonts w:ascii="Times New Roman" w:cs="Times New Roman" w:eastAsia="Times New Roman" w:hAnsi="Times New Roman"/>
          <w:sz w:val="18"/>
          <w:szCs w:val="18"/>
          <w:color w:val="auto"/>
        </w:rPr>
      </w:pPr>
    </w:p>
    <w:p>
      <w:pPr>
        <w:ind w:left="820" w:hanging="25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and directors are required to hold stock received from the Company pursuant to stock ownership guidelines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These actions followed significant changes that we completed in 2012, including (i) the establishment of an enhanced investor outreach program as well as increased communication around our strategic plan, (ii) the development of a new annual incentive focus on performance metrics, (iii) the update of our peer group for executive compensation, and (iv) the increase to our stock ownership requirements for our executive officers. In addition to the key actions and changes in 2013, we maintain and continuously review our existing compensation practices through strong corporate governance practices, which feature the following:</w:t>
      </w:r>
    </w:p>
    <w:p>
      <w:pPr>
        <w:spacing w:after="0" w:line="22" w:lineRule="exact"/>
        <w:rPr>
          <w:sz w:val="20"/>
          <w:szCs w:val="20"/>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of the Chairman of the Board and the Chief Executive Officer</w:t>
      </w:r>
    </w:p>
    <w:p>
      <w:pPr>
        <w:spacing w:after="0" w:line="9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Presiding Director</w:t>
      </w:r>
    </w:p>
    <w:p>
      <w:pPr>
        <w:spacing w:after="0" w:line="9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compensation consultant reporting directly to the Committee</w:t>
      </w:r>
    </w:p>
    <w:p>
      <w:pPr>
        <w:spacing w:after="0" w:line="9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risk assessment of our compensation practices</w:t>
      </w:r>
    </w:p>
    <w:p>
      <w:pPr>
        <w:spacing w:after="0" w:line="9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stock ownership guidelines that align director and officer interests with those of our stockholders</w:t>
      </w:r>
    </w:p>
    <w:p>
      <w:pPr>
        <w:spacing w:after="0" w:line="9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stockholder advisory vote on executive compensation</w:t>
      </w:r>
    </w:p>
    <w:p>
      <w:pPr>
        <w:spacing w:after="0" w:line="9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Insider Trading Policy that prohibits hedging and pledging of our securities</w:t>
      </w:r>
    </w:p>
    <w:p>
      <w:pPr>
        <w:spacing w:after="0" w:line="90"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experienced significant challenges during 2013 and also had many important achievements. While we made substantial progress in many areas, we did not achieve the financial goals required to fund the 2013 Performance Incentive Compensation Plan. As a result, we did not award any cash bonuses to executive officers for their performance in 2013.</w:t>
      </w:r>
    </w:p>
    <w:p>
      <w:pPr>
        <w:spacing w:after="0" w:line="51"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We believe that the information summarized above demonstrates our responsiveness to our stockholders, our commitment to our pay-for-performance philosophy and our goal of aligning management’s interests with those of our stockholders to support long-term value creation. Accordingly, we ask our stockholders to vote “FOR” the following advisory resolution at our 2014 Annual Meeting:</w:t>
      </w:r>
    </w:p>
    <w:p>
      <w:pPr>
        <w:spacing w:after="0" w:line="5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51" w:lineRule="exact"/>
        <w:rPr>
          <w:sz w:val="20"/>
          <w:szCs w:val="20"/>
          <w:color w:val="auto"/>
        </w:rPr>
      </w:pPr>
    </w:p>
    <w:p>
      <w:pPr>
        <w:ind w:right="320" w:firstLine="456"/>
        <w:spacing w:after="0" w:line="334" w:lineRule="auto"/>
        <w:rPr>
          <w:sz w:val="20"/>
          <w:szCs w:val="20"/>
          <w:color w:val="auto"/>
        </w:rPr>
      </w:pPr>
      <w:r>
        <w:rPr>
          <w:rFonts w:ascii="Times New Roman" w:cs="Times New Roman" w:eastAsia="Times New Roman" w:hAnsi="Times New Roman"/>
          <w:sz w:val="16"/>
          <w:szCs w:val="16"/>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2015 annual meeting of stockholders.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Advisory Approval and Recommendation of the Board of Directors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49"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2"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our executive compensation program for 2013, which we have continued to refine through feedback from stockholders, continuing assessments of competitive practices and alignment with our performance. We use this program to attract, motivate and retain our named executive officers (“NEOs”) and other executives. In particular, we will explain how the Compensation Committee (the “Committee”) of the Board of Directors (the “Board”) made 2013 compensation decisions for our 2013 NEOs:</w:t>
      </w:r>
    </w:p>
    <w:p>
      <w:pPr>
        <w:spacing w:after="0" w:line="55" w:lineRule="exact"/>
        <w:rPr>
          <w:sz w:val="20"/>
          <w:szCs w:val="20"/>
          <w:color w:val="auto"/>
        </w:rPr>
      </w:pPr>
    </w:p>
    <w:p>
      <w:pPr>
        <w:ind w:left="700" w:hanging="24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Arduini, our President and Chief Executive Officer (“CEO”);</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 Henneman, III, our Corporate Vice President, Finance and Administration, and Chief Financial Officer;</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T. Davis, Jr., our Corporate Vice President and President, Neurosurgery;</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D. Gorelick, our Corporate Vice President, General Counsel, Administration and Secretary; and</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Larkin, our Corporate Vice President and President, Global Spine and Orthobiologics and Head of Strategic Development.</w:t>
      </w:r>
    </w:p>
    <w:p>
      <w:pPr>
        <w:spacing w:after="0" w:line="9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Committee establishes the philosophy, approves the design of, and administers our executive compensation program. The report of the Committee appears at the end of this section. In addition to the Company continuing its enhanced investor outreach program, the Committee took the following significant actions in 2013:</w:t>
      </w:r>
    </w:p>
    <w:p>
      <w:pPr>
        <w:spacing w:after="0" w:line="51" w:lineRule="exact"/>
        <w:rPr>
          <w:sz w:val="20"/>
          <w:szCs w:val="20"/>
          <w:color w:val="auto"/>
        </w:rPr>
      </w:pPr>
    </w:p>
    <w:p>
      <w:pPr>
        <w:ind w:left="700" w:hanging="246"/>
        <w:spacing w:after="0"/>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Adopted a new Performance Incentive Compensation Plan containing a formulaic funding mechanism (based on quantitative metrics) for all employees;</w:t>
      </w:r>
    </w:p>
    <w:p>
      <w:pPr>
        <w:spacing w:after="0" w:line="113" w:lineRule="exact"/>
        <w:rPr>
          <w:rFonts w:ascii="Times New Roman" w:cs="Times New Roman" w:eastAsia="Times New Roman" w:hAnsi="Times New Roman"/>
          <w:sz w:val="16"/>
          <w:szCs w:val="16"/>
          <w:color w:val="auto"/>
        </w:rPr>
      </w:pPr>
    </w:p>
    <w:p>
      <w:pPr>
        <w:ind w:left="700" w:right="20" w:hanging="246"/>
        <w:spacing w:after="0" w:line="275"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Refined the Long-Term Equity Incentive Plan for executive officers by providing that at least 50% of annual equity awards will vest based on achieving one or more performance metrics over at least three years;</w:t>
      </w:r>
    </w:p>
    <w:p>
      <w:pPr>
        <w:spacing w:after="0" w:line="38" w:lineRule="exact"/>
        <w:rPr>
          <w:rFonts w:ascii="Times New Roman" w:cs="Times New Roman" w:eastAsia="Times New Roman" w:hAnsi="Times New Roman"/>
          <w:sz w:val="18"/>
          <w:szCs w:val="18"/>
          <w:color w:val="auto"/>
        </w:rPr>
      </w:pPr>
    </w:p>
    <w:p>
      <w:pPr>
        <w:ind w:left="700" w:right="140" w:hanging="246"/>
        <w:spacing w:after="0" w:line="275"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Long-Term Equity Incentive Plan for all participants including executive officers by adding a double-trigger change in control provision and a clawback provision;</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Refined our Director Compensation program so that non-employee directors no longer receive stock options; and</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stock retention requirements for executive officers and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Listening to Our Stockholders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At our 2013 Annual Meeting, approximately 89% of the stockholders who voted on our 2013 Say on Pay proposal voted in favor of the proposal. We believe that this support resulted largely from the many changes that we made to our executive compensation programs in response to feedback from our stockholders after the 2012 Annual Meeting (described below). The Company makes its directors available upon request to institutional investors who wish to discuss the Company’s policies and practices, including with respect to executive compensation. Continuing our significant outreach efforts, we sought feedback through the following avenues:</w:t>
      </w:r>
    </w:p>
    <w:p>
      <w:pPr>
        <w:spacing w:after="0" w:line="58" w:lineRule="exact"/>
        <w:rPr>
          <w:sz w:val="20"/>
          <w:szCs w:val="20"/>
          <w:color w:val="auto"/>
        </w:rPr>
      </w:pPr>
    </w:p>
    <w:p>
      <w:pPr>
        <w:ind w:left="700" w:right="340" w:hanging="246"/>
        <w:spacing w:after="0" w:line="275"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articulated our strategic plan and growth prospects at investor conferences, in “1x1” meetings with institutional stockholders and through webcasts;</w:t>
      </w:r>
    </w:p>
    <w:p>
      <w:pPr>
        <w:spacing w:after="0" w:line="38" w:lineRule="exact"/>
        <w:rPr>
          <w:rFonts w:ascii="Times New Roman" w:cs="Times New Roman" w:eastAsia="Times New Roman" w:hAnsi="Times New Roman"/>
          <w:sz w:val="18"/>
          <w:szCs w:val="18"/>
          <w:color w:val="auto"/>
        </w:rPr>
      </w:pPr>
    </w:p>
    <w:p>
      <w:pPr>
        <w:ind w:left="700" w:right="400" w:hanging="246"/>
        <w:spacing w:after="0" w:line="275"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Solicited input from stockholders on executive compensation matters. Additionally, we conducted a series of follow-up calls with investors to help guide the development of our executive compensation program for the future;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right="240" w:hanging="246"/>
        <w:spacing w:after="0" w:line="275"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third-party firm to interview institutional investors to understand how investors perceive our management team and strategy, including our executive compensation program; and</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members of Integra’s management team meet individually or in small groups with institutional investors more than 200 times in 2013.</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Committee considered the feedback obtained from our investor outreach program when making decisions relating to executive compensation for 2013.</w:t>
      </w:r>
    </w:p>
    <w:p>
      <w:pPr>
        <w:spacing w:after="0" w:line="11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stockholder outreach conducted during 2012 and 2013 and the Committee’s own deliberations with the assistance of third-party advisers, we made substantial changes in 2013 to several elements of our executive compensation program and continue these practices in 2014 in order to reinforce a pay-for-performance culture. The table below provides a summary of (i) the program elements that we adopted in 2013 and (ii) how we applied those elements in 2014 for performance in 2013 and beyond.</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488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2013 Actions</w:t>
            </w:r>
          </w:p>
        </w:tc>
        <w:tc>
          <w:tcPr>
            <w:tcW w:w="42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2014+ Actions</w:t>
            </w:r>
          </w:p>
        </w:tc>
        <w:tc>
          <w:tcPr>
            <w:tcW w:w="0" w:type="dxa"/>
            <w:vAlign w:val="bottom"/>
          </w:tcPr>
          <w:p>
            <w:pPr>
              <w:spacing w:after="0"/>
              <w:rPr>
                <w:sz w:val="1"/>
                <w:szCs w:val="1"/>
                <w:color w:val="auto"/>
              </w:rPr>
            </w:pPr>
          </w:p>
        </w:tc>
      </w:tr>
      <w:tr>
        <w:trPr>
          <w:trHeight w:val="195"/>
        </w:trPr>
        <w:tc>
          <w:tcPr>
            <w:tcW w:w="236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w w:val="98"/>
              </w:rPr>
              <w:t>Link between performance and</w:t>
            </w:r>
          </w:p>
        </w:tc>
        <w:tc>
          <w:tcPr>
            <w:tcW w:w="42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Ÿ</w:t>
            </w:r>
          </w:p>
        </w:tc>
        <w:tc>
          <w:tcPr>
            <w:tcW w:w="4460" w:type="dxa"/>
            <w:vAlign w:val="bottom"/>
            <w:tcBorders>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All compensation decisions made in 2013 for 2012</w:t>
            </w:r>
          </w:p>
        </w:tc>
        <w:tc>
          <w:tcPr>
            <w:tcW w:w="42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color w:val="auto"/>
              </w:rPr>
              <w:t>Ÿ</w:t>
            </w:r>
          </w:p>
        </w:tc>
        <w:tc>
          <w:tcPr>
            <w:tcW w:w="3780" w:type="dxa"/>
            <w:vAlign w:val="bottom"/>
            <w:tcBorders>
              <w:right w:val="single" w:sz="8" w:color="auto"/>
            </w:tcBorders>
          </w:tcPr>
          <w:p>
            <w:pPr>
              <w:ind w:left="160"/>
              <w:spacing w:after="0" w:line="195" w:lineRule="exact"/>
              <w:rPr>
                <w:sz w:val="20"/>
                <w:szCs w:val="20"/>
                <w:color w:val="auto"/>
              </w:rPr>
            </w:pPr>
            <w:r>
              <w:rPr>
                <w:rFonts w:ascii="Times New Roman" w:cs="Times New Roman" w:eastAsia="Times New Roman" w:hAnsi="Times New Roman"/>
                <w:sz w:val="18"/>
                <w:szCs w:val="18"/>
                <w:color w:val="auto"/>
              </w:rPr>
              <w:t>The Company did not pay cash bonuses to any</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420" w:type="dxa"/>
            <w:vAlign w:val="bottom"/>
          </w:tcPr>
          <w:p>
            <w:pPr>
              <w:spacing w:after="0"/>
              <w:rPr>
                <w:sz w:val="18"/>
                <w:szCs w:val="18"/>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reflected an assessment of each executive</w:t>
            </w: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officer in 2014 for 2013 performance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officer’s performance against goals established at the</w:t>
            </w: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 the Performance Incentive Compensation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beginning of 2012.</w:t>
            </w: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Plan (the “Bonus Plan”) because it did not meet</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Ÿ</w:t>
            </w:r>
          </w:p>
        </w:tc>
        <w:tc>
          <w:tcPr>
            <w:tcW w:w="44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Specific financial objectives for funding the pool for cash</w:t>
            </w: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2013 financial metrics provided in the Bonus</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20" w:type="dxa"/>
            <w:vAlign w:val="bottom"/>
            <w:vMerge w:val="continue"/>
          </w:tcPr>
          <w:p>
            <w:pPr>
              <w:spacing w:after="0"/>
              <w:rPr>
                <w:sz w:val="7"/>
                <w:szCs w:val="7"/>
                <w:color w:val="auto"/>
              </w:rPr>
            </w:pPr>
          </w:p>
        </w:tc>
        <w:tc>
          <w:tcPr>
            <w:tcW w:w="446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3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Plan. All other compensation decisions made in</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incentives, and for each executive’s division or function,</w:t>
            </w:r>
          </w:p>
        </w:tc>
        <w:tc>
          <w:tcPr>
            <w:tcW w:w="420" w:type="dxa"/>
            <w:vAlign w:val="bottom"/>
          </w:tcPr>
          <w:p>
            <w:pPr>
              <w:spacing w:after="0"/>
              <w:rPr>
                <w:sz w:val="11"/>
                <w:szCs w:val="11"/>
                <w:color w:val="auto"/>
              </w:rPr>
            </w:pPr>
          </w:p>
        </w:tc>
        <w:tc>
          <w:tcPr>
            <w:tcW w:w="3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46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3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2014 for 2013 performance reflect an assessment</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were established within the first 90 days of 2013.</w:t>
            </w:r>
          </w:p>
        </w:tc>
        <w:tc>
          <w:tcPr>
            <w:tcW w:w="420" w:type="dxa"/>
            <w:vAlign w:val="bottom"/>
          </w:tcPr>
          <w:p>
            <w:pPr>
              <w:spacing w:after="0"/>
              <w:rPr>
                <w:sz w:val="11"/>
                <w:szCs w:val="11"/>
                <w:color w:val="auto"/>
              </w:rPr>
            </w:pPr>
          </w:p>
        </w:tc>
        <w:tc>
          <w:tcPr>
            <w:tcW w:w="3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360" w:type="dxa"/>
            <w:vAlign w:val="bottom"/>
            <w:tcBorders>
              <w:left w:val="single" w:sz="8" w:color="auto"/>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6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3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of each executive officer’s performance against</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tcPr>
          <w:p>
            <w:pPr>
              <w:spacing w:after="0"/>
              <w:rPr>
                <w:sz w:val="10"/>
                <w:szCs w:val="10"/>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Ÿ</w:t>
            </w:r>
          </w:p>
        </w:tc>
        <w:tc>
          <w:tcPr>
            <w:tcW w:w="44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50% or more of the equity program is performance-based</w:t>
            </w:r>
          </w:p>
        </w:tc>
        <w:tc>
          <w:tcPr>
            <w:tcW w:w="420" w:type="dxa"/>
            <w:vAlign w:val="bottom"/>
          </w:tcPr>
          <w:p>
            <w:pPr>
              <w:spacing w:after="0"/>
              <w:rPr>
                <w:sz w:val="10"/>
                <w:szCs w:val="10"/>
                <w:color w:val="auto"/>
              </w:rPr>
            </w:pPr>
          </w:p>
        </w:tc>
        <w:tc>
          <w:tcPr>
            <w:tcW w:w="3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tcPr>
          <w:p>
            <w:pPr>
              <w:spacing w:after="0"/>
              <w:rPr>
                <w:sz w:val="15"/>
                <w:szCs w:val="15"/>
                <w:color w:val="auto"/>
              </w:rPr>
            </w:pPr>
          </w:p>
        </w:tc>
        <w:tc>
          <w:tcPr>
            <w:tcW w:w="420" w:type="dxa"/>
            <w:vAlign w:val="bottom"/>
            <w:vMerge w:val="continue"/>
          </w:tcPr>
          <w:p>
            <w:pPr>
              <w:spacing w:after="0"/>
              <w:rPr>
                <w:sz w:val="15"/>
                <w:szCs w:val="15"/>
                <w:color w:val="auto"/>
              </w:rPr>
            </w:pPr>
          </w:p>
        </w:tc>
        <w:tc>
          <w:tcPr>
            <w:tcW w:w="4460" w:type="dxa"/>
            <w:vAlign w:val="bottom"/>
            <w:tcBorders>
              <w:right w:val="single" w:sz="8" w:color="auto"/>
            </w:tcBorders>
            <w:vMerge w:val="continue"/>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goals established at the beginning of 2013 while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(see “Performance–based stock grants” Section in this table</w:t>
            </w: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also considering retention.</w:t>
            </w:r>
          </w:p>
        </w:tc>
        <w:tc>
          <w:tcPr>
            <w:tcW w:w="0" w:type="dxa"/>
            <w:vAlign w:val="bottom"/>
          </w:tcPr>
          <w:p>
            <w:pPr>
              <w:spacing w:after="0"/>
              <w:rPr>
                <w:sz w:val="1"/>
                <w:szCs w:val="1"/>
                <w:color w:val="auto"/>
              </w:rPr>
            </w:pPr>
          </w:p>
        </w:tc>
      </w:tr>
      <w:tr>
        <w:trPr>
          <w:trHeight w:val="228"/>
        </w:trPr>
        <w:tc>
          <w:tcPr>
            <w:tcW w:w="23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below).</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Specific financial objectives for funding the pool</w:t>
            </w: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Ÿ</w:t>
            </w:r>
          </w:p>
        </w:tc>
        <w:tc>
          <w:tcPr>
            <w:tcW w:w="44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The restricted stock units granted to the CEO in 2013 are</w:t>
            </w:r>
          </w:p>
        </w:tc>
        <w:tc>
          <w:tcPr>
            <w:tcW w:w="420" w:type="dxa"/>
            <w:vAlign w:val="bottom"/>
            <w:vMerge w:val="continue"/>
          </w:tcPr>
          <w:p>
            <w:pPr>
              <w:spacing w:after="0"/>
              <w:rPr>
                <w:sz w:val="9"/>
                <w:szCs w:val="9"/>
                <w:color w:val="auto"/>
              </w:rPr>
            </w:pPr>
          </w:p>
        </w:tc>
        <w:tc>
          <w:tcPr>
            <w:tcW w:w="3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tcPr>
          <w:p>
            <w:pPr>
              <w:spacing w:after="0"/>
              <w:rPr>
                <w:sz w:val="15"/>
                <w:szCs w:val="15"/>
                <w:color w:val="auto"/>
              </w:rPr>
            </w:pPr>
          </w:p>
        </w:tc>
        <w:tc>
          <w:tcPr>
            <w:tcW w:w="420" w:type="dxa"/>
            <w:vAlign w:val="bottom"/>
            <w:vMerge w:val="continue"/>
          </w:tcPr>
          <w:p>
            <w:pPr>
              <w:spacing w:after="0"/>
              <w:rPr>
                <w:sz w:val="15"/>
                <w:szCs w:val="15"/>
                <w:color w:val="auto"/>
              </w:rPr>
            </w:pPr>
          </w:p>
        </w:tc>
        <w:tc>
          <w:tcPr>
            <w:tcW w:w="4460" w:type="dxa"/>
            <w:vAlign w:val="bottom"/>
            <w:tcBorders>
              <w:right w:val="single" w:sz="8" w:color="auto"/>
            </w:tcBorders>
            <w:vMerge w:val="continue"/>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for cash incentives, as well as goals to drive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deferred and will not be delivered until after the CEO’s</w:t>
            </w: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allocations to each division and function, were</w:t>
            </w:r>
          </w:p>
        </w:tc>
        <w:tc>
          <w:tcPr>
            <w:tcW w:w="0" w:type="dxa"/>
            <w:vAlign w:val="bottom"/>
          </w:tcPr>
          <w:p>
            <w:pPr>
              <w:spacing w:after="0"/>
              <w:rPr>
                <w:sz w:val="1"/>
                <w:szCs w:val="1"/>
                <w:color w:val="auto"/>
              </w:rPr>
            </w:pPr>
          </w:p>
        </w:tc>
      </w:tr>
      <w:tr>
        <w:trPr>
          <w:trHeight w:val="256"/>
        </w:trPr>
        <w:tc>
          <w:tcPr>
            <w:tcW w:w="236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departure.</w:t>
            </w:r>
          </w:p>
        </w:tc>
        <w:tc>
          <w:tcPr>
            <w:tcW w:w="420" w:type="dxa"/>
            <w:vAlign w:val="bottom"/>
          </w:tcPr>
          <w:p>
            <w:pPr>
              <w:spacing w:after="0"/>
              <w:rPr>
                <w:sz w:val="22"/>
                <w:szCs w:val="22"/>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established within the first 90 days of 2014 to</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create an executive compensation structure for</w:t>
            </w:r>
          </w:p>
        </w:tc>
        <w:tc>
          <w:tcPr>
            <w:tcW w:w="0" w:type="dxa"/>
            <w:vAlign w:val="bottom"/>
          </w:tcPr>
          <w:p>
            <w:pPr>
              <w:spacing w:after="0"/>
              <w:rPr>
                <w:sz w:val="1"/>
                <w:szCs w:val="1"/>
                <w:color w:val="auto"/>
              </w:rPr>
            </w:pPr>
          </w:p>
        </w:tc>
      </w:tr>
      <w:tr>
        <w:trPr>
          <w:trHeight w:val="228"/>
        </w:trPr>
        <w:tc>
          <w:tcPr>
            <w:tcW w:w="23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2014 performance.</w:t>
            </w:r>
          </w:p>
        </w:tc>
        <w:tc>
          <w:tcPr>
            <w:tcW w:w="0" w:type="dxa"/>
            <w:vAlign w:val="bottom"/>
          </w:tcPr>
          <w:p>
            <w:pPr>
              <w:spacing w:after="0"/>
              <w:rPr>
                <w:sz w:val="1"/>
                <w:szCs w:val="1"/>
                <w:color w:val="auto"/>
              </w:rPr>
            </w:pPr>
          </w:p>
        </w:tc>
      </w:tr>
      <w:tr>
        <w:trPr>
          <w:trHeight w:val="285"/>
        </w:trPr>
        <w:tc>
          <w:tcPr>
            <w:tcW w:w="236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tcBorders>
              <w:right w:val="single" w:sz="8" w:color="auto"/>
            </w:tcBorders>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50% or more of the equity program is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performance-based (see “Performance-based</w:t>
            </w:r>
          </w:p>
        </w:tc>
        <w:tc>
          <w:tcPr>
            <w:tcW w:w="0" w:type="dxa"/>
            <w:vAlign w:val="bottom"/>
          </w:tcPr>
          <w:p>
            <w:pPr>
              <w:spacing w:after="0"/>
              <w:rPr>
                <w:sz w:val="1"/>
                <w:szCs w:val="1"/>
                <w:color w:val="auto"/>
              </w:rPr>
            </w:pPr>
          </w:p>
        </w:tc>
      </w:tr>
      <w:tr>
        <w:trPr>
          <w:trHeight w:val="228"/>
        </w:trPr>
        <w:tc>
          <w:tcPr>
            <w:tcW w:w="23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 grants” Section in this table below).</w:t>
            </w:r>
          </w:p>
        </w:tc>
        <w:tc>
          <w:tcPr>
            <w:tcW w:w="0" w:type="dxa"/>
            <w:vAlign w:val="bottom"/>
          </w:tcPr>
          <w:p>
            <w:pPr>
              <w:spacing w:after="0"/>
              <w:rPr>
                <w:sz w:val="1"/>
                <w:szCs w:val="1"/>
                <w:color w:val="auto"/>
              </w:rPr>
            </w:pPr>
          </w:p>
        </w:tc>
      </w:tr>
      <w:tr>
        <w:trPr>
          <w:trHeight w:val="285"/>
        </w:trPr>
        <w:tc>
          <w:tcPr>
            <w:tcW w:w="236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tcBorders>
              <w:right w:val="single" w:sz="8" w:color="auto"/>
            </w:tcBorders>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restricted stock units granted to the CEO in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2014 are deferred and will not be delivered until</w:t>
            </w: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after the CEO’s departure.</w:t>
            </w: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2013 Actions</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2014+ Actions</w:t>
            </w:r>
          </w:p>
        </w:tc>
        <w:tc>
          <w:tcPr>
            <w:tcW w:w="0" w:type="dxa"/>
            <w:vAlign w:val="bottom"/>
          </w:tcPr>
          <w:p>
            <w:pPr>
              <w:spacing w:after="0"/>
              <w:rPr>
                <w:sz w:val="1"/>
                <w:szCs w:val="1"/>
                <w:color w:val="auto"/>
              </w:rPr>
            </w:pPr>
          </w:p>
        </w:tc>
      </w:tr>
      <w:tr>
        <w:trPr>
          <w:trHeight w:val="195"/>
        </w:trPr>
        <w:tc>
          <w:tcPr>
            <w:tcW w:w="236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Use of discretion</w:t>
            </w:r>
          </w:p>
        </w:tc>
        <w:tc>
          <w:tcPr>
            <w:tcW w:w="4880" w:type="dxa"/>
            <w:vAlign w:val="bottom"/>
            <w:tcBorders>
              <w:right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rPr>
              <w:t>Ÿ   The Bonus Plan approved at the 2013 Annual Meeting</w:t>
            </w:r>
          </w:p>
        </w:tc>
        <w:tc>
          <w:tcPr>
            <w:tcW w:w="420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Ÿ   While the Company did not fund the annual cash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provides the Committee with only negative discretion to</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incentive pool for 2013 performance pursuant to</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7"/>
              </w:rPr>
              <w:t>reduce (but not increase) cash incentive payments intended to</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the Bonus Plan, the Committee approved a</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constitute “qualified performance-based compensation.”</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separate discretionary bonus pool for cash awards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Ÿ   The Bonus Plan is designed to meet the requirements of</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to select (non-executive) key employees who are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not executive officers to enhance retention and</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Section 162(m) to allow tax deductibility for payments</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motivate employees.</w:t>
            </w:r>
          </w:p>
        </w:tc>
        <w:tc>
          <w:tcPr>
            <w:tcW w:w="0" w:type="dxa"/>
            <w:vAlign w:val="bottom"/>
          </w:tcPr>
          <w:p>
            <w:pPr>
              <w:spacing w:after="0"/>
              <w:rPr>
                <w:sz w:val="1"/>
                <w:szCs w:val="1"/>
                <w:color w:val="auto"/>
              </w:rPr>
            </w:pPr>
          </w:p>
        </w:tc>
      </w:tr>
      <w:tr>
        <w:trPr>
          <w:trHeight w:val="147"/>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intended to qualify as performance-based compensation.</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Ÿ   Includes a clawback provision.</w:t>
            </w:r>
          </w:p>
        </w:tc>
        <w:tc>
          <w:tcPr>
            <w:tcW w:w="4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Performance-based stock</w:t>
            </w:r>
          </w:p>
        </w:tc>
        <w:tc>
          <w:tcPr>
            <w:tcW w:w="488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18"/>
                <w:szCs w:val="18"/>
                <w:color w:val="auto"/>
              </w:rPr>
              <w:t>Ÿ   50% of each executive officer’s 2013 equity grant was in the</w:t>
            </w:r>
          </w:p>
        </w:tc>
        <w:tc>
          <w:tcPr>
            <w:tcW w:w="4200" w:type="dxa"/>
            <w:vAlign w:val="bottom"/>
            <w:tcBorders>
              <w:right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color w:val="auto"/>
              </w:rPr>
              <w:t>Ÿ   The first installment of the performance stock</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7"/>
              </w:rPr>
              <w:t>form of performance stock units with vesting over three years</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units granted to the executive officers in 2013</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contingent on achieving a 3% annual revenue growth goal.</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failed to vest in 2014 because the 2013</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Ÿ   In addition to the 50% of the 2013 equity grant being in the</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performance goal, based on revenue growth, was</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not met. The performance stock units remain</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form of performance stock units, 30% of the CEO’s 2013</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available to vest based on the achievement of a</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equity grant was in the form of stock options, which the</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“catch-up” performance goal measured over the</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Committee, Board and management view as performance-</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entire performance period.</w:t>
            </w:r>
          </w:p>
        </w:tc>
        <w:tc>
          <w:tcPr>
            <w:tcW w:w="0" w:type="dxa"/>
            <w:vAlign w:val="bottom"/>
          </w:tcPr>
          <w:p>
            <w:pPr>
              <w:spacing w:after="0"/>
              <w:rPr>
                <w:sz w:val="1"/>
                <w:szCs w:val="1"/>
                <w:color w:val="auto"/>
              </w:rPr>
            </w:pPr>
          </w:p>
        </w:tc>
      </w:tr>
      <w:tr>
        <w:trPr>
          <w:trHeight w:val="147"/>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based equity.</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Ÿ   50% of each executive officer’s 2014 equity</w:t>
            </w:r>
          </w:p>
        </w:tc>
        <w:tc>
          <w:tcPr>
            <w:tcW w:w="0" w:type="dxa"/>
            <w:vAlign w:val="bottom"/>
          </w:tcPr>
          <w:p>
            <w:pPr>
              <w:spacing w:after="0"/>
              <w:rPr>
                <w:sz w:val="1"/>
                <w:szCs w:val="1"/>
                <w:color w:val="auto"/>
              </w:rPr>
            </w:pPr>
          </w:p>
        </w:tc>
      </w:tr>
      <w:tr>
        <w:trPr>
          <w:trHeight w:val="204"/>
        </w:trPr>
        <w:tc>
          <w:tcPr>
            <w:tcW w:w="236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Ÿ   Each grant considered</w:t>
            </w:r>
          </w:p>
        </w:tc>
        <w:tc>
          <w:tcPr>
            <w:tcW w:w="4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360" w:type="dxa"/>
            <w:vAlign w:val="bottom"/>
            <w:tcBorders>
              <w:left w:val="single" w:sz="8" w:color="auto"/>
              <w:right w:val="single" w:sz="8" w:color="auto"/>
            </w:tcBorders>
          </w:tcPr>
          <w:p>
            <w:pPr>
              <w:spacing w:after="0"/>
              <w:rPr>
                <w:sz w:val="8"/>
                <w:szCs w:val="8"/>
                <w:color w:val="auto"/>
              </w:rPr>
            </w:pPr>
          </w:p>
        </w:tc>
        <w:tc>
          <w:tcPr>
            <w:tcW w:w="4880" w:type="dxa"/>
            <w:vAlign w:val="bottom"/>
            <w:tcBorders>
              <w:right w:val="single" w:sz="8" w:color="auto"/>
            </w:tcBorders>
            <w:vMerge w:val="continue"/>
          </w:tcPr>
          <w:p>
            <w:pPr>
              <w:spacing w:after="0"/>
              <w:rPr>
                <w:sz w:val="8"/>
                <w:szCs w:val="8"/>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grant is in the form of performance stock units</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tcPr>
          <w:p>
            <w:pPr>
              <w:spacing w:after="0"/>
              <w:rPr>
                <w:sz w:val="10"/>
                <w:szCs w:val="10"/>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Ÿ  2012 performance;</w:t>
            </w:r>
          </w:p>
        </w:tc>
        <w:tc>
          <w:tcPr>
            <w:tcW w:w="4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with vesting over three years contingent on</w:t>
            </w:r>
          </w:p>
        </w:tc>
        <w:tc>
          <w:tcPr>
            <w:tcW w:w="0" w:type="dxa"/>
            <w:vAlign w:val="bottom"/>
          </w:tcPr>
          <w:p>
            <w:pPr>
              <w:spacing w:after="0"/>
              <w:rPr>
                <w:sz w:val="1"/>
                <w:szCs w:val="1"/>
                <w:color w:val="auto"/>
              </w:rPr>
            </w:pPr>
          </w:p>
        </w:tc>
      </w:tr>
      <w:tr>
        <w:trPr>
          <w:trHeight w:val="255"/>
        </w:trPr>
        <w:tc>
          <w:tcPr>
            <w:tcW w:w="2360" w:type="dxa"/>
            <w:vAlign w:val="bottom"/>
            <w:tcBorders>
              <w:left w:val="single" w:sz="8" w:color="auto"/>
              <w:right w:val="single" w:sz="8" w:color="auto"/>
            </w:tcBorders>
          </w:tcPr>
          <w:p>
            <w:pPr>
              <w:spacing w:after="0"/>
              <w:rPr>
                <w:sz w:val="22"/>
                <w:szCs w:val="22"/>
                <w:color w:val="auto"/>
              </w:rPr>
            </w:pP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Ÿ  Future potential and retention needs; and</w:t>
            </w: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achieving a 3% annual revenue growth goal.</w:t>
            </w:r>
          </w:p>
        </w:tc>
        <w:tc>
          <w:tcPr>
            <w:tcW w:w="0" w:type="dxa"/>
            <w:vAlign w:val="bottom"/>
          </w:tcPr>
          <w:p>
            <w:pPr>
              <w:spacing w:after="0"/>
              <w:rPr>
                <w:sz w:val="1"/>
                <w:szCs w:val="1"/>
                <w:color w:val="auto"/>
              </w:rPr>
            </w:pPr>
          </w:p>
        </w:tc>
      </w:tr>
      <w:tr>
        <w:trPr>
          <w:trHeight w:val="258"/>
        </w:trPr>
        <w:tc>
          <w:tcPr>
            <w:tcW w:w="2360" w:type="dxa"/>
            <w:vAlign w:val="bottom"/>
            <w:tcBorders>
              <w:left w:val="single" w:sz="8" w:color="auto"/>
              <w:right w:val="single" w:sz="8" w:color="auto"/>
            </w:tcBorders>
          </w:tcPr>
          <w:p>
            <w:pPr>
              <w:spacing w:after="0"/>
              <w:rPr>
                <w:sz w:val="22"/>
                <w:szCs w:val="22"/>
                <w:color w:val="auto"/>
              </w:rPr>
            </w:pPr>
          </w:p>
        </w:tc>
        <w:tc>
          <w:tcPr>
            <w:tcW w:w="4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Ÿ  Competitive market data considerations.</w:t>
            </w:r>
          </w:p>
        </w:tc>
        <w:tc>
          <w:tcPr>
            <w:tcW w:w="42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Ÿ   In addition to the 50% of the 2014 equity grant</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being in the form of performance stock units, 30%</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of the CEO’s 2014 equity grant was in the form of</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stock options, which the Committee, Board and</w:t>
            </w:r>
          </w:p>
        </w:tc>
        <w:tc>
          <w:tcPr>
            <w:tcW w:w="0" w:type="dxa"/>
            <w:vAlign w:val="bottom"/>
          </w:tcPr>
          <w:p>
            <w:pPr>
              <w:spacing w:after="0"/>
              <w:rPr>
                <w:sz w:val="1"/>
                <w:szCs w:val="1"/>
                <w:color w:val="auto"/>
              </w:rPr>
            </w:pPr>
          </w:p>
        </w:tc>
      </w:tr>
      <w:tr>
        <w:trPr>
          <w:trHeight w:val="228"/>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management view as performance-based equity.</w:t>
            </w:r>
          </w:p>
        </w:tc>
        <w:tc>
          <w:tcPr>
            <w:tcW w:w="0" w:type="dxa"/>
            <w:vAlign w:val="bottom"/>
          </w:tcPr>
          <w:p>
            <w:pPr>
              <w:spacing w:after="0"/>
              <w:rPr>
                <w:sz w:val="1"/>
                <w:szCs w:val="1"/>
                <w:color w:val="auto"/>
              </w:rPr>
            </w:pPr>
          </w:p>
        </w:tc>
      </w:tr>
      <w:tr>
        <w:trPr>
          <w:trHeight w:val="297"/>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Ÿ   Each 2014 grant considered</w:t>
            </w:r>
          </w:p>
        </w:tc>
        <w:tc>
          <w:tcPr>
            <w:tcW w:w="0" w:type="dxa"/>
            <w:vAlign w:val="bottom"/>
          </w:tcPr>
          <w:p>
            <w:pPr>
              <w:spacing w:after="0"/>
              <w:rPr>
                <w:sz w:val="1"/>
                <w:szCs w:val="1"/>
                <w:color w:val="auto"/>
              </w:rPr>
            </w:pPr>
          </w:p>
        </w:tc>
      </w:tr>
      <w:tr>
        <w:trPr>
          <w:trHeight w:val="297"/>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Ÿ  2013 company and individual performance;</w:t>
            </w:r>
          </w:p>
        </w:tc>
        <w:tc>
          <w:tcPr>
            <w:tcW w:w="0" w:type="dxa"/>
            <w:vAlign w:val="bottom"/>
          </w:tcPr>
          <w:p>
            <w:pPr>
              <w:spacing w:after="0"/>
              <w:rPr>
                <w:sz w:val="1"/>
                <w:szCs w:val="1"/>
                <w:color w:val="auto"/>
              </w:rPr>
            </w:pPr>
          </w:p>
        </w:tc>
      </w:tr>
      <w:tr>
        <w:trPr>
          <w:trHeight w:val="297"/>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Ÿ  Future potential and retention needs; and</w:t>
            </w: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Ÿ  Competitive market data considerations.</w:t>
            </w: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26</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5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46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2013 Actions</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2014+ Actions</w:t>
            </w:r>
          </w:p>
        </w:tc>
      </w:tr>
      <w:tr>
        <w:trPr>
          <w:trHeight w:val="195"/>
        </w:trPr>
        <w:tc>
          <w:tcPr>
            <w:tcW w:w="258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Peer group</w:t>
            </w:r>
          </w:p>
        </w:tc>
        <w:tc>
          <w:tcPr>
            <w:tcW w:w="46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Focused on Integra’s relative size (revenue and market cap),</w:t>
            </w:r>
          </w:p>
        </w:tc>
        <w:tc>
          <w:tcPr>
            <w:tcW w:w="42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w w:val="99"/>
              </w:rPr>
              <w:t>Will continue to focus on Integra’s relative size (revenue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complexity, as well as competitors for executive talent, and</w:t>
            </w: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market cap), complexity and competition for</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reviewed compensation of our NEOs relative to our peers. As a</w:t>
            </w: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talent and review compensation of our NEOs</w:t>
            </w:r>
          </w:p>
        </w:tc>
      </w:tr>
      <w:tr>
        <w:trPr>
          <w:trHeight w:val="22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result of our review, we did not change our peer group in 2013.</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relative to our peers.</w:t>
            </w:r>
          </w:p>
        </w:tc>
      </w:tr>
      <w:tr>
        <w:trPr>
          <w:trHeight w:val="196"/>
        </w:trPr>
        <w:tc>
          <w:tcPr>
            <w:tcW w:w="25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Change In Control provisions for</w:t>
            </w:r>
          </w:p>
        </w:tc>
        <w:tc>
          <w:tcPr>
            <w:tcW w:w="466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Replaced “single trigger” change in control provisions with</w:t>
            </w:r>
          </w:p>
        </w:tc>
        <w:tc>
          <w:tcPr>
            <w:tcW w:w="42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Continuing current practice.</w:t>
            </w:r>
          </w:p>
        </w:tc>
      </w:tr>
      <w:tr>
        <w:trPr>
          <w:trHeight w:val="229"/>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4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“double trigger” provisions for acceleration of equity awards.</w:t>
            </w:r>
          </w:p>
        </w:tc>
        <w:tc>
          <w:tcPr>
            <w:tcW w:w="4200" w:type="dxa"/>
            <w:vAlign w:val="bottom"/>
            <w:tcBorders>
              <w:bottom w:val="single" w:sz="8" w:color="auto"/>
              <w:right w:val="single" w:sz="8" w:color="auto"/>
            </w:tcBorders>
          </w:tcPr>
          <w:p>
            <w:pPr>
              <w:spacing w:after="0"/>
              <w:rPr>
                <w:sz w:val="19"/>
                <w:szCs w:val="19"/>
                <w:color w:val="auto"/>
              </w:rPr>
            </w:pPr>
          </w:p>
        </w:tc>
      </w:tr>
      <w:tr>
        <w:trPr>
          <w:trHeight w:val="196"/>
        </w:trPr>
        <w:tc>
          <w:tcPr>
            <w:tcW w:w="25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Compensation recoupment</w:t>
            </w:r>
          </w:p>
        </w:tc>
        <w:tc>
          <w:tcPr>
            <w:tcW w:w="466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Adopted a clawback policy. In addition, amended equity plans</w:t>
            </w:r>
          </w:p>
        </w:tc>
        <w:tc>
          <w:tcPr>
            <w:tcW w:w="42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Continuing current practice.</w:t>
            </w:r>
          </w:p>
        </w:tc>
      </w:tr>
      <w:tr>
        <w:trPr>
          <w:trHeight w:val="216"/>
        </w:trPr>
        <w:tc>
          <w:tcPr>
            <w:tcW w:w="25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(“clawback”) policy</w:t>
            </w: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include clawback provision effective 1/1/13, and included a</w:t>
            </w:r>
          </w:p>
        </w:tc>
        <w:tc>
          <w:tcPr>
            <w:tcW w:w="4200" w:type="dxa"/>
            <w:vAlign w:val="bottom"/>
            <w:tcBorders>
              <w:right w:val="single" w:sz="8" w:color="auto"/>
            </w:tcBorders>
          </w:tcPr>
          <w:p>
            <w:pPr>
              <w:spacing w:after="0"/>
              <w:rPr>
                <w:sz w:val="18"/>
                <w:szCs w:val="18"/>
                <w:color w:val="auto"/>
              </w:rPr>
            </w:pPr>
          </w:p>
        </w:tc>
      </w:tr>
      <w:tr>
        <w:trPr>
          <w:trHeight w:val="22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clawback clause in the Bonus Plan.</w:t>
            </w:r>
          </w:p>
        </w:tc>
        <w:tc>
          <w:tcPr>
            <w:tcW w:w="4200" w:type="dxa"/>
            <w:vAlign w:val="bottom"/>
            <w:tcBorders>
              <w:bottom w:val="single" w:sz="8" w:color="auto"/>
              <w:right w:val="single" w:sz="8" w:color="auto"/>
            </w:tcBorders>
          </w:tcPr>
          <w:p>
            <w:pPr>
              <w:spacing w:after="0"/>
              <w:rPr>
                <w:sz w:val="19"/>
                <w:szCs w:val="19"/>
                <w:color w:val="auto"/>
              </w:rPr>
            </w:pPr>
          </w:p>
        </w:tc>
      </w:tr>
      <w:tr>
        <w:trPr>
          <w:trHeight w:val="196"/>
        </w:trPr>
        <w:tc>
          <w:tcPr>
            <w:tcW w:w="25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Pre-clearance,</w:t>
            </w:r>
          </w:p>
        </w:tc>
        <w:tc>
          <w:tcPr>
            <w:tcW w:w="466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Expanded pre-clearance requirement to a broader group of</w:t>
            </w:r>
          </w:p>
        </w:tc>
        <w:tc>
          <w:tcPr>
            <w:tcW w:w="42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Continuing current practice.</w:t>
            </w:r>
          </w:p>
        </w:tc>
      </w:tr>
      <w:tr>
        <w:trPr>
          <w:trHeight w:val="229"/>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Anti-hedging/pledging policy</w:t>
            </w:r>
          </w:p>
        </w:tc>
        <w:tc>
          <w:tcPr>
            <w:tcW w:w="4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executives. Implemented anti-hedging/pledging policy in 2013.</w:t>
            </w:r>
          </w:p>
        </w:tc>
        <w:tc>
          <w:tcPr>
            <w:tcW w:w="4200" w:type="dxa"/>
            <w:vAlign w:val="bottom"/>
            <w:tcBorders>
              <w:bottom w:val="single" w:sz="8" w:color="auto"/>
              <w:right w:val="single" w:sz="8" w:color="auto"/>
            </w:tcBorders>
          </w:tcPr>
          <w:p>
            <w:pPr>
              <w:spacing w:after="0"/>
              <w:rPr>
                <w:sz w:val="19"/>
                <w:szCs w:val="19"/>
                <w:color w:val="auto"/>
              </w:rPr>
            </w:pPr>
          </w:p>
        </w:tc>
      </w:tr>
    </w:tbl>
    <w:p>
      <w:pPr>
        <w:spacing w:after="0" w:line="67"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 we did for 2012, we reviewed realizable and realized pay for our CEO with the advice of our third-party advisors, noting that 2013 realized pay was considerably less than the total reported in the Summary Compensation Table. The Committee intends to review realized and realizable pay in the future and will monitor the emergence of a standardized approach and methodology.</w:t>
      </w:r>
    </w:p>
    <w:p>
      <w:pPr>
        <w:spacing w:after="0" w:line="51" w:lineRule="exact"/>
        <w:rPr>
          <w:sz w:val="20"/>
          <w:szCs w:val="20"/>
          <w:color w:val="auto"/>
        </w:rPr>
      </w:pPr>
    </w:p>
    <w:p>
      <w:pPr>
        <w:ind w:right="980" w:firstLine="456"/>
        <w:spacing w:after="0" w:line="275" w:lineRule="auto"/>
        <w:rPr>
          <w:sz w:val="20"/>
          <w:szCs w:val="20"/>
          <w:color w:val="auto"/>
        </w:rPr>
      </w:pPr>
      <w:r>
        <w:rPr>
          <w:rFonts w:ascii="Times New Roman" w:cs="Times New Roman" w:eastAsia="Times New Roman" w:hAnsi="Times New Roman"/>
          <w:sz w:val="18"/>
          <w:szCs w:val="18"/>
          <w:color w:val="auto"/>
        </w:rPr>
        <w:t>The Company will continue its outreach to stockholders on an on-going basis to sustain and, where appropriate, refine alignment on executive compensation practices.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Company Performance</w:t>
      </w:r>
    </w:p>
    <w:p>
      <w:pPr>
        <w:spacing w:after="0" w:line="92"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Integra experienced significant challenges in early 2013, including: (i) receiving an FDA warning letter related to our Añasco, Puerto Rico facility in February, (ii) the voluntary recall of certain collagen-based products manufactured in our Añasco, Puerto Rico facility in April, and (iii) product shortages and customer relationship issues that followed, all of which combined to cause us to miss our performance metrics for the year. As a result of those issues, we reprioritized our plans and made significant progress on addressing quality systems and product supply issues. We enhanced our Quality System company-wide, improved our manufacturing operations, alleviated product shortages, repaired customer relationships and undertook financing and acquisition activity that positioned the Company for future growth. In addition to addressing these challenges, we had many accomplishments in 2013 (Mr. Arduini’s second year as President and CEO) that enabled the Company to enter 2014 stronger and better positioned for growth. The following were our most significant accomplishments:</w:t>
      </w:r>
    </w:p>
    <w:p>
      <w:pPr>
        <w:spacing w:after="0" w:line="57" w:lineRule="exact"/>
        <w:rPr>
          <w:sz w:val="20"/>
          <w:szCs w:val="20"/>
          <w:color w:val="auto"/>
        </w:rPr>
      </w:pPr>
    </w:p>
    <w:p>
      <w:pPr>
        <w:ind w:left="700" w:right="380" w:hanging="246"/>
        <w:spacing w:after="0" w:line="275"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out the FDA Warning Letter related to our Plainsboro, New Jersey manufacturing facility, and made significant improvements to the quality system in our Añasco, Puerto Rico facility in response to the FDA Warning Letter for that facility;</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strategically important acquisition of the DuraSeal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product line from Covidien, the largest in the Company’s history;</w:t>
      </w:r>
    </w:p>
    <w:p>
      <w:pPr>
        <w:spacing w:after="0" w:line="90" w:lineRule="exact"/>
        <w:rPr>
          <w:rFonts w:ascii="Times New Roman" w:cs="Times New Roman" w:eastAsia="Times New Roman" w:hAnsi="Times New Roman"/>
          <w:sz w:val="18"/>
          <w:szCs w:val="18"/>
          <w:color w:val="auto"/>
        </w:rPr>
      </w:pPr>
    </w:p>
    <w:p>
      <w:pPr>
        <w:ind w:left="700" w:right="800" w:hanging="246"/>
        <w:spacing w:after="0" w:line="275"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raised over $150 million through the completion of a public offering of common stock, which allowed us to reduce our debt as a proportion of operating earnings;</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40"/>
          </w:cols>
          <w:pgMar w:left="240" w:top="455" w:right="2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hanging="24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 the clinical study of Integra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Dermal Regeneration Template for the treatment of diabetic foot ulcers;</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our regenerative medicine manufacturing and supply, including increasing product yields and overall capacity;</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low-growth, low-margin products to refine our overall portfolio and better focus our resources on growth;</w:t>
      </w:r>
    </w:p>
    <w:p>
      <w:pPr>
        <w:spacing w:after="0" w:line="90" w:lineRule="exact"/>
        <w:rPr>
          <w:rFonts w:ascii="Times New Roman" w:cs="Times New Roman" w:eastAsia="Times New Roman" w:hAnsi="Times New Roman"/>
          <w:sz w:val="18"/>
          <w:szCs w:val="18"/>
          <w:color w:val="auto"/>
        </w:rPr>
      </w:pPr>
    </w:p>
    <w:p>
      <w:pPr>
        <w:ind w:left="700" w:right="360" w:hanging="246"/>
        <w:spacing w:after="0" w:line="275"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the reduction of the manufacturing and distribution footprint of the Company through site closures and consolidation efforts, which has lowered costs;</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over 20 new products globally;</w:t>
      </w:r>
    </w:p>
    <w:p>
      <w:pPr>
        <w:spacing w:after="0" w:line="90" w:lineRule="exact"/>
        <w:rPr>
          <w:rFonts w:ascii="Times New Roman" w:cs="Times New Roman" w:eastAsia="Times New Roman" w:hAnsi="Times New Roman"/>
          <w:sz w:val="18"/>
          <w:szCs w:val="18"/>
          <w:color w:val="auto"/>
        </w:rPr>
      </w:pPr>
    </w:p>
    <w:p>
      <w:pPr>
        <w:ind w:left="700" w:right="520" w:hanging="246"/>
        <w:spacing w:after="0" w:line="275"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international sales efforts, including increasing the size of our direct sales force in Europe and filing over 50 international product registrations;</w:t>
      </w:r>
    </w:p>
    <w:p>
      <w:pPr>
        <w:spacing w:after="0" w:line="38" w:lineRule="exact"/>
        <w:rPr>
          <w:rFonts w:ascii="Times New Roman" w:cs="Times New Roman" w:eastAsia="Times New Roman" w:hAnsi="Times New Roman"/>
          <w:sz w:val="18"/>
          <w:szCs w:val="18"/>
          <w:color w:val="auto"/>
        </w:rPr>
      </w:pPr>
    </w:p>
    <w:p>
      <w:pPr>
        <w:ind w:left="700" w:right="20" w:hanging="246"/>
        <w:spacing w:after="0" w:line="275"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benefits from our recently established centralized sourcing group to optimize our purchases globally and by division, realizing significant annual savings in the purchase of goods and services;</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substantial progress toward implementing our global enterprise resource management system;</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ability to collaborate and manage projects by developing the program management skills of our employees worldwide; and</w:t>
      </w:r>
    </w:p>
    <w:p>
      <w:pPr>
        <w:spacing w:after="0" w:line="90" w:lineRule="exact"/>
        <w:rPr>
          <w:rFonts w:ascii="Times New Roman" w:cs="Times New Roman" w:eastAsia="Times New Roman" w:hAnsi="Times New Roman"/>
          <w:sz w:val="18"/>
          <w:szCs w:val="18"/>
          <w:color w:val="auto"/>
        </w:rPr>
      </w:pPr>
    </w:p>
    <w:p>
      <w:pPr>
        <w:ind w:left="700" w:hanging="246"/>
        <w:spacing w:after="0" w:line="26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Outlined a series of strategic initiatives for 2014 designed to support future growth, focusing on the areas of growth and margin improvement, optimizing our organizational structure, systems and processes, developing our people and enhancing our overall commitment to quality and regulatory compliance.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during Peter Arduini’s tenure exceeds Peer Group</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our two-year stock performance is the most relevant measurement for this discussion because it aligns with Peter Arduini’s tenure as our CEO. Our stock generated a two-year total return for stockholders of 54.8% during 2012 and 2013, compared to 49.5% for our peer group of companies and 60.3% for the NASDAQ Composite Index. For the year ended December 31, 2013, we ranked in the 38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total returns for the two-year period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840095" cy="2487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009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5620" w:right="580" w:hanging="5612"/>
        <w:spacing w:after="0" w:line="447" w:lineRule="auto"/>
        <w:tabs>
          <w:tab w:leader="none" w:pos="2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roster of members of our Peer Group, please refer to the section below entitled “Our Peer Group and the Markets in Which We Compete.” 28</w:t>
      </w:r>
    </w:p>
    <w:p>
      <w:pPr>
        <w:sectPr>
          <w:pgSz w:w="11900" w:h="16838" w:orient="portrait"/>
          <w:cols w:equalWidth="0" w:num="1">
            <w:col w:w="11340"/>
          </w:cols>
          <w:pgMar w:left="240" w:top="455" w:right="3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Performance Versus Financial Metrics</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Despite some significant accomplishments and our robust response to the challenges that arose early in the year as stated above, we did not achieve our financial targets for 2013. These financial targets include the following:</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2013 Financial Performance Targets</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60" w:type="dxa"/>
            <w:vAlign w:val="bottom"/>
            <w:tcBorders>
              <w:top w:val="single" w:sz="8" w:color="auto"/>
              <w:left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4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2013 Target</w:t>
            </w:r>
          </w:p>
        </w:tc>
        <w:tc>
          <w:tcPr>
            <w:tcW w:w="6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2013 Results</w:t>
            </w:r>
          </w:p>
        </w:tc>
        <w:tc>
          <w:tcPr>
            <w:tcW w:w="20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w w:val="97"/>
              </w:rPr>
              <w:t>Result as % of Target</w:t>
            </w:r>
          </w:p>
        </w:tc>
        <w:tc>
          <w:tcPr>
            <w:tcW w:w="3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60" w:type="dxa"/>
            <w:vAlign w:val="bottom"/>
            <w:tcBorders>
              <w:left w:val="single" w:sz="8" w:color="auto"/>
            </w:tcBorders>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877.1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836.2</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23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7"/>
        </w:trPr>
        <w:tc>
          <w:tcPr>
            <w:tcW w:w="34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168.2</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138.9</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23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23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2380" w:type="dxa"/>
            <w:vAlign w:val="bottom"/>
            <w:tcBorders>
              <w:bottom w:val="single" w:sz="8" w:color="auto"/>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“Appendix A — Reconciliations of Non-GAAP Financial Measures” for a more detailed explanation of “Adjusted EBITDA” and “EBITDA.”</w:t>
      </w:r>
    </w:p>
    <w:p>
      <w:pPr>
        <w:spacing w:after="0" w:line="9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selected these metrics for 2013 because they provided a sound basis to measure profitability and growth and because many stockholders rely upon some or all of these metrics to evaluate the Company. Our strategy is to increase our profit margins over the long term by (i) growing in size, including by acquisition, (ii) optimizing the business by centralizing procurement, consolidating manufacturing into centers of excellence, and implementing single quality and information systems, and (iii) developing and recruiting leaders who effectively execute our most important programs and who can manage important functions in a complex global medical technology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Linking Financial Performance to Pay in 2013</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2013 NEOs did not receive cash incentive payments because the Company did not meet its 2013 EBITDA objective under the Bonus Plan. In addition, the Company did not fund the 2013 cash incentive pool that applies to all participants because the Company did not meet its performance metrics for revenue, adjusted EBITDA and operating cash flow as follows:</w:t>
      </w:r>
    </w:p>
    <w:p>
      <w:pPr>
        <w:spacing w:after="0" w:line="49" w:lineRule="exact"/>
        <w:rPr>
          <w:sz w:val="20"/>
          <w:szCs w:val="20"/>
          <w:color w:val="auto"/>
        </w:rPr>
      </w:pPr>
    </w:p>
    <w:p>
      <w:pPr>
        <w:ind w:left="700" w:hanging="24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We increased reported revenues 0.6% to $836.2 million last year, which fell below our 2013 goal of $877.1 million;</w:t>
      </w:r>
    </w:p>
    <w:p>
      <w:pPr>
        <w:spacing w:after="0" w:line="90" w:lineRule="exact"/>
        <w:rPr>
          <w:rFonts w:ascii="Times New Roman" w:cs="Times New Roman" w:eastAsia="Times New Roman" w:hAnsi="Times New Roman"/>
          <w:sz w:val="18"/>
          <w:szCs w:val="18"/>
          <w:color w:val="auto"/>
        </w:rPr>
      </w:pPr>
    </w:p>
    <w:p>
      <w:pPr>
        <w:ind w:left="700" w:right="260" w:hanging="246"/>
        <w:spacing w:after="0" w:line="334"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Our earnings before interest, taxes, depreciation and amortization (“EBITDA”) adjusted for certain items (see “Appendix A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Reconciliations of Non-GAAP Financial Measures”), decreased 16.5% during 2013 to $138.9 million, which was below our target of $168.2 million;</w:t>
      </w:r>
    </w:p>
    <w:p>
      <w:pPr>
        <w:spacing w:after="0" w:line="1" w:lineRule="exact"/>
        <w:rPr>
          <w:rFonts w:ascii="Times New Roman" w:cs="Times New Roman" w:eastAsia="Times New Roman" w:hAnsi="Times New Roman"/>
          <w:sz w:val="16"/>
          <w:szCs w:val="16"/>
          <w:color w:val="auto"/>
        </w:rPr>
      </w:pPr>
    </w:p>
    <w:p>
      <w:pPr>
        <w:ind w:left="700" w:hanging="24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Cash Flow: </w:t>
      </w:r>
      <w:r>
        <w:rPr>
          <w:rFonts w:ascii="Times New Roman" w:cs="Times New Roman" w:eastAsia="Times New Roman" w:hAnsi="Times New Roman"/>
          <w:sz w:val="18"/>
          <w:szCs w:val="18"/>
          <w:color w:val="auto"/>
        </w:rPr>
        <w:t>We generated $53.3 million in cash flows from operations, versus our target of $90.6 million;</w:t>
      </w:r>
    </w:p>
    <w:p>
      <w:pPr>
        <w:spacing w:after="0" w:line="90" w:lineRule="exact"/>
        <w:rPr>
          <w:rFonts w:ascii="Times New Roman" w:cs="Times New Roman" w:eastAsia="Times New Roman" w:hAnsi="Times New Roman"/>
          <w:sz w:val="18"/>
          <w:szCs w:val="18"/>
          <w:color w:val="auto"/>
        </w:rPr>
      </w:pPr>
    </w:p>
    <w:p>
      <w:pPr>
        <w:ind w:left="700" w:right="740" w:hanging="246"/>
        <w:spacing w:after="0" w:line="277"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2013 EBITDA (see “Appendix A — Reconciliations of Non-GAAP Financial Measures”), was $90.4 million or 71.6% of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which was $126.4 million, which was below our target of 80% of prior year EBITDA.</w:t>
      </w:r>
    </w:p>
    <w:p>
      <w:pPr>
        <w:spacing w:after="0" w:line="3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Also, the first installment of the performance stock units granted to the executive officers in 2013 failed to vest in 2014 because the 2013 performance goal, based on 3% revenue growth, was not met. Specifically, revenues increased from $830.9 million in 2012 to $836.2 million in 2013, an increase of 0.6%. However, the performance stock units remain eligible to vest based on the achievement of a “catch-up” performance goal measured over the entire performance period. For more information, please refer to the section below entitled “Refined Long-Term Equity Incentive Plan.”</w:t>
      </w:r>
    </w:p>
    <w:p>
      <w:pPr>
        <w:spacing w:after="0" w:line="55"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A substantial portion of Mr. Arduini’s compensation for 2013 performance is in the form of performance-based equity, namely the performance stock units and stock options awarded to him in March 2014, which make up 80% of his total equity grant (50% performance stock units and 30% stock options).</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Mr. Arduini’s total equity award in March 2014 appropriately recognized his 2013 performance, including his leadership in addressing the quality systems and operational issues that affected the Company’s financial performance in 2013 and positioning it for</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40"/>
          </w:cols>
          <w:pgMar w:left="240" w:top="455" w:right="2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accelerating growth, the desire to motivate Mr. Arduini to improve the Company’s performance in 2014 and beyond and was consistent with the median of the peer group. The other NEOs also received 50% of their annual equity award for their 2013 performance in the form of performance stock units awarded to each of them in March 2014.</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Notwithstanding the discrete quality systems and product supply issues during 2013, the Company is making substantial progress on its long-term plans for growth and improved profit margins and investors have recognized this progress with total stockholder returns above the average for the peer group during the two years of Mr. Arduini’s service as CEO. In order to execute on those plans, Mr. Arduini has assembled an experienced and talented management team. In addition, to further drive this strategy, the Company revised its executive compensation practices in 2013 and will continue to review such practices in order to accomplish two main objectives — (i) to continue the alignment of executive compensation with the interests of the stockholders and (ii) to attract, retain, motivate and reward accomplished executives who perform well.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for 2013</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With feedback from our stockholders during 2012 and 2013, and taking into account the competitive market for highly qualified executives, we refined our approach to executive compensation for 2013. Because of the extent of our stockholder outreach in 2013 and the depth and breadth of the measures we undertook to address stockholder concerns from the previous year, we believe that it is helpful to describe important elements in our executive compensation program for 2013 performance. We will continue with those elements for our executive compensation program for 2014.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Executive Compensation Program</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2013, we transitioned to a new executive compensation program that improves the alignment of Integra’s executive compensation with metrics that drive total stockholder return and holds management accountable for the Company’s financial performance and progress towards the Company’s strategic objectives and goals.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Performance Incentive Compensation Plan (the “Bonus Plan”)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approved the Bonus Plan in January 2013, which the full Board then approved in February 2013, and the stockholders then approved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2013. The following are the highlights of the Bonus Plan:</w:t>
      </w:r>
    </w:p>
    <w:p>
      <w:pPr>
        <w:spacing w:after="0" w:line="78" w:lineRule="exact"/>
        <w:rPr>
          <w:sz w:val="20"/>
          <w:szCs w:val="20"/>
          <w:color w:val="auto"/>
        </w:rPr>
      </w:pPr>
    </w:p>
    <w:p>
      <w:pPr>
        <w:ind w:left="700" w:right="60" w:hanging="246"/>
        <w:spacing w:after="0" w:line="275"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Bonus Plan, cash bonuses may be paid based on the Company’s achievement of performance goals that the Committee determined within the first 90 days of the year.</w:t>
      </w:r>
    </w:p>
    <w:p>
      <w:pPr>
        <w:spacing w:after="0" w:line="38" w:lineRule="exact"/>
        <w:rPr>
          <w:rFonts w:ascii="Times New Roman" w:cs="Times New Roman" w:eastAsia="Times New Roman" w:hAnsi="Times New Roman"/>
          <w:sz w:val="18"/>
          <w:szCs w:val="18"/>
          <w:color w:val="auto"/>
        </w:rPr>
      </w:pPr>
    </w:p>
    <w:p>
      <w:pPr>
        <w:ind w:left="700" w:right="400" w:hanging="246"/>
        <w:spacing w:after="0" w:line="275"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Weighting of metrics to fund the 2013 incentive pool pursuant to a formula that includes percentage weightings for revenue, adjusted EBITDA and operating cash flow. The Company did not achieve these metrics, so it did not fund the 2013 incentive pool.</w:t>
      </w:r>
    </w:p>
    <w:p>
      <w:pPr>
        <w:spacing w:after="0" w:line="38" w:lineRule="exact"/>
        <w:rPr>
          <w:rFonts w:ascii="Times New Roman" w:cs="Times New Roman" w:eastAsia="Times New Roman" w:hAnsi="Times New Roman"/>
          <w:sz w:val="18"/>
          <w:szCs w:val="18"/>
          <w:color w:val="auto"/>
        </w:rPr>
      </w:pPr>
    </w:p>
    <w:p>
      <w:pPr>
        <w:ind w:left="700" w:right="320" w:hanging="246"/>
        <w:spacing w:after="0" w:line="26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2013, the 2013 NEOs were eligible for cash incentive payments only if the Company achieved its EBITDA goal of at least 80% of its prior year EBITDA. The Company did not meet that threshold, so even if the 2013 incentive pool had been funded, the NEOs would not have received cash incentive payments.</w:t>
      </w:r>
    </w:p>
    <w:p>
      <w:pPr>
        <w:spacing w:after="0" w:line="51" w:lineRule="exact"/>
        <w:rPr>
          <w:rFonts w:ascii="Times New Roman" w:cs="Times New Roman" w:eastAsia="Times New Roman" w:hAnsi="Times New Roman"/>
          <w:sz w:val="18"/>
          <w:szCs w:val="18"/>
          <w:color w:val="auto"/>
        </w:rPr>
      </w:pPr>
    </w:p>
    <w:p>
      <w:pPr>
        <w:ind w:left="700" w:right="60" w:hanging="246"/>
        <w:spacing w:after="0" w:line="275"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only negative discretion to reduce (and not increase) the payments calculated by formula for awards to NEOs which are intended to comply with Section 162(m) and may not provide for payment of such awards in excess of actual performance.</w:t>
      </w:r>
    </w:p>
    <w:p>
      <w:pPr>
        <w:spacing w:after="0" w:line="38" w:lineRule="exact"/>
        <w:rPr>
          <w:rFonts w:ascii="Times New Roman" w:cs="Times New Roman" w:eastAsia="Times New Roman" w:hAnsi="Times New Roman"/>
          <w:sz w:val="18"/>
          <w:szCs w:val="18"/>
          <w:color w:val="auto"/>
        </w:rPr>
      </w:pPr>
    </w:p>
    <w:p>
      <w:pPr>
        <w:ind w:left="700" w:right="100" w:hanging="246"/>
        <w:spacing w:after="0" w:line="275"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in the Bonus Plan has an established target bonus opportunity, with no minimum (that is, the actual payment could be 0%) and a cap at 150% of his or her target.</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Plan is designed to allow awarding compensation that is intended to meet the requirements of Section 162(m) to allow tax deductibility.</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clawback provision.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Awards for 2013 under the Bonus Plan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established the following target awards for 2013 for our NEOs: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900" w:type="dxa"/>
            <w:vAlign w:val="bottom"/>
            <w:tcBorders>
              <w:top w:val="single" w:sz="8" w:color="auto"/>
              <w:left w:val="single" w:sz="8" w:color="auto"/>
              <w:right w:val="single" w:sz="8" w:color="auto"/>
            </w:tcBorders>
          </w:tcPr>
          <w:p>
            <w:pPr>
              <w:spacing w:after="0"/>
              <w:rPr>
                <w:sz w:val="12"/>
                <w:szCs w:val="12"/>
                <w:color w:val="auto"/>
              </w:rPr>
            </w:pPr>
          </w:p>
        </w:tc>
        <w:tc>
          <w:tcPr>
            <w:tcW w:w="4320" w:type="dxa"/>
            <w:vAlign w:val="bottom"/>
            <w:tcBorders>
              <w:top w:val="single" w:sz="8" w:color="auto"/>
              <w:right w:val="single" w:sz="8" w:color="auto"/>
            </w:tcBorders>
          </w:tcPr>
          <w:p>
            <w:pPr>
              <w:spacing w:after="0"/>
              <w:rPr>
                <w:sz w:val="12"/>
                <w:szCs w:val="12"/>
                <w:color w:val="auto"/>
              </w:rPr>
            </w:pPr>
          </w:p>
        </w:tc>
        <w:tc>
          <w:tcPr>
            <w:tcW w:w="3220" w:type="dxa"/>
            <w:vAlign w:val="bottom"/>
            <w:tcBorders>
              <w:top w:val="single" w:sz="8" w:color="auto"/>
              <w:right w:val="single" w:sz="8" w:color="auto"/>
            </w:tcBorders>
          </w:tcPr>
          <w:p>
            <w:pPr>
              <w:jc w:val="center"/>
              <w:ind w:left="13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Cash Incentive Plan</w:t>
            </w:r>
          </w:p>
        </w:tc>
      </w:tr>
      <w:tr>
        <w:trPr>
          <w:trHeight w:val="149"/>
        </w:trPr>
        <w:tc>
          <w:tcPr>
            <w:tcW w:w="3900" w:type="dxa"/>
            <w:vAlign w:val="bottom"/>
            <w:tcBorders>
              <w:left w:val="single" w:sz="8" w:color="auto"/>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1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r>
      <w:tr>
        <w:trPr>
          <w:trHeight w:val="165"/>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320" w:type="dxa"/>
            <w:vAlign w:val="bottom"/>
            <w:tcBorders>
              <w:bottom w:val="single" w:sz="8" w:color="auto"/>
              <w:right w:val="single" w:sz="8" w:color="auto"/>
            </w:tcBorders>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220" w:type="dxa"/>
            <w:vAlign w:val="bottom"/>
            <w:tcBorders>
              <w:bottom w:val="single" w:sz="8" w:color="auto"/>
              <w:right w:val="single" w:sz="8" w:color="auto"/>
            </w:tcBorders>
          </w:tcPr>
          <w:p>
            <w:pPr>
              <w:jc w:val="center"/>
              <w:ind w:left="1380"/>
              <w:spacing w:after="0"/>
              <w:rPr>
                <w:sz w:val="20"/>
                <w:szCs w:val="20"/>
                <w:color w:val="auto"/>
              </w:rPr>
            </w:pPr>
            <w:r>
              <w:rPr>
                <w:rFonts w:ascii="Times New Roman" w:cs="Times New Roman" w:eastAsia="Times New Roman" w:hAnsi="Times New Roman"/>
                <w:sz w:val="14"/>
                <w:szCs w:val="14"/>
                <w:b w:val="1"/>
                <w:bCs w:val="1"/>
                <w:color w:val="auto"/>
                <w:w w:val="95"/>
              </w:rPr>
              <w:t>as a % of Base Salary</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J. Arduini</w:t>
            </w:r>
          </w:p>
        </w:tc>
        <w:tc>
          <w:tcPr>
            <w:tcW w:w="4320" w:type="dxa"/>
            <w:vAlign w:val="bottom"/>
            <w:tcBorders>
              <w:bottom w:val="single" w:sz="8" w:color="auto"/>
              <w:right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9"/>
              </w:rPr>
              <w:t>CEO</w:t>
            </w:r>
          </w:p>
        </w:tc>
        <w:tc>
          <w:tcPr>
            <w:tcW w:w="322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B. Henneman, III*</w:t>
            </w:r>
          </w:p>
        </w:tc>
        <w:tc>
          <w:tcPr>
            <w:tcW w:w="4320" w:type="dxa"/>
            <w:vAlign w:val="bottom"/>
            <w:tcBorders>
              <w:bottom w:val="single" w:sz="8" w:color="auto"/>
              <w:right w:val="single" w:sz="8" w:color="auto"/>
            </w:tcBorders>
          </w:tcPr>
          <w:p>
            <w:pPr>
              <w:jc w:val="center"/>
              <w:ind w:left="696"/>
              <w:spacing w:after="0"/>
              <w:rPr>
                <w:sz w:val="20"/>
                <w:szCs w:val="20"/>
                <w:color w:val="auto"/>
              </w:rPr>
            </w:pPr>
            <w:r>
              <w:rPr>
                <w:rFonts w:ascii="Times New Roman" w:cs="Times New Roman" w:eastAsia="Times New Roman" w:hAnsi="Times New Roman"/>
                <w:sz w:val="18"/>
                <w:szCs w:val="18"/>
                <w:color w:val="auto"/>
                <w:w w:val="96"/>
              </w:rPr>
              <w:t>CFO</w:t>
            </w:r>
          </w:p>
        </w:tc>
        <w:tc>
          <w:tcPr>
            <w:tcW w:w="322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Robert T. Davis, Jr.</w:t>
            </w:r>
          </w:p>
        </w:tc>
        <w:tc>
          <w:tcPr>
            <w:tcW w:w="4320" w:type="dxa"/>
            <w:vAlign w:val="bottom"/>
            <w:tcBorders>
              <w:bottom w:val="single" w:sz="8" w:color="auto"/>
              <w:right w:val="single" w:sz="8" w:color="auto"/>
            </w:tcBorders>
          </w:tcPr>
          <w:p>
            <w:pPr>
              <w:jc w:val="center"/>
              <w:ind w:left="696"/>
              <w:spacing w:after="0"/>
              <w:rPr>
                <w:sz w:val="20"/>
                <w:szCs w:val="20"/>
                <w:color w:val="auto"/>
              </w:rPr>
            </w:pPr>
            <w:r>
              <w:rPr>
                <w:rFonts w:ascii="Times New Roman" w:cs="Times New Roman" w:eastAsia="Times New Roman" w:hAnsi="Times New Roman"/>
                <w:sz w:val="18"/>
                <w:szCs w:val="18"/>
                <w:color w:val="auto"/>
                <w:w w:val="96"/>
              </w:rPr>
              <w:t>CVP</w:t>
            </w:r>
          </w:p>
        </w:tc>
        <w:tc>
          <w:tcPr>
            <w:tcW w:w="322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D. Gorelick</w:t>
            </w:r>
          </w:p>
        </w:tc>
        <w:tc>
          <w:tcPr>
            <w:tcW w:w="4320" w:type="dxa"/>
            <w:vAlign w:val="bottom"/>
            <w:tcBorders>
              <w:bottom w:val="single" w:sz="8" w:color="auto"/>
              <w:right w:val="single" w:sz="8" w:color="auto"/>
            </w:tcBorders>
          </w:tcPr>
          <w:p>
            <w:pPr>
              <w:jc w:val="center"/>
              <w:ind w:left="696"/>
              <w:spacing w:after="0"/>
              <w:rPr>
                <w:sz w:val="20"/>
                <w:szCs w:val="20"/>
                <w:color w:val="auto"/>
              </w:rPr>
            </w:pPr>
            <w:r>
              <w:rPr>
                <w:rFonts w:ascii="Times New Roman" w:cs="Times New Roman" w:eastAsia="Times New Roman" w:hAnsi="Times New Roman"/>
                <w:sz w:val="18"/>
                <w:szCs w:val="18"/>
                <w:color w:val="auto"/>
                <w:w w:val="96"/>
              </w:rPr>
              <w:t>CVP</w:t>
            </w:r>
          </w:p>
        </w:tc>
        <w:tc>
          <w:tcPr>
            <w:tcW w:w="322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Brian Larkin</w:t>
            </w:r>
          </w:p>
        </w:tc>
        <w:tc>
          <w:tcPr>
            <w:tcW w:w="4320" w:type="dxa"/>
            <w:vAlign w:val="bottom"/>
            <w:tcBorders>
              <w:bottom w:val="single" w:sz="8" w:color="auto"/>
              <w:right w:val="single" w:sz="8" w:color="auto"/>
            </w:tcBorders>
          </w:tcPr>
          <w:p>
            <w:pPr>
              <w:jc w:val="center"/>
              <w:ind w:left="696"/>
              <w:spacing w:after="0"/>
              <w:rPr>
                <w:sz w:val="20"/>
                <w:szCs w:val="20"/>
                <w:color w:val="auto"/>
              </w:rPr>
            </w:pPr>
            <w:r>
              <w:rPr>
                <w:rFonts w:ascii="Times New Roman" w:cs="Times New Roman" w:eastAsia="Times New Roman" w:hAnsi="Times New Roman"/>
                <w:sz w:val="18"/>
                <w:szCs w:val="18"/>
                <w:color w:val="auto"/>
                <w:w w:val="96"/>
              </w:rPr>
              <w:t>CVP</w:t>
            </w:r>
          </w:p>
        </w:tc>
        <w:tc>
          <w:tcPr>
            <w:tcW w:w="322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8" w:lineRule="exact"/>
        <w:rPr>
          <w:sz w:val="20"/>
          <w:szCs w:val="20"/>
          <w:color w:val="auto"/>
        </w:rPr>
      </w:pPr>
    </w:p>
    <w:p>
      <w:pPr>
        <w:ind w:left="220" w:right="160" w:hanging="212"/>
        <w:spacing w:after="0" w:line="275" w:lineRule="auto"/>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Henneman’s 2013 target reflects an increase from his 2012 target of 50% in order to realign his compensation mix as part of his transition to our standard 2013 executive compensation program.</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our NEOs has a cash incentive guarantee. None may earn an award in excess of 150% of his/her target.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Bonus Plan provides a clear process for determining bonuses for NEOs.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Threshold Objective for NEOs for 2013</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Committee established a threshold objective for 2013 (80% of prior year EBITDA) for the 2013 NEOs because the Committee believes that EBITDA provides the most complete single metric to assess the Company’s overall performance. The Company did not achieve this goal in 2013, resulting in no cash bonuses for the NEOs.</w:t>
      </w:r>
    </w:p>
    <w:p>
      <w:pPr>
        <w:spacing w:after="0" w:line="5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Had the goal been achieved, the bonus for such NEOs would have been funded at the maximum (150% of their targets). Thereafter, the Committee would have had the ability to exercise only negative discretion in order to determine the actual cash incentive payment for such NEOs based on the funding of the Company’s annual cash incentive pool pursuant to the metrics set forth in the table below and such NEO’s performance.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Incentive Pool Funding Model for 2013</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Bonus Plan was designed to fund an overall pool based on financial metrics for all participants. The aggregate amount of the final payments to all participants, including such NEOs, could not exceed the overall funded pool. The Company’s pool funding model for 2013 was as follows: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4860" w:type="dxa"/>
            <w:vAlign w:val="bottom"/>
            <w:tcBorders>
              <w:top w:val="single" w:sz="8" w:color="auto"/>
              <w:left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jc w:val="right"/>
              <w:ind w:right="439"/>
              <w:spacing w:after="0" w:line="145" w:lineRule="exact"/>
              <w:rPr>
                <w:sz w:val="20"/>
                <w:szCs w:val="20"/>
                <w:color w:val="auto"/>
              </w:rPr>
            </w:pPr>
            <w:r>
              <w:rPr>
                <w:rFonts w:ascii="Times New Roman" w:cs="Times New Roman" w:eastAsia="Times New Roman" w:hAnsi="Times New Roman"/>
                <w:sz w:val="14"/>
                <w:szCs w:val="14"/>
                <w:b w:val="1"/>
                <w:bCs w:val="1"/>
                <w:color w:val="auto"/>
              </w:rPr>
              <w:t>Below</w:t>
            </w:r>
          </w:p>
        </w:tc>
        <w:tc>
          <w:tcPr>
            <w:tcW w:w="1620" w:type="dxa"/>
            <w:vAlign w:val="bottom"/>
            <w:tcBorders>
              <w:top w:val="single" w:sz="8" w:color="auto"/>
              <w:right w:val="single" w:sz="8" w:color="auto"/>
            </w:tcBorders>
          </w:tcPr>
          <w:p>
            <w:pPr>
              <w:jc w:val="right"/>
              <w:ind w:right="339"/>
              <w:spacing w:after="0" w:line="145"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300" w:type="dxa"/>
            <w:vAlign w:val="bottom"/>
            <w:tcBorders>
              <w:top w:val="single" w:sz="8" w:color="auto"/>
              <w:right w:val="single" w:sz="8" w:color="auto"/>
            </w:tcBorders>
          </w:tcPr>
          <w:p>
            <w:pPr>
              <w:jc w:val="right"/>
              <w:ind w:right="339"/>
              <w:spacing w:after="0" w:line="145" w:lineRule="exact"/>
              <w:rPr>
                <w:sz w:val="20"/>
                <w:szCs w:val="20"/>
                <w:color w:val="auto"/>
              </w:rPr>
            </w:pPr>
            <w:r>
              <w:rPr>
                <w:rFonts w:ascii="Times New Roman" w:cs="Times New Roman" w:eastAsia="Times New Roman" w:hAnsi="Times New Roman"/>
                <w:sz w:val="14"/>
                <w:szCs w:val="14"/>
                <w:b w:val="1"/>
                <w:bCs w:val="1"/>
                <w:color w:val="auto"/>
              </w:rPr>
              <w:t>TARGET</w:t>
            </w:r>
          </w:p>
        </w:tc>
        <w:tc>
          <w:tcPr>
            <w:tcW w:w="1180" w:type="dxa"/>
            <w:vAlign w:val="bottom"/>
            <w:tcBorders>
              <w:top w:val="single" w:sz="8" w:color="auto"/>
              <w:right w:val="single" w:sz="8" w:color="auto"/>
            </w:tcBorders>
          </w:tcPr>
          <w:p>
            <w:pPr>
              <w:jc w:val="right"/>
              <w:ind w:right="399"/>
              <w:spacing w:after="0" w:line="145" w:lineRule="exact"/>
              <w:rPr>
                <w:sz w:val="20"/>
                <w:szCs w:val="20"/>
                <w:color w:val="auto"/>
              </w:rPr>
            </w:pPr>
            <w:r>
              <w:rPr>
                <w:rFonts w:ascii="Times New Roman" w:cs="Times New Roman" w:eastAsia="Times New Roman" w:hAnsi="Times New Roman"/>
                <w:sz w:val="14"/>
                <w:szCs w:val="14"/>
                <w:b w:val="1"/>
                <w:bCs w:val="1"/>
                <w:color w:val="auto"/>
              </w:rPr>
              <w:t>MAX</w:t>
            </w:r>
          </w:p>
        </w:tc>
      </w:tr>
      <w:tr>
        <w:trPr>
          <w:trHeight w:val="165"/>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2013 Performance Metric</w:t>
            </w:r>
          </w:p>
        </w:tc>
        <w:tc>
          <w:tcPr>
            <w:tcW w:w="1160" w:type="dxa"/>
            <w:vAlign w:val="bottom"/>
            <w:tcBorders>
              <w:bottom w:val="single" w:sz="8" w:color="auto"/>
              <w:right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3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20" w:type="dxa"/>
            <w:vAlign w:val="bottom"/>
            <w:tcBorders>
              <w:bottom w:val="single" w:sz="8" w:color="auto"/>
              <w:right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GOAL</w:t>
            </w:r>
          </w:p>
        </w:tc>
        <w:tc>
          <w:tcPr>
            <w:tcW w:w="1300" w:type="dxa"/>
            <w:vAlign w:val="bottom"/>
            <w:tcBorders>
              <w:bottom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GOAL</w:t>
            </w:r>
          </w:p>
        </w:tc>
        <w:tc>
          <w:tcPr>
            <w:tcW w:w="1180" w:type="dxa"/>
            <w:vAlign w:val="bottom"/>
            <w:tcBorders>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GOAL</w:t>
            </w:r>
          </w:p>
        </w:tc>
      </w:tr>
      <w:tr>
        <w:trPr>
          <w:trHeight w:val="210"/>
        </w:trPr>
        <w:tc>
          <w:tcPr>
            <w:tcW w:w="4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tcBorders>
              <w:bottom w:val="single" w:sz="8" w:color="auto"/>
              <w:right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95.9%</w:t>
            </w:r>
          </w:p>
        </w:tc>
        <w:tc>
          <w:tcPr>
            <w:tcW w:w="162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96%</w:t>
            </w:r>
          </w:p>
        </w:tc>
        <w:tc>
          <w:tcPr>
            <w:tcW w:w="13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60" w:type="dxa"/>
            <w:vAlign w:val="bottom"/>
            <w:tcBorders>
              <w:bottom w:val="single" w:sz="8" w:color="auto"/>
              <w:right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92.9%</w:t>
            </w:r>
          </w:p>
        </w:tc>
        <w:tc>
          <w:tcPr>
            <w:tcW w:w="162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4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1160" w:type="dxa"/>
            <w:vAlign w:val="bottom"/>
            <w:tcBorders>
              <w:bottom w:val="single" w:sz="8" w:color="auto"/>
              <w:right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84.9%</w:t>
            </w:r>
          </w:p>
        </w:tc>
        <w:tc>
          <w:tcPr>
            <w:tcW w:w="162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85%</w:t>
            </w:r>
          </w:p>
        </w:tc>
        <w:tc>
          <w:tcPr>
            <w:tcW w:w="13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Cash Incentive Pool Funding as % of Target</w:t>
            </w:r>
          </w:p>
        </w:tc>
        <w:tc>
          <w:tcPr>
            <w:tcW w:w="11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150%</w:t>
            </w:r>
          </w:p>
        </w:tc>
      </w:tr>
    </w:tbl>
    <w:p>
      <w:pPr>
        <w:spacing w:after="0" w:line="6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Committee approved these metrics for 2013 because they are key indicators as to the strength of the business, and we believe that they drive stockholder returns over the long term. Because the Company’s results fell below the threshold goals for the performance metrics consisting of revenue, adjusted EBITDA and operating cash flow, the cash incentive pool was not funded for any participants.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2013 Cash Payouts to Executive Officers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participants under the 2013 Bonus Plan, including our NEOs, received any cash bonuses for 2013 performance in 2014 pursuant to such plan.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40"/>
          </w:cols>
          <w:pgMar w:left="240" w:top="455" w:right="2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Discretionary Bonus Plan for Non-Executive Officers</w:t>
      </w:r>
    </w:p>
    <w:p>
      <w:pPr>
        <w:spacing w:after="0" w:line="92"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At the end of 2013, the Committee approved a separate discretionary bonus pool of $1.8 million for cash awards to select key employees who are not executive officers. We did so to enhance retention and motivate employees who worked effectively to address the issues noted above, contributed to our many achievements and positioned the Company for future growth. The discretionary funding represents less than 20% of the total target incentive pool for 2013 performance.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Awards for 2014 under the Bonus Plan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established the following target awards for 2014 for our NEOs: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840" w:type="dxa"/>
            <w:vAlign w:val="bottom"/>
            <w:tcBorders>
              <w:top w:val="single" w:sz="8" w:color="auto"/>
              <w:left w:val="single" w:sz="8" w:color="auto"/>
              <w:right w:val="single" w:sz="8" w:color="auto"/>
            </w:tcBorders>
          </w:tcPr>
          <w:p>
            <w:pPr>
              <w:spacing w:after="0"/>
              <w:rPr>
                <w:sz w:val="12"/>
                <w:szCs w:val="12"/>
                <w:color w:val="auto"/>
              </w:rPr>
            </w:pPr>
          </w:p>
        </w:tc>
        <w:tc>
          <w:tcPr>
            <w:tcW w:w="2320" w:type="dxa"/>
            <w:vAlign w:val="bottom"/>
            <w:tcBorders>
              <w:top w:val="single" w:sz="8" w:color="auto"/>
              <w:right w:val="single" w:sz="8" w:color="auto"/>
            </w:tcBorders>
          </w:tcPr>
          <w:p>
            <w:pPr>
              <w:spacing w:after="0"/>
              <w:rPr>
                <w:sz w:val="12"/>
                <w:szCs w:val="12"/>
                <w:color w:val="auto"/>
              </w:rPr>
            </w:pPr>
          </w:p>
        </w:tc>
        <w:tc>
          <w:tcPr>
            <w:tcW w:w="3280" w:type="dxa"/>
            <w:vAlign w:val="bottom"/>
            <w:tcBorders>
              <w:top w:val="single" w:sz="8" w:color="auto"/>
              <w:right w:val="single" w:sz="8" w:color="auto"/>
            </w:tcBorders>
          </w:tcPr>
          <w:p>
            <w:pPr>
              <w:jc w:val="center"/>
              <w:ind w:left="1921"/>
              <w:spacing w:after="0" w:line="145" w:lineRule="exact"/>
              <w:rPr>
                <w:sz w:val="20"/>
                <w:szCs w:val="20"/>
                <w:color w:val="auto"/>
              </w:rPr>
            </w:pPr>
            <w:r>
              <w:rPr>
                <w:rFonts w:ascii="Times New Roman" w:cs="Times New Roman" w:eastAsia="Times New Roman" w:hAnsi="Times New Roman"/>
                <w:sz w:val="14"/>
                <w:szCs w:val="14"/>
                <w:b w:val="1"/>
                <w:bCs w:val="1"/>
                <w:color w:val="auto"/>
                <w:w w:val="96"/>
              </w:rPr>
              <w:t>Cash Incentive Plan</w:t>
            </w:r>
          </w:p>
        </w:tc>
      </w:tr>
      <w:tr>
        <w:trPr>
          <w:trHeight w:val="149"/>
        </w:trPr>
        <w:tc>
          <w:tcPr>
            <w:tcW w:w="5840" w:type="dxa"/>
            <w:vAlign w:val="bottom"/>
            <w:tcBorders>
              <w:left w:val="single" w:sz="8" w:color="auto"/>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jc w:val="center"/>
              <w:ind w:left="1961"/>
              <w:spacing w:after="0" w:line="149" w:lineRule="exact"/>
              <w:rPr>
                <w:sz w:val="20"/>
                <w:szCs w:val="20"/>
                <w:color w:val="auto"/>
              </w:rPr>
            </w:pPr>
            <w:r>
              <w:rPr>
                <w:rFonts w:ascii="Times New Roman" w:cs="Times New Roman" w:eastAsia="Times New Roman" w:hAnsi="Times New Roman"/>
                <w:sz w:val="14"/>
                <w:szCs w:val="14"/>
                <w:b w:val="1"/>
                <w:bCs w:val="1"/>
                <w:color w:val="auto"/>
                <w:w w:val="88"/>
              </w:rPr>
              <w:t>Target</w:t>
            </w:r>
          </w:p>
        </w:tc>
      </w:tr>
      <w:tr>
        <w:trPr>
          <w:trHeight w:val="149"/>
        </w:trPr>
        <w:tc>
          <w:tcPr>
            <w:tcW w:w="5840" w:type="dxa"/>
            <w:vAlign w:val="bottom"/>
            <w:tcBorders>
              <w:left w:val="single" w:sz="8" w:color="auto"/>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jc w:val="center"/>
              <w:ind w:left="196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 a % of Base</w:t>
            </w:r>
          </w:p>
        </w:tc>
      </w:tr>
      <w:tr>
        <w:trPr>
          <w:trHeight w:val="165"/>
        </w:trPr>
        <w:tc>
          <w:tcPr>
            <w:tcW w:w="5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320" w:type="dxa"/>
            <w:vAlign w:val="bottom"/>
            <w:tcBorders>
              <w:bottom w:val="single" w:sz="8" w:color="auto"/>
              <w:right w:val="single" w:sz="8" w:color="auto"/>
            </w:tcBorders>
          </w:tcPr>
          <w:p>
            <w:pPr>
              <w:jc w:val="center"/>
              <w:ind w:left="1836"/>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280" w:type="dxa"/>
            <w:vAlign w:val="bottom"/>
            <w:tcBorders>
              <w:bottom w:val="single" w:sz="8" w:color="auto"/>
              <w:right w:val="single" w:sz="8" w:color="auto"/>
            </w:tcBorders>
          </w:tcPr>
          <w:p>
            <w:pPr>
              <w:jc w:val="center"/>
              <w:ind w:left="1961"/>
              <w:spacing w:after="0"/>
              <w:rPr>
                <w:sz w:val="20"/>
                <w:szCs w:val="20"/>
                <w:color w:val="auto"/>
              </w:rPr>
            </w:pPr>
            <w:r>
              <w:rPr>
                <w:rFonts w:ascii="Times New Roman" w:cs="Times New Roman" w:eastAsia="Times New Roman" w:hAnsi="Times New Roman"/>
                <w:sz w:val="14"/>
                <w:szCs w:val="14"/>
                <w:b w:val="1"/>
                <w:bCs w:val="1"/>
                <w:color w:val="auto"/>
                <w:w w:val="92"/>
              </w:rPr>
              <w:t>Salary</w:t>
            </w:r>
          </w:p>
        </w:tc>
      </w:tr>
      <w:tr>
        <w:trPr>
          <w:trHeight w:val="210"/>
        </w:trPr>
        <w:tc>
          <w:tcPr>
            <w:tcW w:w="58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Peter J. Arduini</w:t>
            </w:r>
          </w:p>
        </w:tc>
        <w:tc>
          <w:tcPr>
            <w:tcW w:w="2320" w:type="dxa"/>
            <w:vAlign w:val="bottom"/>
            <w:tcBorders>
              <w:bottom w:val="single" w:sz="8" w:color="auto"/>
              <w:right w:val="single" w:sz="8" w:color="auto"/>
            </w:tcBorders>
            <w:shd w:val="clear" w:color="auto" w:fill="CCEEFF"/>
          </w:tcPr>
          <w:p>
            <w:pPr>
              <w:jc w:val="center"/>
              <w:ind w:left="1836"/>
              <w:spacing w:after="0"/>
              <w:rPr>
                <w:sz w:val="20"/>
                <w:szCs w:val="20"/>
                <w:color w:val="auto"/>
              </w:rPr>
            </w:pPr>
            <w:r>
              <w:rPr>
                <w:rFonts w:ascii="Times New Roman" w:cs="Times New Roman" w:eastAsia="Times New Roman" w:hAnsi="Times New Roman"/>
                <w:sz w:val="18"/>
                <w:szCs w:val="18"/>
                <w:color w:val="auto"/>
                <w:w w:val="99"/>
              </w:rPr>
              <w:t>CEO</w:t>
            </w:r>
          </w:p>
        </w:tc>
        <w:tc>
          <w:tcPr>
            <w:tcW w:w="328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5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B. Henneman, III</w:t>
            </w:r>
          </w:p>
        </w:tc>
        <w:tc>
          <w:tcPr>
            <w:tcW w:w="2320" w:type="dxa"/>
            <w:vAlign w:val="bottom"/>
            <w:tcBorders>
              <w:bottom w:val="single" w:sz="8" w:color="auto"/>
              <w:right w:val="single" w:sz="8" w:color="auto"/>
            </w:tcBorders>
          </w:tcPr>
          <w:p>
            <w:pPr>
              <w:jc w:val="center"/>
              <w:ind w:left="1856"/>
              <w:spacing w:after="0"/>
              <w:rPr>
                <w:sz w:val="20"/>
                <w:szCs w:val="20"/>
                <w:color w:val="auto"/>
              </w:rPr>
            </w:pPr>
            <w:r>
              <w:rPr>
                <w:rFonts w:ascii="Times New Roman" w:cs="Times New Roman" w:eastAsia="Times New Roman" w:hAnsi="Times New Roman"/>
                <w:sz w:val="18"/>
                <w:szCs w:val="18"/>
                <w:color w:val="auto"/>
                <w:w w:val="96"/>
              </w:rPr>
              <w:t>CFO</w:t>
            </w:r>
          </w:p>
        </w:tc>
        <w:tc>
          <w:tcPr>
            <w:tcW w:w="328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58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T. Davis, Jr.</w:t>
            </w:r>
          </w:p>
        </w:tc>
        <w:tc>
          <w:tcPr>
            <w:tcW w:w="2320" w:type="dxa"/>
            <w:vAlign w:val="bottom"/>
            <w:tcBorders>
              <w:bottom w:val="single" w:sz="8" w:color="auto"/>
              <w:right w:val="single" w:sz="8" w:color="auto"/>
            </w:tcBorders>
            <w:shd w:val="clear" w:color="auto" w:fill="CCEEFF"/>
          </w:tcPr>
          <w:p>
            <w:pPr>
              <w:jc w:val="center"/>
              <w:ind w:left="1856"/>
              <w:spacing w:after="0"/>
              <w:rPr>
                <w:sz w:val="20"/>
                <w:szCs w:val="20"/>
                <w:color w:val="auto"/>
              </w:rPr>
            </w:pPr>
            <w:r>
              <w:rPr>
                <w:rFonts w:ascii="Times New Roman" w:cs="Times New Roman" w:eastAsia="Times New Roman" w:hAnsi="Times New Roman"/>
                <w:sz w:val="18"/>
                <w:szCs w:val="18"/>
                <w:color w:val="auto"/>
                <w:w w:val="96"/>
              </w:rPr>
              <w:t>CVP</w:t>
            </w:r>
          </w:p>
        </w:tc>
        <w:tc>
          <w:tcPr>
            <w:tcW w:w="328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D. Gorelick</w:t>
            </w:r>
          </w:p>
        </w:tc>
        <w:tc>
          <w:tcPr>
            <w:tcW w:w="2320" w:type="dxa"/>
            <w:vAlign w:val="bottom"/>
            <w:tcBorders>
              <w:bottom w:val="single" w:sz="8" w:color="auto"/>
              <w:right w:val="single" w:sz="8" w:color="auto"/>
            </w:tcBorders>
          </w:tcPr>
          <w:p>
            <w:pPr>
              <w:jc w:val="center"/>
              <w:ind w:left="1856"/>
              <w:spacing w:after="0"/>
              <w:rPr>
                <w:sz w:val="20"/>
                <w:szCs w:val="20"/>
                <w:color w:val="auto"/>
              </w:rPr>
            </w:pPr>
            <w:r>
              <w:rPr>
                <w:rFonts w:ascii="Times New Roman" w:cs="Times New Roman" w:eastAsia="Times New Roman" w:hAnsi="Times New Roman"/>
                <w:sz w:val="18"/>
                <w:szCs w:val="18"/>
                <w:color w:val="auto"/>
                <w:w w:val="96"/>
              </w:rPr>
              <w:t>CVP</w:t>
            </w:r>
          </w:p>
        </w:tc>
        <w:tc>
          <w:tcPr>
            <w:tcW w:w="328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58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Brian Larkin</w:t>
            </w:r>
          </w:p>
        </w:tc>
        <w:tc>
          <w:tcPr>
            <w:tcW w:w="2320" w:type="dxa"/>
            <w:vAlign w:val="bottom"/>
            <w:tcBorders>
              <w:bottom w:val="single" w:sz="8" w:color="auto"/>
              <w:right w:val="single" w:sz="8" w:color="auto"/>
            </w:tcBorders>
            <w:shd w:val="clear" w:color="auto" w:fill="CCEEFF"/>
          </w:tcPr>
          <w:p>
            <w:pPr>
              <w:jc w:val="center"/>
              <w:ind w:left="1856"/>
              <w:spacing w:after="0"/>
              <w:rPr>
                <w:sz w:val="20"/>
                <w:szCs w:val="20"/>
                <w:color w:val="auto"/>
              </w:rPr>
            </w:pPr>
            <w:r>
              <w:rPr>
                <w:rFonts w:ascii="Times New Roman" w:cs="Times New Roman" w:eastAsia="Times New Roman" w:hAnsi="Times New Roman"/>
                <w:sz w:val="18"/>
                <w:szCs w:val="18"/>
                <w:color w:val="auto"/>
                <w:w w:val="96"/>
              </w:rPr>
              <w:t>CVP</w:t>
            </w:r>
          </w:p>
        </w:tc>
        <w:tc>
          <w:tcPr>
            <w:tcW w:w="328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w:t>
            </w:r>
          </w:p>
        </w:tc>
      </w:tr>
    </w:tbl>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our NEOs has a cash incentive guarantee. None may earn an award in excess of 150% of his/her target.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Bonus Plan provides a clear process for determining bonuses for NEOs.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Threshold Objective for NEOs for 2014</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Committee has established a threshold objective for 2014 (80% of prior year EBITDA) for the executive officers, including the NEOs based on the prior year’s EBITDA, which the Committee believes is the most complete single metric to assess the Company’s performance. If the goal is achieved, the bonus for each executive officer, including the NEOs, will be funded at the maximum (150% of his or her target). Thereafter, the Committee may exercise only negative discretion in determining the actual cash incentive payment for each executive officer, including the NEOs, using only the funding of the Company’s annual cash incentive pool pursuant to the metrics set forth in the table below and each executive officer’s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Incentive Pool Funding Model for 2014</w:t>
      </w:r>
    </w:p>
    <w:p>
      <w:pPr>
        <w:spacing w:after="0" w:line="92" w:lineRule="exact"/>
        <w:rPr>
          <w:sz w:val="20"/>
          <w:szCs w:val="20"/>
          <w:color w:val="auto"/>
        </w:rPr>
      </w:pPr>
    </w:p>
    <w:p>
      <w:pPr>
        <w:ind w:right="480" w:firstLine="456"/>
        <w:spacing w:after="0" w:line="310" w:lineRule="auto"/>
        <w:rPr>
          <w:sz w:val="20"/>
          <w:szCs w:val="20"/>
          <w:color w:val="auto"/>
        </w:rPr>
      </w:pPr>
      <w:r>
        <w:rPr>
          <w:rFonts w:ascii="Times New Roman" w:cs="Times New Roman" w:eastAsia="Times New Roman" w:hAnsi="Times New Roman"/>
          <w:sz w:val="16"/>
          <w:szCs w:val="16"/>
          <w:color w:val="auto"/>
        </w:rPr>
        <w:t>The Bonus Plan funds an overall pool based on financial metrics for all participants. The aggregate amount of the final payments to all participants, including the NEOs, may not exceed the overall funded pool. The Company’s pool funding model for 2014 is shown below. The Committee approved these metrics for 2014 because they are key indicators as to the strength of the business, and we believe they drive stockholder returns over the long term.</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980" w:type="dxa"/>
            <w:vAlign w:val="bottom"/>
            <w:tcBorders>
              <w:top w:val="single" w:sz="8" w:color="auto"/>
              <w:left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jc w:val="right"/>
              <w:ind w:right="539"/>
              <w:spacing w:after="0" w:line="145" w:lineRule="exact"/>
              <w:rPr>
                <w:sz w:val="20"/>
                <w:szCs w:val="20"/>
                <w:color w:val="auto"/>
              </w:rPr>
            </w:pPr>
            <w:r>
              <w:rPr>
                <w:rFonts w:ascii="Times New Roman" w:cs="Times New Roman" w:eastAsia="Times New Roman" w:hAnsi="Times New Roman"/>
                <w:sz w:val="14"/>
                <w:szCs w:val="14"/>
                <w:b w:val="1"/>
                <w:bCs w:val="1"/>
                <w:color w:val="auto"/>
              </w:rPr>
              <w:t>Below</w:t>
            </w:r>
          </w:p>
        </w:tc>
        <w:tc>
          <w:tcPr>
            <w:tcW w:w="1780" w:type="dxa"/>
            <w:vAlign w:val="bottom"/>
            <w:tcBorders>
              <w:top w:val="single" w:sz="8" w:color="auto"/>
              <w:right w:val="single" w:sz="8" w:color="auto"/>
            </w:tcBorders>
          </w:tcPr>
          <w:p>
            <w:pPr>
              <w:jc w:val="right"/>
              <w:ind w:right="419"/>
              <w:spacing w:after="0" w:line="145"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500" w:type="dxa"/>
            <w:vAlign w:val="bottom"/>
            <w:tcBorders>
              <w:top w:val="single" w:sz="8" w:color="auto"/>
              <w:right w:val="single" w:sz="8" w:color="auto"/>
            </w:tcBorders>
          </w:tcPr>
          <w:p>
            <w:pPr>
              <w:jc w:val="right"/>
              <w:ind w:right="439"/>
              <w:spacing w:after="0" w:line="145" w:lineRule="exact"/>
              <w:rPr>
                <w:sz w:val="20"/>
                <w:szCs w:val="20"/>
                <w:color w:val="auto"/>
              </w:rPr>
            </w:pPr>
            <w:r>
              <w:rPr>
                <w:rFonts w:ascii="Times New Roman" w:cs="Times New Roman" w:eastAsia="Times New Roman" w:hAnsi="Times New Roman"/>
                <w:sz w:val="14"/>
                <w:szCs w:val="14"/>
                <w:b w:val="1"/>
                <w:bCs w:val="1"/>
                <w:color w:val="auto"/>
              </w:rPr>
              <w:t>TARGET</w:t>
            </w:r>
          </w:p>
        </w:tc>
        <w:tc>
          <w:tcPr>
            <w:tcW w:w="1360" w:type="dxa"/>
            <w:vAlign w:val="bottom"/>
            <w:tcBorders>
              <w:top w:val="single" w:sz="8" w:color="auto"/>
              <w:right w:val="single" w:sz="8" w:color="auto"/>
            </w:tcBorders>
          </w:tcPr>
          <w:p>
            <w:pPr>
              <w:jc w:val="right"/>
              <w:ind w:right="499"/>
              <w:spacing w:after="0" w:line="145" w:lineRule="exact"/>
              <w:rPr>
                <w:sz w:val="20"/>
                <w:szCs w:val="20"/>
                <w:color w:val="auto"/>
              </w:rPr>
            </w:pPr>
            <w:r>
              <w:rPr>
                <w:rFonts w:ascii="Times New Roman" w:cs="Times New Roman" w:eastAsia="Times New Roman" w:hAnsi="Times New Roman"/>
                <w:sz w:val="14"/>
                <w:szCs w:val="14"/>
                <w:b w:val="1"/>
                <w:bCs w:val="1"/>
                <w:color w:val="auto"/>
              </w:rPr>
              <w:t>MAX</w:t>
            </w:r>
          </w:p>
        </w:tc>
      </w:tr>
      <w:tr>
        <w:trPr>
          <w:trHeight w:val="165"/>
        </w:trPr>
        <w:tc>
          <w:tcPr>
            <w:tcW w:w="3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2014 Performance Metric</w:t>
            </w:r>
          </w:p>
        </w:tc>
        <w:tc>
          <w:tcPr>
            <w:tcW w:w="132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500" w:type="dxa"/>
            <w:vAlign w:val="bottom"/>
            <w:tcBorders>
              <w:bottom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780" w:type="dxa"/>
            <w:vAlign w:val="bottom"/>
            <w:tcBorders>
              <w:bottom w:val="single" w:sz="8" w:color="auto"/>
              <w:right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GOAL</w:t>
            </w:r>
          </w:p>
        </w:tc>
        <w:tc>
          <w:tcPr>
            <w:tcW w:w="1500" w:type="dxa"/>
            <w:vAlign w:val="bottom"/>
            <w:tcBorders>
              <w:bottom w:val="single" w:sz="8" w:color="auto"/>
              <w:right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GOAL</w:t>
            </w:r>
          </w:p>
        </w:tc>
        <w:tc>
          <w:tcPr>
            <w:tcW w:w="1360" w:type="dxa"/>
            <w:vAlign w:val="bottom"/>
            <w:tcBorders>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GOAL</w:t>
            </w:r>
          </w:p>
        </w:tc>
      </w:tr>
      <w:tr>
        <w:trPr>
          <w:trHeight w:val="210"/>
        </w:trPr>
        <w:tc>
          <w:tcPr>
            <w:tcW w:w="39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40%</w:t>
            </w:r>
          </w:p>
        </w:tc>
        <w:tc>
          <w:tcPr>
            <w:tcW w:w="15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95.9%</w:t>
            </w:r>
          </w:p>
        </w:tc>
        <w:tc>
          <w:tcPr>
            <w:tcW w:w="178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96%</w:t>
            </w:r>
          </w:p>
        </w:tc>
        <w:tc>
          <w:tcPr>
            <w:tcW w:w="15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3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20" w:type="dxa"/>
            <w:vAlign w:val="bottom"/>
            <w:tcBorders>
              <w:bottom w:val="single" w:sz="8" w:color="auto"/>
              <w:right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92.9%</w:t>
            </w:r>
          </w:p>
        </w:tc>
        <w:tc>
          <w:tcPr>
            <w:tcW w:w="178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rPr>
              <w:t>93%</w:t>
            </w:r>
          </w:p>
        </w:tc>
        <w:tc>
          <w:tcPr>
            <w:tcW w:w="150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39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132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84.9%</w:t>
            </w:r>
          </w:p>
        </w:tc>
        <w:tc>
          <w:tcPr>
            <w:tcW w:w="178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85%</w:t>
            </w:r>
          </w:p>
        </w:tc>
        <w:tc>
          <w:tcPr>
            <w:tcW w:w="15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3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Cash Incentive Pool Funding as % of Target</w:t>
            </w:r>
          </w:p>
        </w:tc>
        <w:tc>
          <w:tcPr>
            <w:tcW w:w="13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150%</w:t>
            </w:r>
          </w:p>
        </w:tc>
      </w:tr>
    </w:tbl>
    <w:p>
      <w:pPr>
        <w:spacing w:after="0" w:line="67"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2014 funding model assigns a greater weight to operating cash flow than in 2013, to motivate the management to focus on the generation of cash in the business.</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40"/>
          </w:cols>
          <w:pgMar w:left="240" w:top="455" w:right="2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Discretion to Determine Final Payout for 2014</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has negative discretion to reduce awards for each executive officer, including the NEOs, for 2014 based on the following metrics:</w:t>
      </w:r>
    </w:p>
    <w:p>
      <w:pPr>
        <w:spacing w:after="0" w:line="90" w:lineRule="exact"/>
        <w:rPr>
          <w:sz w:val="20"/>
          <w:szCs w:val="20"/>
          <w:color w:val="auto"/>
        </w:rPr>
      </w:pPr>
    </w:p>
    <w:p>
      <w:pPr>
        <w:ind w:left="700" w:hanging="24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weight on financial and quantitative measures including revenue, operating cash flow and adjusted EBITDA.</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weight on qualitative measures including leadership objectives and strategic initiatives.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Refined Long-Term Equity Incentive Plan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Equity Grants</w:t>
      </w:r>
    </w:p>
    <w:p>
      <w:pPr>
        <w:spacing w:after="0" w:line="92" w:lineRule="exact"/>
        <w:rPr>
          <w:sz w:val="20"/>
          <w:szCs w:val="20"/>
          <w:color w:val="auto"/>
        </w:rPr>
      </w:pPr>
    </w:p>
    <w:p>
      <w:pPr>
        <w:ind w:left="700" w:hanging="246"/>
        <w:spacing w:after="0" w:line="25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in connection with the change in control) to a “double trigger” (meaning that the accelerated vesting occurs upon both the change in control and a qualifying termination of employment), and (ii) to add a “clawback” provision that requires executives under certain circumstances to return compensation received on the basis of financial statements that are subsequently restated.</w:t>
      </w:r>
    </w:p>
    <w:p>
      <w:pPr>
        <w:spacing w:after="0" w:line="57"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2013 annual equity grant to each of our NEOs was based on their performance for 2012 as well as long-term potential and retention considerations.</w:t>
      </w:r>
    </w:p>
    <w:p>
      <w:pPr>
        <w:spacing w:after="0" w:line="113" w:lineRule="exact"/>
        <w:rPr>
          <w:rFonts w:ascii="Times New Roman" w:cs="Times New Roman" w:eastAsia="Times New Roman" w:hAnsi="Times New Roman"/>
          <w:sz w:val="16"/>
          <w:szCs w:val="16"/>
          <w:color w:val="auto"/>
        </w:rPr>
      </w:pPr>
    </w:p>
    <w:p>
      <w:pPr>
        <w:ind w:left="700" w:right="40" w:hanging="246"/>
        <w:spacing w:after="0" w:line="25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2013, each NEO, other than the CEO, received one equity grant consisting of 50% restricted stock and 50% performance stock units. For more information on the CEO’s 2013 equity award, please refer to the section below entitled “Annual Review of Compensation.” The restricted stock vests annually over three years. The performance stock units vest over three years contingent on achieving our revenue growth goal that we believe drives long-term total stockholder return. For 2013 grants, the performance objective based on revenue growth, which was not achieved, is described in more detail below.</w:t>
      </w:r>
    </w:p>
    <w:p>
      <w:pPr>
        <w:spacing w:after="0" w:line="57"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performance stock units granted to the NEOs in March 2013, the performance stock units shall vest as follows:</w:t>
      </w:r>
    </w:p>
    <w:p>
      <w:pPr>
        <w:spacing w:after="0" w:line="90" w:lineRule="exact"/>
        <w:rPr>
          <w:rFonts w:ascii="Times New Roman" w:cs="Times New Roman" w:eastAsia="Times New Roman" w:hAnsi="Times New Roman"/>
          <w:sz w:val="18"/>
          <w:szCs w:val="18"/>
          <w:color w:val="auto"/>
        </w:rPr>
      </w:pPr>
    </w:p>
    <w:p>
      <w:pPr>
        <w:ind w:left="1020" w:right="60" w:hanging="215"/>
        <w:spacing w:after="0" w:line="26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had achieved the performance goal with respect to fiscal year 2013, the performance stock units would have vested with respect to one-third of the shares covered thereby on the later of (A) the first anniversary of the award date or (B) the date on which the Committee took the action determining that the Company achieved the performance goal with respect to fiscal year 2013.</w:t>
      </w:r>
    </w:p>
    <w:p>
      <w:pPr>
        <w:spacing w:after="0" w:line="51" w:lineRule="exact"/>
        <w:rPr>
          <w:rFonts w:ascii="Times New Roman" w:cs="Times New Roman" w:eastAsia="Times New Roman" w:hAnsi="Times New Roman"/>
          <w:sz w:val="18"/>
          <w:szCs w:val="18"/>
          <w:color w:val="auto"/>
        </w:rPr>
      </w:pPr>
    </w:p>
    <w:p>
      <w:pPr>
        <w:ind w:left="1020" w:right="40" w:hanging="215"/>
        <w:spacing w:after="0" w:line="26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annual revenues of the Company did not increase from 2012 to 2013 by our goal of 3% (revenues increased from $830.9 million in 2012 to $836.2 million in 2013, an increase of 0.6%), the Company did not achieve its performance goal with respect to fiscal year 2013, and as a result, no vesting occurred with respect to one-third of the shares covered by the performance stock units granted to the NEOs in 2013.</w:t>
      </w:r>
    </w:p>
    <w:p>
      <w:pPr>
        <w:spacing w:after="0" w:line="51" w:lineRule="exact"/>
        <w:rPr>
          <w:rFonts w:ascii="Times New Roman" w:cs="Times New Roman" w:eastAsia="Times New Roman" w:hAnsi="Times New Roman"/>
          <w:sz w:val="18"/>
          <w:szCs w:val="18"/>
          <w:color w:val="auto"/>
        </w:rPr>
      </w:pPr>
    </w:p>
    <w:p>
      <w:pPr>
        <w:ind w:left="1020" w:right="140" w:hanging="215"/>
        <w:spacing w:after="0" w:line="26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achieves the performance goal with respect to fiscal year 2014, the performance stock units shall vest with respect to one-third of the shares covered thereby on the later of (A) the second anniversary of the award date or (B) the date on which the Committee takes the action determining that the Company achieved the performance goal with respect to fiscal year 2014; and</w:t>
      </w:r>
    </w:p>
    <w:p>
      <w:pPr>
        <w:spacing w:after="0" w:line="51" w:lineRule="exact"/>
        <w:rPr>
          <w:rFonts w:ascii="Times New Roman" w:cs="Times New Roman" w:eastAsia="Times New Roman" w:hAnsi="Times New Roman"/>
          <w:sz w:val="18"/>
          <w:szCs w:val="18"/>
          <w:color w:val="auto"/>
        </w:rPr>
      </w:pPr>
    </w:p>
    <w:p>
      <w:pPr>
        <w:ind w:left="1020" w:right="140" w:hanging="215"/>
        <w:spacing w:after="0" w:line="26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achieves the performance goal with respect to fiscal year 2015, the performance stock units shall vest with respect to one-third of the shares covered thereby on the later of (A) the third anniversary of the award date or (B) the date on which the Committee takes the action determining that the Company achieved the performance goal with respect to fiscal year 2015.</w:t>
      </w:r>
    </w:p>
    <w:p>
      <w:pPr>
        <w:spacing w:after="0" w:line="51" w:lineRule="exact"/>
        <w:rPr>
          <w:rFonts w:ascii="Times New Roman" w:cs="Times New Roman" w:eastAsia="Times New Roman" w:hAnsi="Times New Roman"/>
          <w:sz w:val="18"/>
          <w:szCs w:val="18"/>
          <w:color w:val="auto"/>
        </w:rPr>
      </w:pPr>
    </w:p>
    <w:p>
      <w:pPr>
        <w:ind w:left="1020" w:right="40" w:hanging="215"/>
        <w:spacing w:after="0" w:line="26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2013 grants is the three-year period beginning January 1, 2013 and ending December 31, 2015. With respect to each fiscal year in the performance period for the 2013 grants, the performance goal is that the Company achieves an increase in annual revenue of at least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40" w:right="40"/>
        <w:spacing w:after="0" w:line="255" w:lineRule="auto"/>
        <w:rPr>
          <w:sz w:val="20"/>
          <w:szCs w:val="20"/>
          <w:color w:val="auto"/>
        </w:rPr>
      </w:pPr>
      <w:r>
        <w:rPr>
          <w:rFonts w:ascii="Times New Roman" w:cs="Times New Roman" w:eastAsia="Times New Roman" w:hAnsi="Times New Roman"/>
          <w:sz w:val="18"/>
          <w:szCs w:val="18"/>
          <w:color w:val="auto"/>
        </w:rPr>
        <w:t>3% over the prior fiscal year. If the minimum growth goal is not achieved in a given year, vesting will not occur with respect to the shares covered by the performance goal for that year. In that situation, in order to achieve full vesting of the 2013 grants, the catch-up performance goal must be achieved. The catch-up performance goal for the 2013 grants is that the Company achieves, during the performance period, a compound annual growth rate in the Company’s annual revenue equal to or greater than 3% from the Company’s 2012 fiscal year. Therefore, even if the annual revenue growth goal is not met during any year of the performance period, the full award can still be fully earned and vested after the completion of the performance period if the catch-up goal is achieved.</w:t>
      </w:r>
    </w:p>
    <w:p>
      <w:pPr>
        <w:spacing w:after="0" w:line="58" w:lineRule="exact"/>
        <w:rPr>
          <w:sz w:val="20"/>
          <w:szCs w:val="20"/>
          <w:color w:val="auto"/>
        </w:rPr>
      </w:pPr>
    </w:p>
    <w:p>
      <w:pPr>
        <w:ind w:left="1020" w:right="40" w:hanging="215"/>
        <w:spacing w:after="0" w:line="26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performance goal exceeds the performance goal for any individual year because the “catch-up” goal requires compounded revenue growth, and the goals for the individual years do not. In order to achieve the “catch-up” performance goal for the 2013 performance stock unit grant, the Company will have to average 4.2% revenue growth in both 2014 and 2015.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Equity Grants</w:t>
      </w:r>
    </w:p>
    <w:p>
      <w:pPr>
        <w:spacing w:after="0" w:line="92" w:lineRule="exact"/>
        <w:rPr>
          <w:sz w:val="20"/>
          <w:szCs w:val="20"/>
          <w:color w:val="auto"/>
        </w:rPr>
      </w:pPr>
    </w:p>
    <w:p>
      <w:pPr>
        <w:ind w:left="700" w:right="60" w:hanging="246"/>
        <w:spacing w:after="0" w:line="26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equity grants are intended to provide long-term incentive and performance-based compensation to our executives. Accordingly, the amount of the 2014 annual equity grant to each of our NEOs is based on their performance over the long-term and during 2013, each executive’s long-term potential and retention considerations and information about the market for comparable executives.</w:t>
      </w:r>
    </w:p>
    <w:p>
      <w:pPr>
        <w:spacing w:after="0" w:line="51" w:lineRule="exact"/>
        <w:rPr>
          <w:rFonts w:ascii="Times New Roman" w:cs="Times New Roman" w:eastAsia="Times New Roman" w:hAnsi="Times New Roman"/>
          <w:sz w:val="18"/>
          <w:szCs w:val="18"/>
          <w:color w:val="auto"/>
        </w:rPr>
      </w:pPr>
    </w:p>
    <w:p>
      <w:pPr>
        <w:ind w:left="700" w:hanging="246"/>
        <w:spacing w:after="0" w:line="258"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2014, Messrs. Henneman, Davis and Gorelick each received an equity grant consisting of 50% restricted stock and 50% performance stock units. For more information on the CEO’s 2014 equity award, please refer to the section below entitled “Annual Review of Compensation.” The restricted stock vests annually over three years. The performance stock units vest over three years contingent on achieving our revenue growth goal that we believe drives long-term total stockholder return.</w:t>
      </w:r>
    </w:p>
    <w:p>
      <w:pPr>
        <w:spacing w:after="0" w:line="55" w:lineRule="exact"/>
        <w:rPr>
          <w:rFonts w:ascii="Times New Roman" w:cs="Times New Roman" w:eastAsia="Times New Roman" w:hAnsi="Times New Roman"/>
          <w:sz w:val="18"/>
          <w:szCs w:val="18"/>
          <w:color w:val="auto"/>
        </w:rPr>
      </w:pPr>
    </w:p>
    <w:p>
      <w:pPr>
        <w:ind w:left="700" w:right="320" w:hanging="246"/>
        <w:spacing w:after="0" w:line="26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stock units granted in March 2014 will vest in annual installments (assuming the 3% annual revenue growth performance goal is achieved each year) in the same manner as the performance stock units granted in March 2013, except that the performance period is the three-year period beginning January 1, 2014 and ending December 31,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Metric and Goal Setting Considerations</w:t>
      </w:r>
    </w:p>
    <w:p>
      <w:pPr>
        <w:spacing w:after="0" w:line="92"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6"/>
          <w:szCs w:val="16"/>
          <w:color w:val="auto"/>
        </w:rPr>
        <w:t>The revenue growth metric for our awards of performance stock units is similar to the metric used in the Bonus Plan. Profitable growth is a core component of our plans to become a multi-billion dollar global medical technology company. In our industry, the increasingly competitive and complex landscape, increasing global regulation, the medical device excise tax, and overall pricing pressure have driven an even stronger correlation between scale, as measured by revenue.</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These considerations drive our strategy and annual objectives. As a result, we believe that linking our equity grants to revenues creates an appropriate way to measure and reward performance and drive profitable growth.</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annually review the metrics (and related goal targets) used in our annual and long-term incentive programs to ensure they remain aligned with Integra’s strategic plan. The three-year annual revenue growth goal derives from a rigorous process that involves input and discussions among the President and CEO, internal human resources and finance personnel, the Company’s compensation consultants, the Committee, and the Committee’s compensation consultants and legal advisors. The first installment of the 2013 performance stock units award did not vest in 2013 because we did not achieve the revenue growth target, which demonstrates that the Company establishes ambitious goals in light of the challenging environment for medical device companies.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Governance Features Relating to Executive Compensation</w:t>
      </w:r>
    </w:p>
    <w:p>
      <w:pPr>
        <w:spacing w:after="0" w:line="9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Committee has a number of corporate governance features related to executive compensation, which we summarize below. We believe that these mechanisms assure the alignment of our executive compensation with the interests of stockholders.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Key Characteristics</w:t>
            </w:r>
          </w:p>
        </w:tc>
      </w:tr>
      <w:tr>
        <w:trPr>
          <w:trHeight w:val="195"/>
        </w:trPr>
        <w:tc>
          <w:tcPr>
            <w:tcW w:w="336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Stock ownership guidelines and retention</w:t>
            </w:r>
          </w:p>
        </w:tc>
        <w:tc>
          <w:tcPr>
            <w:tcW w:w="356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To align the long-term interests of executives</w:t>
            </w:r>
          </w:p>
        </w:tc>
        <w:tc>
          <w:tcPr>
            <w:tcW w:w="45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The CEO is required to own shares equal to 5x his annual</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requirements</w:t>
            </w: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with stockholders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salary; the CFO is required to own 2x his annual salary;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executives are required to own 1x their annual salaries.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of our NEOs have met these requirements. Executive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officers are required to hold stock received from the</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pursuant to the stock ownership guidelines.</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Compensation recoupment (“clawback”)</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w w:val="98"/>
              </w:rPr>
              <w:t>To ensure that compensation is paid only upon</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If a restatement of our financial statements is required to</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policy</w:t>
            </w: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proven results.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correct a material error or inaccuracy due to the fraud or</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intentional misconduct of an executive officer,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can recoup from that executive officer bonuses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equity awards awarded on or after January 1, 2013 and</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cancel outstanding bonus or equity award opportunities.</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Anti-hedging/pledging policy</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ensure that equity compensation is an</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No officer may hedge or pledge our securities. Also,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effective method to align the interests of</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officers and several other senior executives must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executives and stockholders.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pre-clear trades involving Company stock with our Law</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Department.</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No “gross-ups”</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minimize the enhancement of our NEOs’</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No executive officer is eligible to receive any tax gross-ups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overall compensation policies.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perquisites or excise taxes, such as 280G taxes in the</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event of a change of control.</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“Double trigger” change in control</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prevent undue windfalls in the event of a</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Our equity plans and equity grant agreements require a</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arrangements</w:t>
            </w: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change in control.</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 in control in order to accelerate vesting of equity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awards granted on or after January 1, 2013. In addition,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 in control provisions in our employment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severance agreements for executives require a qualifying</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termination of employment in addition to a change in control</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before triggering change in control benefits.</w:t>
            </w: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35</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455" w:right="2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Key Characteristics</w:t>
            </w:r>
          </w:p>
        </w:tc>
      </w:tr>
      <w:tr>
        <w:trPr>
          <w:trHeight w:val="195"/>
        </w:trPr>
        <w:tc>
          <w:tcPr>
            <w:tcW w:w="336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Equity awards</w:t>
            </w:r>
          </w:p>
        </w:tc>
        <w:tc>
          <w:tcPr>
            <w:tcW w:w="356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To retain and attract highly qualified</w:t>
            </w:r>
          </w:p>
        </w:tc>
        <w:tc>
          <w:tcPr>
            <w:tcW w:w="45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We include equity as a primary component of the long-term</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executives and tie their performance to the</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of our NEOs and other executives. In 2013,</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performance of our stock, thus aligning their</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grant value was determined based on each executive’s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interests with the interests of our stockholders.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long-term performance and potential in light of market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considerations. In addition, 50% of each executive’s 2013</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award vests only if specified Company performance</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objectives are met.</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Bonus Plan</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w w:val="98"/>
              </w:rPr>
              <w:t>To provide annual cash incentive opportunities</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In 2013, we adopted (and shareholders approved) a new</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6"/>
              </w:rPr>
              <w:t>based on the achievement of performance goals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performance-based cash incentive plan designed to allow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and satisfy Section 162(m) requirements for</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to grant bonuses intended to be “qualified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awards intended to qualify as</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performance-based compensation” under Section 162(m).</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4520" w:type="dxa"/>
            <w:vAlign w:val="bottom"/>
            <w:tcBorders>
              <w:bottom w:val="single" w:sz="8" w:color="auto"/>
              <w:right w:val="single" w:sz="8" w:color="auto"/>
            </w:tcBorders>
          </w:tcPr>
          <w:p>
            <w:pPr>
              <w:spacing w:after="0"/>
              <w:rPr>
                <w:sz w:val="19"/>
                <w:szCs w:val="19"/>
                <w:color w:val="auto"/>
              </w:rPr>
            </w:pP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Cap on annual cash incentives</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achieve the appropriate balance between</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We limit the amount of any annual bonus awarded to any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fixed and variable compensation.</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executive officer to a maximum of 150% of the related target</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No minimums or guarantees</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motivate our executives to perform under</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Our NEOs have no guarantees or minimums related to base</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all circumstances.</w:t>
            </w: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salary increases, bonuses or equity awards.</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Few perquisites</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focus executives on performance elements</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Our executives participate in broad-based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compensation.</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Company-sponsored benefits programs on the same basis as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full-time employees, except for the Executive Physical</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Medical Exam Program noted below.</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No SERP</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focus executives on performance elements</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Our executives participate in the same defined contribution</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of compensation and long-term value creation.</w:t>
            </w: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retirement plan as other employees.</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Risk Management</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w w:val="98"/>
              </w:rPr>
              <w:t>To conform to Integra’s brand promise to limit</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We have a strong risk management approach involving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uncertainty.</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broad spectrum of departments with specific responsibilities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assigned to management, the Board and the Board’s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committees. We review how the Company assesses,</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addresses, and reports risk annually with the Board.</w:t>
            </w:r>
          </w:p>
        </w:tc>
      </w:tr>
      <w:tr>
        <w:trPr>
          <w:trHeight w:val="196"/>
        </w:trPr>
        <w:tc>
          <w:tcPr>
            <w:tcW w:w="336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Independent Compensation Consultant</w:t>
            </w:r>
          </w:p>
        </w:tc>
        <w:tc>
          <w:tcPr>
            <w:tcW w:w="356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 obtain objective input to decision making</w:t>
            </w:r>
          </w:p>
        </w:tc>
        <w:tc>
          <w:tcPr>
            <w:tcW w:w="45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Our Committee uses the services of an independent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consultant that does not perform services for</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management.</w:t>
            </w: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36</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455" w:right="2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Key Characteristics</w:t>
            </w:r>
          </w:p>
        </w:tc>
      </w:tr>
      <w:tr>
        <w:trPr>
          <w:trHeight w:val="195"/>
        </w:trPr>
        <w:tc>
          <w:tcPr>
            <w:tcW w:w="336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Executive Physical Medical Exam Program</w:t>
            </w:r>
          </w:p>
        </w:tc>
        <w:tc>
          <w:tcPr>
            <w:tcW w:w="356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To strengthen a culture of health and ensure a</w:t>
            </w:r>
          </w:p>
        </w:tc>
        <w:tc>
          <w:tcPr>
            <w:tcW w:w="45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The recently implemented program (October 2013) provides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holistic approach to our executive</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payment for annual executive physical medical exams for</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remuneration program</w:t>
            </w:r>
          </w:p>
        </w:tc>
        <w:tc>
          <w:tcPr>
            <w:tcW w:w="4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officers. None of the executive officers completed</w:t>
            </w:r>
          </w:p>
        </w:tc>
      </w:tr>
      <w:tr>
        <w:trPr>
          <w:trHeight w:val="22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such physical medical exams in 2013.</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Committee determines our executive compensation philosophy, which is to align each executive’s compensation with Integra’s short-term and long-term performance.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51" w:lineRule="exact"/>
        <w:rPr>
          <w:sz w:val="20"/>
          <w:szCs w:val="20"/>
          <w:color w:val="auto"/>
        </w:rPr>
      </w:pPr>
    </w:p>
    <w:p>
      <w:pPr>
        <w:ind w:left="700" w:right="240" w:hanging="246"/>
        <w:spacing w:after="0" w:line="275"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linked our 2013 annual cash incentive program to financial metrics — including revenue, adjusted EBITDA, and Cash Flow — which we believe drive the profitability and growth of the Company and long-term shareholder return.</w:t>
      </w:r>
    </w:p>
    <w:p>
      <w:pPr>
        <w:spacing w:after="0" w:line="38" w:lineRule="exact"/>
        <w:rPr>
          <w:rFonts w:ascii="Times New Roman" w:cs="Times New Roman" w:eastAsia="Times New Roman" w:hAnsi="Times New Roman"/>
          <w:sz w:val="18"/>
          <w:szCs w:val="18"/>
          <w:color w:val="auto"/>
        </w:rPr>
      </w:pPr>
    </w:p>
    <w:p>
      <w:pPr>
        <w:ind w:left="700" w:right="100" w:hanging="246"/>
        <w:spacing w:after="0" w:line="275"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equity incentive awards are aligned with shareholder interests because they focus on performance — for grants and vesting — as well as retention, and facilitate long-term stock ownership.</w:t>
      </w:r>
    </w:p>
    <w:p>
      <w:pPr>
        <w:spacing w:after="0" w:line="38" w:lineRule="exact"/>
        <w:rPr>
          <w:rFonts w:ascii="Times New Roman" w:cs="Times New Roman" w:eastAsia="Times New Roman" w:hAnsi="Times New Roman"/>
          <w:sz w:val="18"/>
          <w:szCs w:val="18"/>
          <w:color w:val="auto"/>
        </w:rPr>
      </w:pPr>
    </w:p>
    <w:p>
      <w:pPr>
        <w:ind w:left="700" w:right="200" w:hanging="246"/>
        <w:spacing w:after="0" w:line="275"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stock ownership requirements for executive officers, our CEO and CFO hold certain equity grants whose payment is deferred until after they leave the Company.</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actions are considered in the context of appropriately managing risk.</w:t>
      </w:r>
    </w:p>
    <w:p>
      <w:pPr>
        <w:spacing w:after="0" w:line="90"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Overall, we design our compensation programs to attract and retain executives capable of (i) leading our Company, which is substantially more complex, international, and diversified in its business than other medical technology companies of comparable revenues, and (ii) growing our Company more rapidly than industry peers, consistent with our long-term objective to become a multi-billion dollar global, diversified, medical technology company.</w:t>
      </w:r>
    </w:p>
    <w:p>
      <w:pPr>
        <w:spacing w:after="0" w:line="51"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In determining executive officer compensation for 2013, some decisions, such as targets, were made in advance, while others, such as the determination of no annual cash bonus awards for 2013 under the Bonus Plan and the long-term equity incentive awards, were made after performance could be evaluated. As a result, the Committee considered elements of the compensation for our NEOs at various times beginning in late 2012 and ending in early 2014.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Determining Compensation and its Components</w:t>
      </w:r>
    </w:p>
    <w:p>
      <w:pPr>
        <w:spacing w:after="0" w:line="92"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At the beginning of 2013, performance objectives were established for each executive officer along with variable pay target opportunities for cash incentives and long-term equity incentives. The Committee conducted a mid-year review of our CEO’s and CFO’s performance to assess the progress made on our financial performance and strategic initiatives. In the first quarter of 2014, the Committee completed a formal performance review for full-year 2013 for the CEO and each other executive officer. The Committee reviewed the performance of the CEO, and the CEO’s assessment of the executive officers, along with market data that the Company’s compensation consultants compiled, to determine each element of compensation for performance year 2013. As a result of this work, the Company took the following actions:</w:t>
      </w:r>
    </w:p>
    <w:p>
      <w:pPr>
        <w:spacing w:after="0" w:line="58" w:lineRule="exact"/>
        <w:rPr>
          <w:sz w:val="20"/>
          <w:szCs w:val="20"/>
          <w:color w:val="auto"/>
        </w:rPr>
      </w:pPr>
    </w:p>
    <w:p>
      <w:pPr>
        <w:ind w:left="700" w:right="240" w:hanging="246"/>
        <w:spacing w:after="0" w:line="275"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Merit Increases: the 2013 merit increase budget for the U.S. for 2012 was 2.5%, and the 2014 merit increase budget for the U.S. for 2013 was 2.5%;</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Incentives: as discussed above, the Company did not pay any cash bonuses to any participants for 2013 under the Bonus Plan;</w:t>
      </w:r>
    </w:p>
    <w:p>
      <w:pPr>
        <w:spacing w:after="0" w:line="90" w:lineRule="exact"/>
        <w:rPr>
          <w:rFonts w:ascii="Times New Roman" w:cs="Times New Roman" w:eastAsia="Times New Roman" w:hAnsi="Times New Roman"/>
          <w:sz w:val="18"/>
          <w:szCs w:val="18"/>
          <w:color w:val="auto"/>
        </w:rPr>
      </w:pPr>
    </w:p>
    <w:p>
      <w:pPr>
        <w:ind w:left="700" w:right="480" w:hanging="246"/>
        <w:spacing w:after="0" w:line="275"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 as discussed above, executives received grants in 2013 of (i) 50% restricted stock vesting over three years, with the amount of the grant based on 2012 performance and (ii) 50%</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40"/>
          </w:cols>
          <w:pgMar w:left="240" w:top="455" w:right="2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80" w:right="180"/>
        <w:spacing w:after="0" w:line="289" w:lineRule="auto"/>
        <w:rPr>
          <w:sz w:val="20"/>
          <w:szCs w:val="20"/>
          <w:color w:val="auto"/>
        </w:rPr>
      </w:pPr>
      <w:r>
        <w:rPr>
          <w:rFonts w:ascii="Times New Roman" w:cs="Times New Roman" w:eastAsia="Times New Roman" w:hAnsi="Times New Roman"/>
          <w:sz w:val="16"/>
          <w:szCs w:val="16"/>
          <w:color w:val="auto"/>
        </w:rPr>
        <w:t>performance stock units vesting over three years contingent on achieving one or more key performance metrics from 2013 through 2015. In addition, executives received grants in 2014 of (i) 50% restricted stock vesting over three years, with the amount of the grant based on 2013 performance and</w:t>
      </w:r>
    </w:p>
    <w:p>
      <w:pPr>
        <w:spacing w:after="0" w:line="1" w:lineRule="exact"/>
        <w:rPr>
          <w:sz w:val="20"/>
          <w:szCs w:val="20"/>
          <w:color w:val="auto"/>
        </w:rPr>
      </w:pPr>
    </w:p>
    <w:p>
      <w:pPr>
        <w:ind w:left="940" w:hanging="257"/>
        <w:spacing w:after="0"/>
        <w:tabs>
          <w:tab w:leader="none" w:pos="9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performance stock units vesting over three years contingent on achieving one or more key performance metrics from 2014 through 2016; and</w:t>
      </w:r>
    </w:p>
    <w:p>
      <w:pPr>
        <w:spacing w:after="0" w:line="100" w:lineRule="exact"/>
        <w:rPr>
          <w:rFonts w:ascii="Times New Roman" w:cs="Times New Roman" w:eastAsia="Times New Roman" w:hAnsi="Times New Roman"/>
          <w:sz w:val="16"/>
          <w:szCs w:val="16"/>
          <w:color w:val="auto"/>
        </w:rPr>
      </w:pPr>
    </w:p>
    <w:p>
      <w:pPr>
        <w:ind w:left="700" w:hanging="246"/>
        <w:spacing w:after="0" w:line="25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In addition to receiving advice from the Committee’s independent compensation consultant, Towers Watson, the Committee considered the CEO’s 2012 performance when determining his 2013 compensation. Also, the Committee considered the Company’s and the CEO’s 2013 performance when determining his salary and equity grants in 2014. Further, the Committee determined the CEO’s 2014 equity grants after factoring in the CEO’s long-term performance, the Company’s desire to retain him, and the benefit of providing the CEO with an ongoing incentive to continue to improve the Company’s operational performance and total stockholder return in 2014 and over the long-term.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Integra’s Executive Compensation</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41910</wp:posOffset>
            </wp:positionV>
            <wp:extent cx="5291455" cy="1852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914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Total Compensation: </w:t>
      </w:r>
      <w:r>
        <w:rPr>
          <w:rFonts w:ascii="Times New Roman" w:cs="Times New Roman" w:eastAsia="Times New Roman" w:hAnsi="Times New Roman"/>
          <w:sz w:val="18"/>
          <w:szCs w:val="18"/>
          <w:color w:val="auto"/>
        </w:rPr>
        <w:t>We consider total compensation for comparable roles at companies in medical technology, healthcare and general industry,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data obtained from published salary survey sources that we review, the proxy statements of the companies mentioned below and other materials that the Committee’s compensation consultant prepared relying upon such data. We use this data primarily to ensure that our executive compensation program as a whole is competitive.</w:t>
      </w:r>
    </w:p>
    <w:p>
      <w:pPr>
        <w:spacing w:after="0" w:line="54" w:lineRule="exact"/>
        <w:rPr>
          <w:sz w:val="20"/>
          <w:szCs w:val="20"/>
          <w:color w:val="auto"/>
        </w:rPr>
      </w:pPr>
    </w:p>
    <w:p>
      <w:pPr>
        <w:jc w:val="center"/>
        <w:ind w:left="400" w:right="300"/>
        <w:spacing w:after="0" w:line="447" w:lineRule="auto"/>
        <w:rPr>
          <w:sz w:val="20"/>
          <w:szCs w:val="20"/>
          <w:color w:val="auto"/>
        </w:rPr>
      </w:pPr>
      <w:r>
        <w:rPr>
          <w:rFonts w:ascii="Times New Roman" w:cs="Times New Roman" w:eastAsia="Times New Roman" w:hAnsi="Times New Roman"/>
          <w:sz w:val="18"/>
          <w:szCs w:val="18"/>
          <w:color w:val="auto"/>
        </w:rPr>
        <w:t>We continue to emphasize variable pay rather than fixed pay, with target opportunities based on market practices and payments based on performance. 38</w:t>
      </w:r>
    </w:p>
    <w:p>
      <w:pPr>
        <w:sectPr>
          <w:pgSz w:w="11900" w:h="16838" w:orient="portrait"/>
          <w:cols w:equalWidth="0" w:num="1">
            <w:col w:w="11340"/>
          </w:cols>
          <w:pgMar w:left="240" w:top="455" w:right="3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charts are designed to demonstrate the various components of our NEOs’ 2013 compensation which place a particular emphasis on variable pay. We believe that they are helpful in demonstrating the components of our NEOs’ compensation aligned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33655</wp:posOffset>
            </wp:positionV>
            <wp:extent cx="4545330" cy="3567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4533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Base Salaries: </w:t>
      </w:r>
      <w:r>
        <w:rPr>
          <w:rFonts w:ascii="Times New Roman" w:cs="Times New Roman" w:eastAsia="Times New Roman" w:hAnsi="Times New Roman"/>
          <w:sz w:val="18"/>
          <w:szCs w:val="18"/>
          <w:color w:val="auto"/>
        </w:rPr>
        <w:t>We establish salaries for new executives that reflect each executive’s experience, expertise, and compensation history as well as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compensation data and internal comparisons. The Committee reviews base salaries of our NEOs annually, and considers approving increases as warranted by performance, market considerations and affordability.</w:t>
      </w:r>
    </w:p>
    <w:p>
      <w:pPr>
        <w:spacing w:after="0" w:line="46"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Incentives: </w:t>
      </w:r>
      <w:r>
        <w:rPr>
          <w:rFonts w:ascii="Times New Roman" w:cs="Times New Roman" w:eastAsia="Times New Roman" w:hAnsi="Times New Roman"/>
          <w:sz w:val="18"/>
          <w:szCs w:val="18"/>
          <w:color w:val="auto"/>
        </w:rPr>
        <w:t>As discussed above, the Company did not fund its cash incentive Bonus Plan for 2013 for any participants. As a result, no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cash bonus in 2014 for 2013 performance.</w:t>
      </w:r>
    </w:p>
    <w:p>
      <w:pPr>
        <w:spacing w:after="0" w:line="35"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Long-Term Equity Incentives: </w:t>
      </w:r>
      <w:r>
        <w:rPr>
          <w:rFonts w:ascii="Times New Roman" w:cs="Times New Roman" w:eastAsia="Times New Roman" w:hAnsi="Times New Roman"/>
          <w:sz w:val="18"/>
          <w:szCs w:val="18"/>
          <w:color w:val="auto"/>
        </w:rPr>
        <w:t>Our equity grants align executives with shareholder interests as we increasingly focus on performance as well as retention,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 long-term stock ownership. The main terms and features of our equity grants include the following:</w:t>
      </w:r>
    </w:p>
    <w:p>
      <w:pPr>
        <w:spacing w:after="0" w:line="37" w:lineRule="exact"/>
        <w:rPr>
          <w:sz w:val="20"/>
          <w:szCs w:val="20"/>
          <w:color w:val="auto"/>
        </w:rPr>
      </w:pPr>
    </w:p>
    <w:p>
      <w:pPr>
        <w:ind w:left="700" w:hanging="24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Annual vesting over three years.</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Granted to the CEO with three year vesting and deferral of payments until after departure.</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Granted to the CEO as part of a balanced CEO package focused on creating long-term shareholder value.</w:t>
      </w:r>
    </w:p>
    <w:p>
      <w:pPr>
        <w:spacing w:after="0" w:line="90" w:lineRule="exact"/>
        <w:rPr>
          <w:rFonts w:ascii="Times New Roman" w:cs="Times New Roman" w:eastAsia="Times New Roman" w:hAnsi="Times New Roman"/>
          <w:sz w:val="18"/>
          <w:szCs w:val="18"/>
          <w:color w:val="auto"/>
        </w:rPr>
      </w:pPr>
    </w:p>
    <w:p>
      <w:pPr>
        <w:ind w:left="700" w:right="400" w:hanging="246"/>
        <w:spacing w:after="0" w:line="275"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Vesting over three years contingent on achieving revenue growth goals. As detailed in the discussion above, no vesting occurred in 2014 with respect to one-third of the shares covered by the performance stock units granted in 2013.</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00"/>
          </w:cols>
          <w:pgMar w:left="24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Equity Grant Practices</w:t>
      </w:r>
    </w:p>
    <w:p>
      <w:pPr>
        <w:spacing w:after="0" w:line="90"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In addition to describing the types of grants the Company provides, we believe that a discussion of our practices surrounding our grants is useful to underscore the procedures behind the grants. The following is a summary of our practices:</w:t>
      </w:r>
    </w:p>
    <w:p>
      <w:pPr>
        <w:spacing w:after="0" w:line="39" w:lineRule="exact"/>
        <w:rPr>
          <w:sz w:val="20"/>
          <w:szCs w:val="20"/>
          <w:color w:val="auto"/>
        </w:rPr>
      </w:pPr>
    </w:p>
    <w:p>
      <w:pPr>
        <w:ind w:left="700" w:right="80" w:hanging="246"/>
        <w:spacing w:after="0" w:line="275"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approves equity awards after it completes its annual review process for the individuals and bases its decisions, at its discretion, on their short-and long-term performance, the Company’s performance in the prior year, and the need to stay competitive in the market for executives.</w:t>
      </w:r>
    </w:p>
    <w:p>
      <w:pPr>
        <w:spacing w:after="0" w:line="38" w:lineRule="exact"/>
        <w:rPr>
          <w:rFonts w:ascii="Times New Roman" w:cs="Times New Roman" w:eastAsia="Times New Roman" w:hAnsi="Times New Roman"/>
          <w:sz w:val="18"/>
          <w:szCs w:val="18"/>
          <w:color w:val="auto"/>
        </w:rPr>
      </w:pPr>
    </w:p>
    <w:p>
      <w:pPr>
        <w:ind w:left="700" w:right="60" w:hanging="246"/>
        <w:spacing w:after="0" w:line="26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Award Committee, consisting of our Chief Executive Officer,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51" w:lineRule="exact"/>
        <w:rPr>
          <w:rFonts w:ascii="Times New Roman" w:cs="Times New Roman" w:eastAsia="Times New Roman" w:hAnsi="Times New Roman"/>
          <w:sz w:val="18"/>
          <w:szCs w:val="18"/>
          <w:color w:val="auto"/>
        </w:rPr>
      </w:pPr>
    </w:p>
    <w:p>
      <w:pPr>
        <w:ind w:left="700" w:right="160" w:hanging="246"/>
        <w:spacing w:after="0" w:line="275"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we have moved away from granting options to granting performance stock units, restricted stock or restricted stock units other than for our CEO. The Committee may nevertheless grant options to other executive officers if it determines to do so.</w:t>
      </w:r>
    </w:p>
    <w:p>
      <w:pPr>
        <w:spacing w:after="0" w:line="38" w:lineRule="exact"/>
        <w:rPr>
          <w:rFonts w:ascii="Times New Roman" w:cs="Times New Roman" w:eastAsia="Times New Roman" w:hAnsi="Times New Roman"/>
          <w:sz w:val="18"/>
          <w:szCs w:val="18"/>
          <w:color w:val="auto"/>
        </w:rPr>
      </w:pPr>
    </w:p>
    <w:p>
      <w:pPr>
        <w:ind w:left="700" w:right="120" w:hanging="246"/>
        <w:spacing w:after="0" w:line="275"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performance stock unit grants intended to constitute “qualified performance-based compensation” to be made within the first 90 days of the year consistent with the requirements of Section 162(m).</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decisions to grant equity awards without regard to anticipated earnings or other major announcements by the Company.</w:t>
      </w:r>
    </w:p>
    <w:p>
      <w:pPr>
        <w:spacing w:after="0" w:line="90" w:lineRule="exact"/>
        <w:rPr>
          <w:rFonts w:ascii="Times New Roman" w:cs="Times New Roman" w:eastAsia="Times New Roman" w:hAnsi="Times New Roman"/>
          <w:sz w:val="18"/>
          <w:szCs w:val="18"/>
          <w:color w:val="auto"/>
        </w:rPr>
      </w:pPr>
    </w:p>
    <w:p>
      <w:pPr>
        <w:ind w:left="700" w:right="740" w:hanging="246"/>
        <w:spacing w:after="0" w:line="275"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all NEOs and substantially all U.S.-based employees to have signed a non-competition agreement, or an employment or severance agreement with non-competition provisions, as a condition of receiving an equity award.</w:t>
      </w:r>
    </w:p>
    <w:p>
      <w:pPr>
        <w:spacing w:after="0" w:line="38" w:lineRule="exact"/>
        <w:rPr>
          <w:rFonts w:ascii="Times New Roman" w:cs="Times New Roman" w:eastAsia="Times New Roman" w:hAnsi="Times New Roman"/>
          <w:sz w:val="18"/>
          <w:szCs w:val="18"/>
          <w:color w:val="auto"/>
        </w:rPr>
      </w:pPr>
    </w:p>
    <w:p>
      <w:pPr>
        <w:ind w:left="700" w:right="200" w:hanging="246"/>
        <w:spacing w:after="0" w:line="275"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our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2003 Equity Incentive Plan provides that, without stockholder approval, no amendment may be made that would reprice outstanding awards.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Consideration for Equity Awards</w:t>
      </w:r>
    </w:p>
    <w:p>
      <w:pPr>
        <w:spacing w:after="0" w:line="9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also believe it is helpful to describe the process that the Committee undertakes when determining these grants. The following is a summary of what the Committee considered.</w:t>
      </w:r>
    </w:p>
    <w:p>
      <w:pPr>
        <w:spacing w:after="0" w:line="39" w:lineRule="exact"/>
        <w:rPr>
          <w:sz w:val="20"/>
          <w:szCs w:val="20"/>
          <w:color w:val="auto"/>
        </w:rPr>
      </w:pPr>
    </w:p>
    <w:p>
      <w:pPr>
        <w:ind w:left="700" w:hanging="246"/>
        <w:spacing w:after="0" w:line="275"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considered the performance of the Company during 2012, potential performance of individuals over the short-and long-term and market considerations in determining actual grants in 2013.</w:t>
      </w:r>
    </w:p>
    <w:p>
      <w:pPr>
        <w:spacing w:after="0" w:line="38" w:lineRule="exact"/>
        <w:rPr>
          <w:rFonts w:ascii="Times New Roman" w:cs="Times New Roman" w:eastAsia="Times New Roman" w:hAnsi="Times New Roman"/>
          <w:sz w:val="18"/>
          <w:szCs w:val="18"/>
          <w:color w:val="auto"/>
        </w:rPr>
      </w:pPr>
    </w:p>
    <w:p>
      <w:pPr>
        <w:ind w:left="700" w:right="60" w:hanging="246"/>
        <w:spacing w:after="0" w:line="258"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2013, based on performance and market competitiveness, the value of the grant for 2012 performance to each executive officer below the CEO was delivered in the form of 50% restricted stock with annual vesting over three years and 50% performance stock units that vest over three years contingent on achieving pre-established revenue growth goals. The CEO was awarded a grant in the form of 50% performance stock units, 30% stock options and 20% restricted stock units.</w:t>
      </w:r>
    </w:p>
    <w:p>
      <w:pPr>
        <w:spacing w:after="0" w:line="55"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stock options were granted only to our CEO.</w:t>
      </w:r>
    </w:p>
    <w:p>
      <w:pPr>
        <w:spacing w:after="0" w:line="90" w:lineRule="exact"/>
        <w:rPr>
          <w:rFonts w:ascii="Times New Roman" w:cs="Times New Roman" w:eastAsia="Times New Roman" w:hAnsi="Times New Roman"/>
          <w:sz w:val="18"/>
          <w:szCs w:val="18"/>
          <w:color w:val="auto"/>
        </w:rPr>
      </w:pPr>
    </w:p>
    <w:p>
      <w:pPr>
        <w:ind w:left="700" w:right="500" w:hanging="246"/>
        <w:spacing w:after="0" w:line="275"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considered the performance of the Company during 2013, potential performance of individuals over the short-and long-term, and market considerations in determining grants in 2014.</w:t>
      </w:r>
    </w:p>
    <w:p>
      <w:pPr>
        <w:spacing w:after="0" w:line="38" w:lineRule="exact"/>
        <w:rPr>
          <w:rFonts w:ascii="Times New Roman" w:cs="Times New Roman" w:eastAsia="Times New Roman" w:hAnsi="Times New Roman"/>
          <w:sz w:val="18"/>
          <w:szCs w:val="18"/>
          <w:color w:val="auto"/>
        </w:rPr>
      </w:pPr>
    </w:p>
    <w:p>
      <w:pPr>
        <w:ind w:left="700" w:right="260" w:hanging="246"/>
        <w:spacing w:after="0" w:line="262"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2014, based on performance and market competitiveness, the value of the grant for 2013 performance to executive officers below the CEO was delivered in the form of 50% restricted stock with annual vesting over three years and 50% performance stock units that vest over three years contingent 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80" w:right="340"/>
        <w:spacing w:after="0" w:line="275" w:lineRule="auto"/>
        <w:rPr>
          <w:sz w:val="20"/>
          <w:szCs w:val="20"/>
          <w:color w:val="auto"/>
        </w:rPr>
      </w:pPr>
      <w:r>
        <w:rPr>
          <w:rFonts w:ascii="Times New Roman" w:cs="Times New Roman" w:eastAsia="Times New Roman" w:hAnsi="Times New Roman"/>
          <w:sz w:val="18"/>
          <w:szCs w:val="18"/>
          <w:color w:val="auto"/>
        </w:rPr>
        <w:t>achieving pre-established revenue growth goals. The CEO was awarded a grant in the form of 50% performance stock units, 30% stock options and 20% restricted stock units.</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Stock Ownership Guidelines and Retention Requirements: </w:t>
      </w:r>
      <w:r>
        <w:rPr>
          <w:rFonts w:ascii="Times New Roman" w:cs="Times New Roman" w:eastAsia="Times New Roman" w:hAnsi="Times New Roman"/>
          <w:sz w:val="18"/>
          <w:szCs w:val="18"/>
          <w:color w:val="auto"/>
        </w:rPr>
        <w:t>All of our NEOs have met their stock ownership guidelines and retention requirements.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Benefits: </w:t>
      </w:r>
      <w:r>
        <w:rPr>
          <w:rFonts w:ascii="Times New Roman" w:cs="Times New Roman" w:eastAsia="Times New Roman" w:hAnsi="Times New Roman"/>
          <w:sz w:val="16"/>
          <w:szCs w:val="16"/>
          <w:color w:val="auto"/>
        </w:rPr>
        <w:t>Our executives participate in our benefits offerings on the same basis as all other employees except for the recently created Executive Physical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Medical Exam Program that was established in October 2013 which was formed in order to strengthen a culture of health and foster a holistic approach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remuneration program. The program provides payment for annual executive physical medical exams for our executives. In 2013, the Company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$21,975 for the program. However, none of the executives completed such physical medical exams during the remainder of 2013 following the commencement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program in October 2013 because of competing priorities at the end of the year. Each executive is encouraged to complete an exam in 2014, and several have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already done so.</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Perquisites: </w:t>
      </w:r>
      <w:r>
        <w:rPr>
          <w:rFonts w:ascii="Times New Roman" w:cs="Times New Roman" w:eastAsia="Times New Roman" w:hAnsi="Times New Roman"/>
          <w:sz w:val="18"/>
          <w:szCs w:val="18"/>
          <w:color w:val="auto"/>
        </w:rPr>
        <w:t>We provide our NEOs with very few perquisites and other benefits not generally available to other employees.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“Annual Review of Compensation” for additional information, including a description of the goals and each executive’s achievements.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Peer Group and the Markets in Which We Compete</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one of several factors in considering approval of Integra’s compensation programs, the Committee compares Integra’s compensation programs and performance against those maintained by an approved peer group of companies. The compensation peer group, which is periodically reviewed and updated by the Committee, consists of companies that are similar in size (revenue and market capitalization) and in the same industry as Integra and with whom Integra may compete for executive talent.</w:t>
      </w:r>
    </w:p>
    <w:p>
      <w:pPr>
        <w:spacing w:after="0" w:line="5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selecting the peer companies in 2012, the Committee evaluated business comparability—in terms of complexity of products and manufacturing processes, number and variety of product lines, technical complexity, and global reach — as well as considering where Integra competes for executive talent and the size of the organizations in terms of revenue and market capitalization. In 2013, after reviewing all of the relevant criteria, Towers Watson did not propose any changes to the Company’s peer group from 2012, and the Committee, after review and consideration, concurred. The peer group consists of the following companies:</w:t>
      </w:r>
    </w:p>
    <w:p>
      <w:pPr>
        <w:spacing w:after="0" w:line="52" w:lineRule="exact"/>
        <w:rPr>
          <w:sz w:val="20"/>
          <w:szCs w:val="20"/>
          <w:color w:val="auto"/>
        </w:rPr>
      </w:pPr>
    </w:p>
    <w:tbl>
      <w:tblPr>
        <w:tblLayout w:type="fixed"/>
        <w:tblInd w:w="173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tcPr>
          <w:p>
            <w:pPr>
              <w:spacing w:after="0"/>
              <w:rPr>
                <w:sz w:val="19"/>
                <w:szCs w:val="19"/>
                <w:color w:val="auto"/>
              </w:rPr>
            </w:pPr>
          </w:p>
        </w:tc>
        <w:tc>
          <w:tcPr>
            <w:tcW w:w="512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Integra’s Peer Group</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Alere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Masimo Corporation</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 Bard,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NuVasive,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CareFusion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Orthofix International</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CONMED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ResMed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Edwards Lifesciences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Symmetry Medical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Greatbatch,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Teleflex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Haemonetics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Cooper Companies,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Hill-Rom Holdings,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Thoratec Corporation</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Hologic,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Wright Medical Group,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Invacare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Zimmer Holdings, Inc.</w:t>
            </w:r>
          </w:p>
        </w:tc>
      </w:tr>
    </w:tbl>
    <w:p>
      <w:pPr>
        <w:spacing w:after="0" w:line="67"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Other industry-related companies were considered but excluded from our peer group because we believe their product portfolios are not comparably diversified.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Review of Compensation</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make decisions regarding NEO compensation (salary increases, bonus payments and equity grants) in connection with our annual performance review process. The 2014 annual equity grants are based on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performance of the Company in 2013, the performance of individuals over the short-and long-term, market considerations, each respective executive’s long-term potential, and the Committee’s desire to provide adequate incentive to motivate the executive’s continued performance.</w:t>
      </w:r>
    </w:p>
    <w:p>
      <w:pPr>
        <w:spacing w:after="0" w:line="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fiscal year 2013, we completed our review process for all of our executive officers in February 2014 and made the equity awards in March. Thus, pursuant to the SEC rules, the equity grants awarded to these executives in 2014 for 2013 performance do not appear in the Summary Compensation Table for 2013. The Company accounts for equity in accordance with FASB ASC Topic 718. We anticipate that we will adhere to a similar timetable for the annual reviews of performance and compensation for our executive officers in future years.</w:t>
      </w:r>
    </w:p>
    <w:p>
      <w:pPr>
        <w:spacing w:after="0" w:line="55"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sets forth the Committee’s actions for 2013 and, to the extent already taken, for certain 2014 items. See “Compensation of Executive Officers” and the tables and footnotes in that section for complete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Peter J. Arduini, President and Chief Executive Officer</w:t>
      </w:r>
    </w:p>
    <w:p>
      <w:pPr>
        <w:spacing w:after="0" w:line="94"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In early 2013, the Committee and Mr. Arduini established a series of financial and operational objectives for the 2014 year. At the beginning of 2014, the Committee conducted a formal review of Integra’s performance and Mr. Arduini’s 2013 performance with a focus on these key financial and other quantitative metrics as well as important qualitative objectives. This assessment of performance in 2013 and over the long-term, along with a review of competitive compensation as well as his specific accomplishments as described below, served as the basis for decisions regarding Mr. Arduini’s compensation.</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 Highlights Include</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Mr. Arduini’s second year as President and CEO, Integra executed and delivered on key strategic, operational, and talent management priorities and recovered well from the challenges presented early in the year. Mr. Arduini managed the business well, increased value for stockholders and improved the overall infrastructure of the Company to position it for future growth. The Committee considered the following accomplishments in rendering its assessment:</w:t>
      </w:r>
    </w:p>
    <w:p>
      <w:pPr>
        <w:spacing w:after="0" w:line="51" w:lineRule="exact"/>
        <w:rPr>
          <w:sz w:val="20"/>
          <w:szCs w:val="20"/>
          <w:color w:val="auto"/>
        </w:rPr>
      </w:pPr>
    </w:p>
    <w:p>
      <w:pPr>
        <w:ind w:left="700" w:right="240" w:hanging="246"/>
        <w:spacing w:after="0" w:line="275"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One-year total return to stockholders for 2013 was 22.4% (compared to 25.7% for our peer group) and two-year total return to stockholders for 2012 and 2013 was 54.8% (compared to 49.5% for our peer group);</w:t>
      </w:r>
    </w:p>
    <w:p>
      <w:pPr>
        <w:spacing w:after="0" w:line="38" w:lineRule="exact"/>
        <w:rPr>
          <w:rFonts w:ascii="Times New Roman" w:cs="Times New Roman" w:eastAsia="Times New Roman" w:hAnsi="Times New Roman"/>
          <w:sz w:val="18"/>
          <w:szCs w:val="18"/>
          <w:color w:val="auto"/>
        </w:rPr>
      </w:pPr>
    </w:p>
    <w:p>
      <w:pPr>
        <w:ind w:left="700" w:right="320" w:hanging="246"/>
        <w:spacing w:after="0" w:line="275"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out the FDA Warning Letter related to our Plainsboro, New Jersey manufacturing facility, and made significant improvements to the quality system in our Añasco, Puerto Rico facility in response to the FDA Warning Letter for that facility;</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strategically important acquisition of the DuraSeal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product line from Covidien, the largest in the Company’s history;</w:t>
      </w:r>
    </w:p>
    <w:p>
      <w:pPr>
        <w:spacing w:after="0" w:line="90" w:lineRule="exact"/>
        <w:rPr>
          <w:rFonts w:ascii="Times New Roman" w:cs="Times New Roman" w:eastAsia="Times New Roman" w:hAnsi="Times New Roman"/>
          <w:sz w:val="18"/>
          <w:szCs w:val="18"/>
          <w:color w:val="auto"/>
        </w:rPr>
      </w:pPr>
    </w:p>
    <w:p>
      <w:pPr>
        <w:ind w:left="700" w:right="740" w:hanging="246"/>
        <w:spacing w:after="0" w:line="275"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raised over $150 million through the completion of a public offering of common stock, which allowed us to reduce our debt as a proportion of operating earnings;</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 the clinical study of Integra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Dermal Regeneration Template for the treatment of diabetic foot ulcers;</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our regenerative medicine manufacturing and supply, including increasing product yields and overall capacity;</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low-growth, low-margin products to refine our overall portfolio and better focus our resources on growth;</w:t>
      </w:r>
    </w:p>
    <w:p>
      <w:pPr>
        <w:spacing w:after="0" w:line="90" w:lineRule="exact"/>
        <w:rPr>
          <w:rFonts w:ascii="Times New Roman" w:cs="Times New Roman" w:eastAsia="Times New Roman" w:hAnsi="Times New Roman"/>
          <w:sz w:val="18"/>
          <w:szCs w:val="18"/>
          <w:color w:val="auto"/>
        </w:rPr>
      </w:pPr>
    </w:p>
    <w:p>
      <w:pPr>
        <w:ind w:left="700" w:right="400" w:hanging="246"/>
        <w:spacing w:after="0" w:line="275"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the reduction of the manufacturing and distribution footprint of the Company through site closures and consolidation efforts, which has lowered costs;</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over 20 new products globally;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right="540" w:hanging="246"/>
        <w:spacing w:after="0" w:line="275"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international sales efforts, including increasing the size of our direct sales force in Europe and filing over 50 international product registrations;</w:t>
      </w:r>
    </w:p>
    <w:p>
      <w:pPr>
        <w:spacing w:after="0" w:line="38" w:lineRule="exact"/>
        <w:rPr>
          <w:rFonts w:ascii="Times New Roman" w:cs="Times New Roman" w:eastAsia="Times New Roman" w:hAnsi="Times New Roman"/>
          <w:sz w:val="18"/>
          <w:szCs w:val="18"/>
          <w:color w:val="auto"/>
        </w:rPr>
      </w:pPr>
    </w:p>
    <w:p>
      <w:pPr>
        <w:ind w:left="700" w:right="40" w:hanging="246"/>
        <w:spacing w:after="0" w:line="275"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benefits from our recently established centralized sourcing group to optimize our purchases globally and by division, realizing significant annual savings in the purchase of goods and services;</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substantial progress toward implementing our global enterprise resource management system;</w:t>
      </w:r>
    </w:p>
    <w:p>
      <w:pPr>
        <w:spacing w:after="0" w:line="9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ability to collaborate and manage projects by developing the program management skills of our employees worldwide;</w:t>
      </w:r>
    </w:p>
    <w:p>
      <w:pPr>
        <w:spacing w:after="0" w:line="90" w:lineRule="exact"/>
        <w:rPr>
          <w:rFonts w:ascii="Times New Roman" w:cs="Times New Roman" w:eastAsia="Times New Roman" w:hAnsi="Times New Roman"/>
          <w:sz w:val="18"/>
          <w:szCs w:val="18"/>
          <w:color w:val="auto"/>
        </w:rPr>
      </w:pPr>
    </w:p>
    <w:p>
      <w:pPr>
        <w:ind w:left="700" w:right="20" w:hanging="246"/>
        <w:spacing w:after="0" w:line="26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Outlined a series of strategic initiatives for 2014 designed to support future growth, focusing on the areas of growth and margin improvement, optimizing our organizational structure, systems and processes, developing our people and enhancing our overall commitment to quality and regulatory compliance; and</w:t>
      </w:r>
    </w:p>
    <w:p>
      <w:pPr>
        <w:spacing w:after="0" w:line="51" w:lineRule="exact"/>
        <w:rPr>
          <w:rFonts w:ascii="Times New Roman" w:cs="Times New Roman" w:eastAsia="Times New Roman" w:hAnsi="Times New Roman"/>
          <w:sz w:val="18"/>
          <w:szCs w:val="18"/>
          <w:color w:val="auto"/>
        </w:rPr>
      </w:pPr>
    </w:p>
    <w:p>
      <w:pPr>
        <w:ind w:left="700" w:right="740" w:hanging="246"/>
        <w:spacing w:after="0" w:line="275"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also considered his leadership, especially in light of the challenging economic and regulatory environment, as well as his key achievements relating to strategy, executive recruitment and employee development, and process improvement.</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approved compensation actions for Mr. Arduini as follows: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92" w:lineRule="exact"/>
        <w:rPr>
          <w:sz w:val="20"/>
          <w:szCs w:val="20"/>
          <w:color w:val="auto"/>
        </w:rPr>
      </w:pPr>
    </w:p>
    <w:p>
      <w:pPr>
        <w:ind w:left="700" w:right="380" w:hanging="246"/>
        <w:spacing w:after="0" w:line="275"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An increase in base salary of $85,000 or 11.7% to $810,000 effective April 1, 2013 (Integra’s global salary increase effective date) to reflect Mr. Arduini’s strong performance in 2012 and to bring his base closer to the peer group median.</w:t>
      </w:r>
    </w:p>
    <w:p>
      <w:pPr>
        <w:spacing w:after="0" w:line="38" w:lineRule="exact"/>
        <w:rPr>
          <w:rFonts w:ascii="Times New Roman" w:cs="Times New Roman" w:eastAsia="Times New Roman" w:hAnsi="Times New Roman"/>
          <w:sz w:val="18"/>
          <w:szCs w:val="18"/>
          <w:color w:val="auto"/>
        </w:rPr>
      </w:pPr>
    </w:p>
    <w:p>
      <w:pPr>
        <w:ind w:left="700" w:right="320" w:hanging="246"/>
        <w:spacing w:after="0" w:line="275"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An increase in base salary of $24,300 or 3% to $834,300 effective April 1, 2014 (Integra’s global salary increase effective date) as a result of Mr. Arduini’s accomplishments discussed above.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Annual Cash Incentive</w:t>
      </w:r>
    </w:p>
    <w:p>
      <w:pPr>
        <w:spacing w:after="0" w:line="92" w:lineRule="exact"/>
        <w:rPr>
          <w:sz w:val="20"/>
          <w:szCs w:val="20"/>
          <w:color w:val="auto"/>
        </w:rPr>
      </w:pPr>
    </w:p>
    <w:p>
      <w:pPr>
        <w:ind w:left="700" w:hanging="246"/>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Arduini’s employment agreement provides for a target bonus opportunity of 110% of base salary in 2013.</w:t>
      </w:r>
    </w:p>
    <w:p>
      <w:pPr>
        <w:spacing w:after="0" w:line="90" w:lineRule="exact"/>
        <w:rPr>
          <w:rFonts w:ascii="Times New Roman" w:cs="Times New Roman" w:eastAsia="Times New Roman" w:hAnsi="Times New Roman"/>
          <w:sz w:val="18"/>
          <w:szCs w:val="18"/>
          <w:color w:val="auto"/>
        </w:rPr>
      </w:pPr>
    </w:p>
    <w:p>
      <w:pPr>
        <w:ind w:left="700" w:right="320" w:hanging="246"/>
        <w:spacing w:after="0" w:line="275"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2013, the Committee did not award Mr. Arduini a cash bonus for 2013 performance in 2014 because financial results were below the minimum performance levels pursuant to the Bonus Plan.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Equity Incentive</w:t>
      </w:r>
    </w:p>
    <w:p>
      <w:pPr>
        <w:spacing w:after="0" w:line="92" w:lineRule="exact"/>
        <w:rPr>
          <w:sz w:val="20"/>
          <w:szCs w:val="20"/>
          <w:color w:val="auto"/>
        </w:rPr>
      </w:pPr>
    </w:p>
    <w:p>
      <w:pPr>
        <w:ind w:left="700" w:right="100" w:hanging="246"/>
        <w:spacing w:after="0" w:line="262" w:lineRule="auto"/>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philosophy is to tie a significant portion of annual equity awards to performance. The Committee and management consider stock options and performance stock units as performance-based equity and have granted Mr. Arduini 80% of his annual equity award in performance-based equity in each of the past two years (50% performance stock units and 30% stock options).</w:t>
      </w:r>
    </w:p>
    <w:p>
      <w:pPr>
        <w:spacing w:after="0" w:line="51"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Annual Grant: Based on Mr. Arduini’s short-and long-term performance, retention and competitive considerations, the Committee approved a</w:t>
      </w:r>
    </w:p>
    <w:p>
      <w:pPr>
        <w:spacing w:after="0" w:line="21" w:lineRule="exact"/>
        <w:rPr>
          <w:rFonts w:ascii="Times New Roman" w:cs="Times New Roman" w:eastAsia="Times New Roman" w:hAnsi="Times New Roman"/>
          <w:sz w:val="18"/>
          <w:szCs w:val="18"/>
          <w:color w:val="auto"/>
        </w:rPr>
      </w:pPr>
    </w:p>
    <w:p>
      <w:pPr>
        <w:ind w:left="70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grant of $1,500,000 allocated as follows: (i) 20% in the form of restricted stock units with annual vesting over three years and a deferral feature that provides the award will be paid following the six-month anniversary of Mr. Arduini’s termination; (ii) 30% in the form of non-qualified stock options; and (iii) 50% in the form of performance stock units with a three-year performance period (revenue growth goals) and a deferral feature that provides the award will be paid following the six-month anniversary of Mr. Arduini’s termination. That equity was granted in the following forms and amounts: in March 2013, (i) 7,644 shares of restricted stock units valued at $300,000 (with annual vesting over three years) and (ii) 19,109 shares of performance stock units valued at $750,000 (with vesting subject to a three-year performance period (revenue growth goals) and a deferral feature that provides the award will be paid following the six-month anniversary of Mr. Arduini’s termination) representing 50% of the value of his $1,500,000 annual equity award for 2012, and May 2013, (iii) we granted Mr. Arduini 32,468 options with a grant date fair value equal to $450,000 (with an</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80" w:right="660"/>
        <w:spacing w:after="0" w:line="275" w:lineRule="auto"/>
        <w:rPr>
          <w:sz w:val="20"/>
          <w:szCs w:val="20"/>
          <w:color w:val="auto"/>
        </w:rPr>
      </w:pPr>
      <w:r>
        <w:rPr>
          <w:rFonts w:ascii="Times New Roman" w:cs="Times New Roman" w:eastAsia="Times New Roman" w:hAnsi="Times New Roman"/>
          <w:sz w:val="18"/>
          <w:szCs w:val="18"/>
          <w:color w:val="auto"/>
        </w:rPr>
        <w:t>eight-year term and vesting one-third of the amount on the first anniversary of the grant date and in monthly installments thereafter though the completion of the third anniversary of such date).</w:t>
      </w:r>
    </w:p>
    <w:p>
      <w:pPr>
        <w:spacing w:after="0" w:line="39" w:lineRule="exact"/>
        <w:rPr>
          <w:sz w:val="20"/>
          <w:szCs w:val="20"/>
          <w:color w:val="auto"/>
        </w:rPr>
      </w:pPr>
    </w:p>
    <w:p>
      <w:pPr>
        <w:ind w:left="700" w:right="100" w:hanging="246"/>
        <w:spacing w:after="0" w:line="258"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2013 Equity Grant: In March 2013, for the strong performance he delivered in his first year as CEO, we also granted to Mr. Arduini (i) 8,758 shares of restricted stock valued at $343,750 (with annual vesting over three years) representing 50% of the equity-based portion of his annual bonus award for 2012, and (ii) 8,758 shares of performance stock units valued at $343,750 (with vesting subject to a three-year performance period (revenue growth goals)) representing the remaining 50% of the equity-based portion of his annual bonus award for 2012.</w:t>
      </w:r>
    </w:p>
    <w:p>
      <w:pPr>
        <w:spacing w:after="0" w:line="55"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Annual Grant: Based on Mr. Arduini’s short-and long-term performance taking 2013 into account, retention, and market considerations, the</w:t>
      </w:r>
    </w:p>
    <w:p>
      <w:pPr>
        <w:spacing w:after="0" w:line="21" w:lineRule="exact"/>
        <w:rPr>
          <w:rFonts w:ascii="Times New Roman" w:cs="Times New Roman" w:eastAsia="Times New Roman" w:hAnsi="Times New Roman"/>
          <w:sz w:val="18"/>
          <w:szCs w:val="18"/>
          <w:color w:val="auto"/>
        </w:rPr>
      </w:pPr>
    </w:p>
    <w:p>
      <w:pPr>
        <w:ind w:left="700" w:right="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approved a grant of $3,500,000, which was granted in March 2014, allocated as follows: (i) 20% in the form of restricted stock units with annual vesting over three years and a deferral feature that provides the award will be paid following the six-month anniversary of Mr. Arduini’s termination; (ii) 30% in the form of non-qualified stock options; and (iii) 50% in the form of performance stock units with a three-year performance period (revenue growth goals). The value of the March 2014 equity grant aligns with the median of the peer group and emphasizes the importance of aligning CEO compensation with stockholder interests and rewards Mr. Arduini for significant accomplishments the Company made under his leadership.</w:t>
      </w:r>
    </w:p>
    <w:p>
      <w:pPr>
        <w:spacing w:after="0" w:line="61" w:lineRule="exact"/>
        <w:rPr>
          <w:rFonts w:ascii="Times New Roman" w:cs="Times New Roman" w:eastAsia="Times New Roman" w:hAnsi="Times New Roman"/>
          <w:sz w:val="18"/>
          <w:szCs w:val="18"/>
          <w:color w:val="auto"/>
        </w:rPr>
      </w:pPr>
    </w:p>
    <w:p>
      <w:pPr>
        <w:ind w:left="700" w:hanging="246"/>
        <w:spacing w:after="0" w:line="262"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for the restricted stock unit grants will be deferred and will be delivered to Mr. Arduini within the 30-day period immediately following the six-month anniversary of his separation from service. No vesting of the performance stock units granted in 2013 has yet occurred in 2014 because the Company did not achieve the pre-established revenue growth performance goal.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Arduini’s Compensation for 2013</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Company’s overall approach to Mr. Arduini’s compensation is consistent with the Company’s compensation philosophy in rewarding his strong leadership and individual performance, which is highlighted by his accomplishments as stated above, in light of the challenges the Company faced in 2013 (primarily in the first four months of the year), while, at the same time, providing Mr. Arduini with significant equity incentives so as to further ensure both his alignment with the interests of the stockholders and his retention (as a significant portion of Mr. Arduini’s compensation has a deferral feature pursuant to which Mr. Arduini will not receive the applicable shares of Integra stock until thirty days after the six-month period following his departure from the Company). The Committee determined that the Company made significant improvements and progress under Mr. Arduini’s leadership in 2013. Accordingly, in 2014 the Company awarded Mr. Arduini a market competitive compensation package, substantially in the form of performance-based equity (80%) in order to retain Mr. Arduini as well as recognize his leadership of the Company and positioning Integra for future growth.</w:t>
      </w:r>
    </w:p>
    <w:p>
      <w:pPr>
        <w:spacing w:after="0" w:line="57"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Mr. Arduini’s reported total compensation decreased from approximately $8.5 million in 2012 to approximately $3.0 million in 2013, a 65% or approximately $5.6 million decrease in total compensation as illustrated in the Summary Compensation Table as well as the table below. The reasons for such a substantial decrease in total compensation was primarily the result of the fact that his 2012 compensation included a non-recurring one-time CEO promotional grant totaling approximately $6.2 million, and secondarily because Mr. Arduini did not earn a cash incentive payment for 2013. When the Committee examined Mr. Arduini’s total compensation for the years 2012 and 2013 and his target compensation for 2014, as well as taking into account the non-recurring grant in 2012, the Committee determined that in order to ensure that Mr. Arduini’s total compensation opportunities remained competitive with the market, and to recognize the leadership that he demonstrated through the challenges faced by the Company in 2013, the Committee awarded him a $3,500,000 equity grant which was granted in March 2014. In addition, the Committee approved a 3% base salary increase for 2014. For 2012, 2013 and 2014, a substantial majority of his compensation is at risk and dependent upon</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240" w:top="455" w:right="3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future performance (80% of his 2013 and 2014 equity grants are performance-based). The following chart outlines the breakdown of Mr. Arduini’s compensation for 2012 and 2013 as shown in the Summary Compensation Table, as well as his compensation received in March 2014 for his 2013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5080</wp:posOffset>
            </wp:positionV>
            <wp:extent cx="5222875" cy="1955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228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B. Henneman III, Corporate Vice President, Finance and Administration and Chief Financial Officer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Henneman’s performance objectives were derived from Mr. Arduini’s, and included the same financial objectives.</w:t>
      </w:r>
    </w:p>
    <w:p>
      <w:pPr>
        <w:spacing w:after="0" w:line="9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Committee considered Mr. Henneman’s performance against objectives, overall contribution, and need to retain him in rendering its assessment. The Committee noted Mr. Henneman’s strong rapport with the financial community, his team’s leadership during the 2013 financing and acquisition of the DuraSeal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product line, and his broad responsibilities beyond the financial organization including the Legal, Information Systems, and Business Development functions and the Company’s private label business, all of which delivered strong performance in 2013.</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Committee’s actions for 2013 include: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Base Salary</w:t>
      </w:r>
      <w:r>
        <w:rPr>
          <w:rFonts w:ascii="Times New Roman" w:cs="Times New Roman" w:eastAsia="Times New Roman" w:hAnsi="Times New Roman"/>
          <w:sz w:val="16"/>
          <w:szCs w:val="16"/>
          <w:color w:val="auto"/>
        </w:rPr>
        <w:t>: Mr. Henneman’s base salary was automatically restored to $550,000 effective January 1, 2013 following a temporary salary reduction in 2012.</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his 2013 performance, the Committee increased Mr. Henneman’s salary by 2% to $561,000 effective April 1, 2014.</w:t>
      </w:r>
    </w:p>
    <w:p>
      <w:pPr>
        <w:spacing w:after="0" w:line="76" w:lineRule="exact"/>
        <w:rPr>
          <w:sz w:val="20"/>
          <w:szCs w:val="20"/>
          <w:color w:val="auto"/>
        </w:rPr>
      </w:pPr>
    </w:p>
    <w:p>
      <w:pPr>
        <w:ind w:left="460" w:right="240"/>
        <w:spacing w:after="0" w:line="264" w:lineRule="auto"/>
        <w:rPr>
          <w:sz w:val="20"/>
          <w:szCs w:val="20"/>
          <w:color w:val="auto"/>
        </w:rPr>
      </w:pPr>
      <w:r>
        <w:rPr>
          <w:rFonts w:ascii="Times New Roman" w:cs="Times New Roman" w:eastAsia="Times New Roman" w:hAnsi="Times New Roman"/>
          <w:sz w:val="18"/>
          <w:szCs w:val="18"/>
          <w:i w:val="1"/>
          <w:iCs w:val="1"/>
          <w:color w:val="auto"/>
        </w:rPr>
        <w:t>Annual Cash Incentive</w:t>
      </w:r>
      <w:r>
        <w:rPr>
          <w:rFonts w:ascii="Times New Roman" w:cs="Times New Roman" w:eastAsia="Times New Roman" w:hAnsi="Times New Roman"/>
          <w:sz w:val="18"/>
          <w:szCs w:val="18"/>
          <w:color w:val="auto"/>
        </w:rPr>
        <w:t>: While the Committee approved a target bonus of 90% of base salary for Mr. Henneman for 2013, the Committee did not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Henneman a cash bonus for 2013 performance in 2014 because financial results were below the minimum performance levels pursuant to the Bonus Plan.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Equity Incentive:</w:t>
      </w:r>
    </w:p>
    <w:p>
      <w:pPr>
        <w:spacing w:after="0" w:line="92" w:lineRule="exact"/>
        <w:rPr>
          <w:sz w:val="20"/>
          <w:szCs w:val="20"/>
          <w:color w:val="auto"/>
        </w:rPr>
      </w:pPr>
    </w:p>
    <w:p>
      <w:pPr>
        <w:ind w:left="700" w:hanging="246"/>
        <w:spacing w:after="0" w:line="258"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2013: $1,000,000 grant delivered as follows: (i) 50% in the form of restricted stock (12,739 shares of restricted stock) with annual vesting over three years; and (ii) 50% in the form of performance stock units (12,739 shares of performance stock units) with a three-year performance period (based on the achievement of revenue growth goals). No performance stock units granted in 2013 vested in 2014 because the Company did not achieve its 2013 performance goal.</w:t>
      </w:r>
    </w:p>
    <w:p>
      <w:pPr>
        <w:spacing w:after="0" w:line="55" w:lineRule="exact"/>
        <w:rPr>
          <w:rFonts w:ascii="Times New Roman" w:cs="Times New Roman" w:eastAsia="Times New Roman" w:hAnsi="Times New Roman"/>
          <w:sz w:val="18"/>
          <w:szCs w:val="18"/>
          <w:color w:val="auto"/>
        </w:rPr>
      </w:pPr>
    </w:p>
    <w:p>
      <w:pPr>
        <w:ind w:left="700" w:right="80" w:hanging="246"/>
        <w:spacing w:after="0" w:line="26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2014: $1,500,000 grant delivered as follows: (i) 50% in the form of restricted stock with annual vesting over three years; and (ii) 50% in the form of performance stock units with a three-year performance period (based on the achievement of revenue growth goals) based on retention purposes as well as the desire to motivate Mr. Henneman to improve the Company’s performance.</w:t>
      </w:r>
    </w:p>
    <w:p>
      <w:pPr>
        <w:spacing w:after="0" w:line="49" w:lineRule="exact"/>
        <w:rPr>
          <w:sz w:val="20"/>
          <w:szCs w:val="20"/>
          <w:color w:val="auto"/>
        </w:rPr>
      </w:pPr>
    </w:p>
    <w:p>
      <w:pPr>
        <w:ind w:left="460" w:right="720"/>
        <w:spacing w:after="0" w:line="277"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Mr. Henneman’s employment agreement was renewed in 2013 extending the term through January 4, 2015. Please see details under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Matters.”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Robert T. Davis, Jr., Corporate Vice President and President — Neurosurgery</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Mr. Davis has made strong contributions as President of our Neurosurgery business since joining Integra from Baxter Healthcare in 2012. Mr. Davis led our Neurosurgery business to strong performance in 2013, with increases in revenue despite a significant recall of duraplasty products (and subsequent product shortages, which we have addressed) and a corresponding loss of customers, most of whom the division succeeded in regaining under Mr. Davis’ leadership. The Committee considered that the Neurosurgery division was most directly affected by that recall, leading to missing revenue and margin targets. Mr. Davis displayed strong leadership of the commercial and product development functions during this challenging time, which includes ensuring retention of our Neurosurgery sales force in addition to customers. Mr. Davis also played a key leadership role in the acquisition and planning for the integration of DuraSeal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has also contributed to upgrading talent in Quality Assurance and Research &amp; Development in his division.</w:t>
      </w:r>
    </w:p>
    <w:p>
      <w:pPr>
        <w:spacing w:after="0" w:line="58" w:lineRule="exact"/>
        <w:rPr>
          <w:sz w:val="20"/>
          <w:szCs w:val="20"/>
          <w:color w:val="auto"/>
        </w:rPr>
      </w:pPr>
    </w:p>
    <w:p>
      <w:pPr>
        <w:ind w:left="460" w:right="60"/>
        <w:spacing w:after="0" w:line="27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Committee increased Mr. Davis’ base salary by 2.1% to $337,000 effective April 1, 2013 for his 2012 performance. In addition,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performance, the Committee increased his salary for 2014 by 3.1%, to $347,500 effective April 1, 2014.</w:t>
      </w:r>
    </w:p>
    <w:p>
      <w:pPr>
        <w:spacing w:after="0" w:line="35" w:lineRule="exact"/>
        <w:rPr>
          <w:sz w:val="20"/>
          <w:szCs w:val="20"/>
          <w:color w:val="auto"/>
        </w:rPr>
      </w:pPr>
    </w:p>
    <w:p>
      <w:pPr>
        <w:ind w:left="460" w:right="120"/>
        <w:spacing w:after="0" w:line="264" w:lineRule="auto"/>
        <w:rPr>
          <w:sz w:val="20"/>
          <w:szCs w:val="20"/>
          <w:color w:val="auto"/>
        </w:rPr>
      </w:pPr>
      <w:r>
        <w:rPr>
          <w:rFonts w:ascii="Times New Roman" w:cs="Times New Roman" w:eastAsia="Times New Roman" w:hAnsi="Times New Roman"/>
          <w:sz w:val="18"/>
          <w:szCs w:val="18"/>
          <w:i w:val="1"/>
          <w:iCs w:val="1"/>
          <w:color w:val="auto"/>
        </w:rPr>
        <w:t>Annual Cash Incentive</w:t>
      </w:r>
      <w:r>
        <w:rPr>
          <w:rFonts w:ascii="Times New Roman" w:cs="Times New Roman" w:eastAsia="Times New Roman" w:hAnsi="Times New Roman"/>
          <w:sz w:val="18"/>
          <w:szCs w:val="18"/>
          <w:color w:val="auto"/>
        </w:rPr>
        <w:t>: Mr. Davis had a target bonus opportunity of 37.5% of base salary for performance year 2013. For 2013, the Committee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Mr. Davis a cash bonus for 2013 performance in 2014 because financial results were below the minimum performance levels pursuant to the Bonus Plan.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Equity Incentive:</w:t>
      </w:r>
    </w:p>
    <w:p>
      <w:pPr>
        <w:spacing w:after="0" w:line="92" w:lineRule="exact"/>
        <w:rPr>
          <w:sz w:val="20"/>
          <w:szCs w:val="20"/>
          <w:color w:val="auto"/>
        </w:rPr>
      </w:pPr>
    </w:p>
    <w:p>
      <w:pPr>
        <w:ind w:left="700" w:hanging="246"/>
        <w:spacing w:after="0"/>
        <w:tabs>
          <w:tab w:leader="none" w:pos="7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2013: The Committee granted equity compensation valued at $125,000 in March 2013 based on performance and market considerations and was</w:t>
      </w:r>
    </w:p>
    <w:p>
      <w:pPr>
        <w:spacing w:after="0" w:line="44" w:lineRule="exact"/>
        <w:rPr>
          <w:rFonts w:ascii="Times New Roman" w:cs="Times New Roman" w:eastAsia="Times New Roman" w:hAnsi="Times New Roman"/>
          <w:sz w:val="16"/>
          <w:szCs w:val="16"/>
          <w:color w:val="auto"/>
        </w:rPr>
      </w:pPr>
    </w:p>
    <w:p>
      <w:pPr>
        <w:ind w:left="700" w:right="2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delivered as: (i) 50% in the form of restricted stock (1,593 shares of restricted stock) with annual vesting over three years; and (ii) 50% in the form of performance stock units (1,593) with a three-year performance period (based on the achievement of revenue growth goals). No vesting of the performance stock units granted in 2013 took place in 2014 because the Company did not achieve its 2013 performance goal.</w:t>
      </w:r>
    </w:p>
    <w:p>
      <w:pPr>
        <w:spacing w:after="0" w:line="57" w:lineRule="exact"/>
        <w:rPr>
          <w:rFonts w:ascii="Times New Roman" w:cs="Times New Roman" w:eastAsia="Times New Roman" w:hAnsi="Times New Roman"/>
          <w:sz w:val="16"/>
          <w:szCs w:val="16"/>
          <w:color w:val="auto"/>
        </w:rPr>
      </w:pPr>
    </w:p>
    <w:p>
      <w:pPr>
        <w:ind w:left="700" w:right="220" w:hanging="246"/>
        <w:spacing w:after="0" w:line="275"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2013: The Committee granted equity compensation valued at $50,000 in July 2013 based on Mr. Davis’ employment terms with the Company in the form of 1,320 shares of restricted stock with annual vesting over three years.</w:t>
      </w:r>
    </w:p>
    <w:p>
      <w:pPr>
        <w:spacing w:after="0" w:line="38" w:lineRule="exact"/>
        <w:rPr>
          <w:rFonts w:ascii="Times New Roman" w:cs="Times New Roman" w:eastAsia="Times New Roman" w:hAnsi="Times New Roman"/>
          <w:sz w:val="18"/>
          <w:szCs w:val="18"/>
          <w:color w:val="auto"/>
        </w:rPr>
      </w:pPr>
    </w:p>
    <w:p>
      <w:pPr>
        <w:ind w:left="700" w:right="120" w:hanging="246"/>
        <w:spacing w:after="0" w:line="262"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2014: $278,025 grant delivered as follows: (i) 50% in the form of restricted stock with annual vesting over three years; and (ii) 50% in the form of performance stock units with a three-year performance period (based on the achievement of revenue growth goals) based on retention purposes as well as the desire to motivate Mr. Davis to improve the Company’s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D. Gorelick, Corporate Vice President, General Counsel, Administration and Secretary</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Mr. Gorelick is the General Counsel and Corporate Secretary and manages the Law Department, Environmental, Health and Safety, Risk Management and Corporate Communications. In assessing his performance, the Committee considered Mr. Gorelick’s leadership role in the Company’s response to the FDA warning letter for the Añasco, Puerto Rico facility, our voluntary product recall and other FDA matters, his role in our refinancing, managing litigation and employment law matters, on-going commercial matters and compliance. Based on his contributions in these areas, the Committee approved the following compensation actions:</w:t>
      </w:r>
    </w:p>
    <w:p>
      <w:pPr>
        <w:spacing w:after="0" w:line="56" w:lineRule="exact"/>
        <w:rPr>
          <w:sz w:val="20"/>
          <w:szCs w:val="20"/>
          <w:color w:val="auto"/>
        </w:rPr>
      </w:pPr>
    </w:p>
    <w:p>
      <w:pPr>
        <w:ind w:left="460" w:right="620"/>
        <w:spacing w:after="0" w:line="27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Committee increased Mr. Gorelick’s base salary by 3.5% to $358,938 effective April 1, 2013 for 2012 performance. For his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the Committee increased Mr. Gorelick’s salary by 2%, to $366,188 effective April 1, 2014.</w:t>
      </w:r>
    </w:p>
    <w:p>
      <w:pPr>
        <w:spacing w:after="0" w:line="35" w:lineRule="exact"/>
        <w:rPr>
          <w:sz w:val="20"/>
          <w:szCs w:val="20"/>
          <w:color w:val="auto"/>
        </w:rPr>
      </w:pPr>
    </w:p>
    <w:p>
      <w:pPr>
        <w:ind w:left="460" w:right="28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Annual Cash Incentive: </w:t>
      </w:r>
      <w:r>
        <w:rPr>
          <w:rFonts w:ascii="Times New Roman" w:cs="Times New Roman" w:eastAsia="Times New Roman" w:hAnsi="Times New Roman"/>
          <w:sz w:val="18"/>
          <w:szCs w:val="18"/>
          <w:color w:val="auto"/>
        </w:rPr>
        <w:t>Mr. Gorelick had a target bonus opportunity of 35% of base salary for performance year 2013. For 2013, the Committee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Mr. Gorelick a cash bonus for 2013 performance in 2014 because financial results were below the minimum performance levels pursuant to the Bonus Plan.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Equity Incentive:</w:t>
      </w:r>
    </w:p>
    <w:p>
      <w:pPr>
        <w:spacing w:after="0" w:line="92" w:lineRule="exact"/>
        <w:rPr>
          <w:sz w:val="20"/>
          <w:szCs w:val="20"/>
          <w:color w:val="auto"/>
        </w:rPr>
      </w:pPr>
    </w:p>
    <w:p>
      <w:pPr>
        <w:ind w:left="700" w:hanging="246"/>
        <w:spacing w:after="0"/>
        <w:tabs>
          <w:tab w:leader="none" w:pos="7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2013: The Committee granted equity compensation valued at $139,000 in March 2013 based on performance and market considerations, and was</w:t>
      </w:r>
    </w:p>
    <w:p>
      <w:pPr>
        <w:spacing w:after="0" w:line="44" w:lineRule="exact"/>
        <w:rPr>
          <w:rFonts w:ascii="Times New Roman" w:cs="Times New Roman" w:eastAsia="Times New Roman" w:hAnsi="Times New Roman"/>
          <w:sz w:val="16"/>
          <w:szCs w:val="16"/>
          <w:color w:val="auto"/>
        </w:rPr>
      </w:pPr>
    </w:p>
    <w:p>
      <w:pPr>
        <w:jc w:val="both"/>
        <w:ind w:left="700" w:right="140"/>
        <w:spacing w:after="0" w:line="3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delivered as: (i) 50% in the form of restricted stock (1,771 shares of restricted stock) with annual vesting over three years; and (ii) 50% in the form of performance stock units (1,771 shares of performance stock units) with a three-year performance period (based on the achievement of revenue growth goals). No vesting of the performance stock units granted in 2013 took place in 2014 because the Company did not achieve its 2013 performance goal.</w:t>
      </w:r>
    </w:p>
    <w:p>
      <w:pPr>
        <w:spacing w:after="0" w:line="22" w:lineRule="exact"/>
        <w:rPr>
          <w:rFonts w:ascii="Times New Roman" w:cs="Times New Roman" w:eastAsia="Times New Roman" w:hAnsi="Times New Roman"/>
          <w:sz w:val="16"/>
          <w:szCs w:val="16"/>
          <w:color w:val="auto"/>
        </w:rPr>
      </w:pPr>
    </w:p>
    <w:p>
      <w:pPr>
        <w:ind w:left="700" w:right="100" w:hanging="246"/>
        <w:spacing w:after="0" w:line="310" w:lineRule="auto"/>
        <w:tabs>
          <w:tab w:leader="none" w:pos="7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2014: The Committee granted equity compensation valued at $251,257, delivered as follows: (i) 50% in the form of restricted stock with annual vesting over three years; and (ii) 50% in the form of performance stock units with a three-year performance period (based on the achievement of revenue growth goals) based on retention purposes as well as the desire to motivate Mr. Gorelick to improve the Company’s performance.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Brian Larkin, Corporate Vice President and President, Global Spine and Orthobiologics and Head of Strategic Development</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Mr. Larkin leads our Global Spine and Orthobiologics businesses, as well as Enterprise Sales and Marketing. In 2013, a challenging Spine market and execution issues caused us to miss our Spine hardware revenue target by 13.5% and our Orthobiologics revenue target by 5.1%. During 2013, Mr. Larkin played a key role in establishing the Enterprise Sales and Marketing function which is an integral part in our strategy of establishing and expanding our footprint in Integra’s largest and most important key accounts. He also contributed to defining our new Chief Scientific Office organization and regenerative medicine strategy.</w:t>
      </w:r>
    </w:p>
    <w:p>
      <w:pPr>
        <w:spacing w:after="0" w:line="56" w:lineRule="exact"/>
        <w:rPr>
          <w:sz w:val="20"/>
          <w:szCs w:val="20"/>
          <w:color w:val="auto"/>
        </w:rPr>
      </w:pPr>
    </w:p>
    <w:p>
      <w:pPr>
        <w:ind w:left="460" w:right="440"/>
        <w:spacing w:after="0" w:line="27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Committee increased Mr. Larkin’s salary for 2013 for 2012 performance by 2.1%, to $338,500 effective April 1, 2013. For his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the Committee increased Mr. Larkin’s salary by 1.5%, to $343,577 effective April 1, 2014.</w:t>
      </w:r>
    </w:p>
    <w:p>
      <w:pPr>
        <w:spacing w:after="0" w:line="35" w:lineRule="exact"/>
        <w:rPr>
          <w:sz w:val="20"/>
          <w:szCs w:val="20"/>
          <w:color w:val="auto"/>
        </w:rPr>
      </w:pPr>
    </w:p>
    <w:p>
      <w:pPr>
        <w:ind w:left="460" w:right="60"/>
        <w:spacing w:after="0" w:line="264" w:lineRule="auto"/>
        <w:rPr>
          <w:sz w:val="20"/>
          <w:szCs w:val="20"/>
          <w:color w:val="auto"/>
        </w:rPr>
      </w:pPr>
      <w:r>
        <w:rPr>
          <w:rFonts w:ascii="Times New Roman" w:cs="Times New Roman" w:eastAsia="Times New Roman" w:hAnsi="Times New Roman"/>
          <w:sz w:val="18"/>
          <w:szCs w:val="18"/>
          <w:i w:val="1"/>
          <w:iCs w:val="1"/>
          <w:color w:val="auto"/>
        </w:rPr>
        <w:t>Annual Cash Incentive</w:t>
      </w:r>
      <w:r>
        <w:rPr>
          <w:rFonts w:ascii="Times New Roman" w:cs="Times New Roman" w:eastAsia="Times New Roman" w:hAnsi="Times New Roman"/>
          <w:sz w:val="18"/>
          <w:szCs w:val="18"/>
          <w:color w:val="auto"/>
        </w:rPr>
        <w:t>: Mr. Larkin had a target bonus opportunity of 37.5% of base salary for performance year 2013. For 2013, the Committee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Mr. Larkin a cash bonus for 2013 performance in 2014 because financial results were below the minimum performance levels pursuant to the Bonus Plan.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Equity Incentive:</w:t>
      </w:r>
    </w:p>
    <w:p>
      <w:pPr>
        <w:spacing w:after="0" w:line="92" w:lineRule="exact"/>
        <w:rPr>
          <w:sz w:val="20"/>
          <w:szCs w:val="20"/>
          <w:color w:val="auto"/>
        </w:rPr>
      </w:pPr>
    </w:p>
    <w:p>
      <w:pPr>
        <w:ind w:left="700" w:hanging="246"/>
        <w:spacing w:after="0"/>
        <w:tabs>
          <w:tab w:leader="none" w:pos="7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2013: The Committee granted equity compensation valued at $130,000 in March 2013 based on performance and market considerations, and was</w:t>
      </w:r>
    </w:p>
    <w:p>
      <w:pPr>
        <w:spacing w:after="0" w:line="44" w:lineRule="exact"/>
        <w:rPr>
          <w:rFonts w:ascii="Times New Roman" w:cs="Times New Roman" w:eastAsia="Times New Roman" w:hAnsi="Times New Roman"/>
          <w:sz w:val="16"/>
          <w:szCs w:val="16"/>
          <w:color w:val="auto"/>
        </w:rPr>
      </w:pPr>
    </w:p>
    <w:p>
      <w:pPr>
        <w:jc w:val="both"/>
        <w:ind w:left="700" w:right="140"/>
        <w:spacing w:after="0" w:line="3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delivered as: (i) 50% in the form of restricted stock (1,657 shares of restricted stock) with annual vesting over three years; and (ii) 50% in the form of performance stock units (1,657 shares of performance stock units) with a three year performance period (based on the achievement of revenue growth goals). No vesting of the performance stock units granted in 2013 took place in 2014 because the Company did not achieve its 2013 performance goal.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and Authority over Executive Compensation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its Adviser</w:t>
      </w:r>
    </w:p>
    <w:p>
      <w:pPr>
        <w:spacing w:after="0" w:line="94"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Committee oversees and provides strategic direction to management regarding Integra’s compensation for executive officers. It determines the compensation of the CEO, and reviews and approves the compensation of the remaining executive officers.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Committee member is an independent non-employee director with experience in executive compensation matters.</w:t>
      </w:r>
    </w:p>
    <w:p>
      <w:pPr>
        <w:spacing w:after="0" w:line="9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Since 2006, the Committee has retained Towers Watson as a consultant on executive compensation matters. Towers Watson provides analyses and recommendations that inform the Committee’s decisions, evaluates market data compiled by management’s consultants, 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Pursuant to SEC rules, the Committee has reviewed the SEC independence factors for compensation advisers and concluded that no conflict of interest exists that would prevent Towers Watson from independently representing the Committee. In 2013, Towers Watson provided consulting services only to the Committee.</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Towers Watson periodically meets with the Committee chair and the Committee in Executive Session outside the presence of management.</w:t>
      </w:r>
    </w:p>
    <w:p>
      <w:pPr>
        <w:spacing w:after="0" w:line="9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Committee met nine times in 2013; the Committee also meets periodically in an executive session. The Committee’s independent advisers participated in several of the Committee’s meetings and, when requested by the Committee chair, in the preparatory meetings.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Chief Executive Officer and Management in Executive Compensation</w:t>
      </w:r>
    </w:p>
    <w:p>
      <w:pPr>
        <w:spacing w:after="0" w:line="94"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Our Chief Executive Officer provides significant input on the compensation for his direct reports and other NEOs — beginning with an annual review of performance — including merit increases, cash incentive payments, and long-term equity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2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an annual basis, management considers market competitiveness, business results, experience and individual performance in evaluating executive compensation. The Chief Human Resources Officer (CHRO) and members of Integra’s human resources organization, together with members of the finance and legal organizations, work with the CEO to assist the Committee in designing and developing compensation programs, to recommend 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During 2013, the Company engaged Compensation Advisory Partners LLC (“CAP”) as the Company’s compensation consultant. CAP worked with the CHRO and her team to develop market data and to assist in the design and development of Integra’s 2014 executive compensation programs for submission to the Committee and the Committee’s compensation consultant for the Committee’s consideration.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Matters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Section 162(m) limits the deductibility of compensation paid to the CEO and certain executive officers (other than the CFO) to $1,000,000 per year unless the compensation qualifies as “performance-based compensation” within the meaning of Section 162(m). Although the Company maintains plans that are intended to permit the award of deductible compensation under Section 162(m), the Committee does not necessarily limit executive compensation to the amount deductible under that provision. Rather, it considers the available alternatives and acts with the intention of preserving the deductibility of compensation to the extent reasonably practicable and consistent with its other compensation objectives.</w:t>
      </w:r>
    </w:p>
    <w:p>
      <w:pPr>
        <w:spacing w:after="0" w:line="5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Committee also endeavors to structure executive officers’ compensation in a manner that is either compliant with, or exempt from the application of Section 409A of the Internal Revenue Code, the provisions of which may impose additional taxes to employees.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account for stock-based compensation in accordance with FASB ASC Topic 718, which requires us to recognize compensation expense for share-based payments (including stock options, restricted stock, restricted stock units, performance stock units and other forms of equity compensation). The Committee regularly considers the accounting implications of significant compensation decisions, especially in connection with</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Arrangements</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our President and Chief Executive Officer and our Chief Financial Officer. The employment agreements provide for payments if we were to terminate them other than for “Cause” or if the executive were to terminate his employment for “Good Reason” (each, as defined in the applicable employment agreement), and provide for additional payments if the executive’s employment is terminated under these circumstances following a change in control.</w:t>
      </w:r>
    </w:p>
    <w:p>
      <w:pPr>
        <w:spacing w:after="0" w:line="5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January 2012, we entered into a two-year severance agreement with Mr. Gorelick following the expiration of his prior agreement. Mr. Gorelick’s severance agreement provided for a payment of one times the sum of his base salary and target cash bonus if we terminated his employment for a reason other than death, “Retirement”, “Disability” or “Cause” or if he terminates his employment with the Company for “Good Reason” (each as defined in his agreement). Mr. Gorelick’s severance agreement expired on December 31, 2013.</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Currently, we do not have severance agreements with Mr. Gorelick, Mr. Davis or Mr. Larkin providing for post-termination payments and/or benefits.</w:t>
      </w:r>
    </w:p>
    <w:p>
      <w:pPr>
        <w:spacing w:after="0" w:line="9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Details of the severance provisions are described in “Potential Payments Upon Termination of Change in Control.” See “Employment Agreements and Severance Agreement Matters”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and Severance Agreement Matters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Peter J. Arduini</w:t>
      </w:r>
    </w:p>
    <w:p>
      <w:pPr>
        <w:spacing w:after="0" w:line="94"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The Company initially determined to enter into an employment agreement with Mr. Arduini in order to recruit him from a highly compensated, senior position at Baxter International, a global medical device company with almost $14 billion in annual revenues in 2011, to induce him to relocate his family, to provide some security commensurate with the risks undertaken in such a considerable career and geographic move, and to provide him with appropriate incentives to help the Company grow. The Company amended that agreement upon Mr. Arduini’s succession to President and Chief Executive Officer to provide him with an appropriate blend of incentives and severance payments to reflect his greater responsibilities and address the risks undertaken with such a position.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terms of the amended employment agreement, as in effect in 2013 are described below.</w:t>
      </w:r>
    </w:p>
    <w:p>
      <w:pPr>
        <w:spacing w:after="0" w:line="90"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amended employment agreement is set to expire in December 31, 2014, and provides that Mr. Arduini would receive (i) an annual base salary of $725,000, with increases subject to the Committee’s discretion, with annual increases targeted at $30,000, (ii) a promotional award on January 3, 2012 of restricted stock units covering 118,363 shares of common stock and vesting annually over three years, (iii) a promotional award on March 1, 2012 of nonqualified options covering 206,719 shares of common stock with an eight-year term, (iv) a target bonus opportunity for 2012 and future years of 110% of base salary, based on achievement of performance objectives determined by the Committee with a range from 50% of base salary (if threshold performance goals are achieved) to a maximum of 150% of base salary, (v) reimbursement of up to $15,000 in legal fees incurred in connection with the negotiation of the amended employment agreement and (vi) discretionary annual equity awards commencing in 2012 with an aggregate target value of at least $1,250,000, allocated 70% in restricted stock units, which are subject to his continued employment, with annual vesting over three years and 30% in non-qualified stock options with an eight-year term.</w:t>
      </w:r>
    </w:p>
    <w:p>
      <w:pPr>
        <w:spacing w:after="0" w:line="3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Once vested, the shares underlying the RSU grants will be deferred and delivered to Mr. Arduini within the 30-day period immediately following the six-month anniversary of his separation from service. The unvested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restricted stock units are subject to accelerated vesting upon Mr. Arduini’s death or disability or upon a “Change in Control” of the Company (as defined in the agreement). Subject to Mr. Arduini’s continued service with the Company, the options will vest as follows: one-third of the shares vest on the first anniversary of the option grant date and the remaining shares vest monthly thereafter over the subsequent 24 months, except that the vesting schedule for the promotional option grant uses the January 3, 2012 promotion date instead of the grant date. In addition, the options will vest in full upon Mr. Arduini’s death or disability or upon a “Change in Control” of the Company.</w:t>
      </w:r>
    </w:p>
    <w:p>
      <w:pPr>
        <w:spacing w:after="0" w:line="58"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If Mr. Arduini’s employment with the Company is terminated by the Company for a reason other than death, “Disability” or “Cause” or Mr. Arduini terminates his employment with the Company for “Good Reason” (each as defined in the amended employment agreement), the Company will pay to him a lump sum cash severance amount equal to 1.5 times the sum of his annual base salary and target bonus, each as of his last day of active employment. In addition, in general, the Company will pay him monthly cash payments equal to the Company’s cost of COBRA and life insurance premiums for up to eighteen months following the termination date. If within 18 months of a Change in Control of the Company, Mr. Arduini’s employment with the Company is terminated by the Company for a reason other than death, Disability or Cause or he terminates employment with the Company for Good Reason, the Company will pay to him a lump sum cash payment equal to 2.99 times the sum of his annual base salary and target bonus, each as of his last day of active employment. In addition, in general, the Company will pay him monthly cash payments equal to the Company’s cost of COBRA and life insurance premiums during the period ending not later than the last day of the scheduled employment term. Mr. Arduini’s employment agreement does not provide for any tax gross-up provisions.</w:t>
      </w:r>
    </w:p>
    <w:p>
      <w:pPr>
        <w:spacing w:after="0" w:line="32"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Pursuant to a letter agreement dated February 19, 2013, Mr. Arduini and the Company agreed that any annual equity award for 2012 for Mr. Arduini (granted in 2013) shall be allocated as follows:</w:t>
      </w:r>
    </w:p>
    <w:p>
      <w:pPr>
        <w:spacing w:after="0" w:line="39" w:lineRule="exact"/>
        <w:rPr>
          <w:sz w:val="20"/>
          <w:szCs w:val="20"/>
          <w:color w:val="auto"/>
        </w:rPr>
      </w:pPr>
    </w:p>
    <w:p>
      <w:pPr>
        <w:ind w:left="700" w:right="240" w:hanging="246"/>
        <w:spacing w:after="0" w:line="275"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denominated value of such annual equity award shall be in the form of contract stock/restricted units with annual vesting over three years and a deferral feature that provides the awards will be paid following the six-month anniversary of Mr. Arduini’s termination;</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denominated value of such annual equity award shall be in the form of non-qualified stock options; and</w:t>
      </w:r>
    </w:p>
    <w:p>
      <w:pPr>
        <w:spacing w:after="0" w:line="90" w:lineRule="exact"/>
        <w:rPr>
          <w:rFonts w:ascii="Times New Roman" w:cs="Times New Roman" w:eastAsia="Times New Roman" w:hAnsi="Times New Roman"/>
          <w:sz w:val="18"/>
          <w:szCs w:val="18"/>
          <w:color w:val="auto"/>
        </w:rPr>
      </w:pPr>
    </w:p>
    <w:p>
      <w:pPr>
        <w:ind w:left="700" w:right="400" w:hanging="246"/>
        <w:spacing w:after="0" w:line="334" w:lineRule="auto"/>
        <w:tabs>
          <w:tab w:leader="none" w:pos="7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the denominated value of such annual equity award shall be in the form of performance stock units with a deferral feature that provides the award will be paid following the six-month anniversary of Mr. Arduini’s termination, and other terms as determined by the Committee.</w:t>
      </w:r>
    </w:p>
    <w:p>
      <w:pPr>
        <w:spacing w:after="0" w:line="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addition, the letter agreement provided that the amount of any bonus for 2012 performance for Mr. Arduini that exceeded $400,000 shall be paid in the form of equity awards as follows:</w:t>
      </w:r>
    </w:p>
    <w:p>
      <w:pPr>
        <w:spacing w:after="0" w:line="39" w:lineRule="exact"/>
        <w:rPr>
          <w:sz w:val="20"/>
          <w:szCs w:val="20"/>
          <w:color w:val="auto"/>
        </w:rPr>
      </w:pPr>
    </w:p>
    <w:p>
      <w:pPr>
        <w:ind w:left="700" w:right="280" w:hanging="246"/>
        <w:spacing w:after="0" w:line="275" w:lineRule="auto"/>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denominated value shall be paid in the form of performance stock units with a three-year performance period, based on the attainment of revenue growth goals and other terms as determined by the Committee; and</w:t>
      </w:r>
    </w:p>
    <w:p>
      <w:pPr>
        <w:spacing w:after="0" w:line="38"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denominated value shall be paid in the form of restricted stock with annual vesting over three years.</w:t>
      </w:r>
    </w:p>
    <w:p>
      <w:pPr>
        <w:spacing w:after="0" w:line="90" w:lineRule="exact"/>
        <w:rPr>
          <w:sz w:val="20"/>
          <w:szCs w:val="20"/>
          <w:color w:val="auto"/>
        </w:rPr>
      </w:pPr>
    </w:p>
    <w:p>
      <w:pPr>
        <w:ind w:right="1600" w:firstLine="456"/>
        <w:spacing w:after="0" w:line="391" w:lineRule="auto"/>
        <w:rPr>
          <w:sz w:val="20"/>
          <w:szCs w:val="20"/>
          <w:color w:val="auto"/>
        </w:rPr>
      </w:pPr>
      <w:r>
        <w:rPr>
          <w:rFonts w:ascii="Times New Roman" w:cs="Times New Roman" w:eastAsia="Times New Roman" w:hAnsi="Times New Roman"/>
          <w:sz w:val="18"/>
          <w:szCs w:val="18"/>
          <w:color w:val="auto"/>
        </w:rPr>
        <w:t xml:space="preserve">Also, any future equity awards granted to Mr. Arduini will be in such form and contain such terms as the Committee shall determine. </w:t>
      </w:r>
      <w:r>
        <w:rPr>
          <w:rFonts w:ascii="Times New Roman" w:cs="Times New Roman" w:eastAsia="Times New Roman" w:hAnsi="Times New Roman"/>
          <w:sz w:val="18"/>
          <w:szCs w:val="18"/>
          <w:b w:val="1"/>
          <w:bCs w:val="1"/>
          <w:i w:val="1"/>
          <w:iCs w:val="1"/>
          <w:color w:val="auto"/>
        </w:rPr>
        <w:t>John B. Henneman, III</w:t>
      </w:r>
    </w:p>
    <w:p>
      <w:pPr>
        <w:spacing w:after="0" w:line="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a series of employment agreements and/or amendments with Mr. Henneman since the inception of his employment with the Company in 1998 (when he began his career here as Vice President and General Counsel). Prior to joining the Company, Mr. Henneman was elected to the partnership of Latham &amp; Watkins LLP and the general counsel and then chief executive officer of a publicly held medical device company. Based on the breadth and depth of his experience, his other career possibilities, the desire to motivate him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to help grow the Company profitably and retention, the Company continued its practice of entering into employment agreements with Mr. Henneman, with the result that the Company has grown and increased its profitability during his tenure.</w:t>
      </w:r>
    </w:p>
    <w:p>
      <w:pPr>
        <w:spacing w:after="0" w:line="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October 12, 2010, we amended Mr. Henneman’s employment agreement with the Company, eliminating all gross-up provisions and providing for one-year extensions unless either party provides at least six months advance notice of nonrenewal. In addition, the October 2010 amendment provided that if his employment terminates as a result of the Company’s nonrenewal of the term, the termination would be treated for severance purposes the same as a termination by the Company without “Cause” (as described below).</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October 2010 amendment did not change Mr. Henneman’s annual bonus opportunity target of 50% of his base salary.</w:t>
      </w:r>
    </w:p>
    <w:p>
      <w:pPr>
        <w:spacing w:after="0" w:line="9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(i) the Company terminates Mr. Henneman’s employment for a reason other than death, “Disability” or “Cause,” (ii) Mr. Henneman terminates his employment with the Company for “Good Reason” (each as defined in the employment agreement), or (iii) Mr. Henneman’s employment terminates as a result of the Company’s non-renewal of the term of his employment agreement, the Company will pay to him a lump sum cash payment equal to the sum of his base salary and target bonus and monthly payments of the Company’s cost of COBRA and life and disability insurance premiums during a specified period (typically one year).</w:t>
      </w:r>
    </w:p>
    <w:p>
      <w:pPr>
        <w:spacing w:after="0" w:line="58"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If within 12 months of a “Change in Control” of the Company (as defined in the employment agreement), (i) Mr. Henneman’s employment with the Company is terminated by the Company for a reason other than “Cause,” (ii) Mr. Henneman terminates his employment with the Company for “Good Reason,” or (iii) Mr. Henneman’s employment terminates as a result of the Company’s non-renewal of the term of his employment agreement, the Company will pay to him a lump sum payment equal to 2.99 times the sum of his base salary and target bonus and monthly premiums of the Company’s cost of COBRA and life and disability insurance premiums (typically until December 19 of the year following the termination of service), as well as reasonable legal fees and expenses as a result of any such termination.</w:t>
      </w:r>
    </w:p>
    <w:p>
      <w:pPr>
        <w:spacing w:after="0" w:line="5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Pursuant to a letter from Mr. Henneman to the Company, in February 2012, Mr. Henneman requested and the Company agreed that, effective as of March 17, 2012, his 2012 annual base salary rate would be reduced to this 2011 annual base salary from $550,000 to $525,000 per year. He also agreed that neither this change nor any related action taken by the Company would constitute a breach of, or “Good Reason” (as defined in his employment agreement) for purposes of, his employment agreement or any other agreement between him and the Company.</w:t>
      </w:r>
    </w:p>
    <w:p>
      <w:pPr>
        <w:spacing w:after="0" w:line="55"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In 2013, Mr. Henneman’s annual base salary was restored back to $550,000 per year, the amount previously designated in his agreement for his 2012 annual base salary. In addition, his employment agreement was renewed for an additional year, extending the term through January 4, 2015.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D. Gorelick</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January 2012, we entered into a two-year severance agreement with Mr. Gorelick following the expiration of his prior agreement. Mr. Gorelick’s severance agreement provided for a payment of one times the sum of his base salary and target cash bonus if we terminated his employment for a reason other than death, “Retirement”, “Disability” or “Cause” or if he terminated his employment with the Company for “Good Reason” (each as defined in his agreement). Mr. Gorelick’s severance agreement expired on December 31, 2013.</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2013 Annual Report on Form 10-K.</w:t>
      </w:r>
    </w:p>
    <w:p>
      <w:pPr>
        <w:spacing w:after="0" w:line="3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Compensation Committee of the</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KEITH BRADLEY (CHAIR)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BARBARA B. HILL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DONALD E. MOREL, JR.</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240" w:top="455" w:right="3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78" w:lineRule="exact"/>
        <w:rPr>
          <w:sz w:val="20"/>
          <w:szCs w:val="20"/>
          <w:color w:val="auto"/>
        </w:rPr>
      </w:pPr>
    </w:p>
    <w:p>
      <w:pPr>
        <w:ind w:right="180" w:firstLine="456"/>
        <w:spacing w:after="0" w:line="333" w:lineRule="auto"/>
        <w:rPr>
          <w:sz w:val="20"/>
          <w:szCs w:val="20"/>
          <w:color w:val="auto"/>
        </w:rPr>
      </w:pPr>
      <w:r>
        <w:rPr>
          <w:rFonts w:ascii="Times New Roman" w:cs="Times New Roman" w:eastAsia="Times New Roman" w:hAnsi="Times New Roman"/>
          <w:sz w:val="16"/>
          <w:szCs w:val="16"/>
          <w:color w:val="auto"/>
        </w:rPr>
        <w:t>The following table sets forth information regarding compensation paid to our current President and Chief Executive Officer, our former Chief Executive Officer, our Chief Financial Officer and each of our three other most highly compensated executive officers, based on total compensation earned during 2013.</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and</w:t>
            </w: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4"/>
              </w:rPr>
              <w:t>Non-Equity</w:t>
            </w:r>
          </w:p>
        </w:tc>
        <w:tc>
          <w:tcPr>
            <w:tcW w:w="108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Nonqualified</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Deferred</w:t>
            </w: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2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Awards(1)</w:t>
            </w:r>
          </w:p>
        </w:tc>
        <w:tc>
          <w:tcPr>
            <w:tcW w:w="11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Awards(2)</w:t>
            </w: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Compensation(3)</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Compensation(4)</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49"/>
        </w:trPr>
        <w:tc>
          <w:tcPr>
            <w:tcW w:w="2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2"/>
                <w:szCs w:val="12"/>
                <w:color w:val="auto"/>
              </w:rPr>
            </w:pPr>
          </w:p>
        </w:tc>
        <w:tc>
          <w:tcPr>
            <w:tcW w:w="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2"/>
                <w:szCs w:val="12"/>
                <w:color w:val="auto"/>
              </w:rPr>
            </w:pPr>
          </w:p>
        </w:tc>
        <w:tc>
          <w:tcPr>
            <w:tcW w:w="5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64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84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(d)</w:t>
            </w:r>
          </w:p>
        </w:tc>
        <w:tc>
          <w:tcPr>
            <w:tcW w:w="1200" w:type="dxa"/>
            <w:vAlign w:val="bottom"/>
            <w:gridSpan w:val="2"/>
          </w:tcPr>
          <w:p>
            <w:pPr>
              <w:jc w:val="right"/>
              <w:ind w:right="820"/>
              <w:spacing w:after="0" w:line="129" w:lineRule="exact"/>
              <w:rPr>
                <w:sz w:val="20"/>
                <w:szCs w:val="20"/>
                <w:color w:val="auto"/>
              </w:rPr>
            </w:pPr>
            <w:r>
              <w:rPr>
                <w:rFonts w:ascii="Times New Roman" w:cs="Times New Roman" w:eastAsia="Times New Roman" w:hAnsi="Times New Roman"/>
                <w:sz w:val="14"/>
                <w:szCs w:val="14"/>
                <w:b w:val="1"/>
                <w:bCs w:val="1"/>
                <w:color w:val="auto"/>
              </w:rPr>
              <w:t>(e)</w:t>
            </w:r>
          </w:p>
        </w:tc>
        <w:tc>
          <w:tcPr>
            <w:tcW w:w="1140" w:type="dxa"/>
            <w:vAlign w:val="bottom"/>
            <w:gridSpan w:val="2"/>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w w:val="85"/>
              </w:rPr>
              <w:t>(f)</w:t>
            </w:r>
          </w:p>
        </w:tc>
        <w:tc>
          <w:tcPr>
            <w:tcW w:w="12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85"/>
              </w:rPr>
              <w:t>(g)</w:t>
            </w: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(h)</w:t>
            </w:r>
          </w:p>
        </w:tc>
        <w:tc>
          <w:tcPr>
            <w:tcW w:w="1460" w:type="dxa"/>
            <w:vAlign w:val="bottom"/>
            <w:gridSpan w:val="2"/>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(i)</w:t>
            </w:r>
          </w:p>
        </w:tc>
        <w:tc>
          <w:tcPr>
            <w:tcW w:w="6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85"/>
              </w:rPr>
              <w:t>(j)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Peter J. Arduini</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787,115</w:t>
            </w: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1,737,558(6)(7)</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450,006(8)(7)</w:t>
            </w: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3,825</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2,978,504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President and Chief</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722,116</w:t>
            </w: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4,544,802(9)</w:t>
            </w:r>
          </w:p>
        </w:tc>
        <w:tc>
          <w:tcPr>
            <w:tcW w:w="11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2,826,104(10)</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17,647(11)</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8,510,669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Officer and Director (5)</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6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8"/>
              </w:rPr>
              <w:t>400,000(12)</w:t>
            </w:r>
          </w:p>
        </w:tc>
        <w:tc>
          <w:tcPr>
            <w:tcW w:w="120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157,213(13)</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1,157,213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John B. Henneman, III</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549,423</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1,000,012(15)(7)</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4,125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1,553,560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Corporate Vice</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530,289</w:t>
            </w: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2,196,928(16)</w:t>
            </w:r>
          </w:p>
        </w:tc>
        <w:tc>
          <w:tcPr>
            <w:tcW w:w="114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3,006,342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40" w:type="dxa"/>
            <w:vAlign w:val="bottom"/>
            <w:gridSpan w:val="2"/>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President, Finance and Administration,</w:t>
            </w:r>
          </w:p>
        </w:tc>
        <w:tc>
          <w:tcPr>
            <w:tcW w:w="72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2011</w:t>
            </w:r>
          </w:p>
        </w:tc>
        <w:tc>
          <w:tcPr>
            <w:tcW w:w="640" w:type="dxa"/>
            <w:vAlign w:val="bottom"/>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524,519</w:t>
            </w:r>
          </w:p>
        </w:tc>
        <w:tc>
          <w:tcPr>
            <w:tcW w:w="840" w:type="dxa"/>
            <w:vAlign w:val="bottom"/>
            <w:gridSpan w:val="2"/>
            <w:shd w:val="clear" w:color="auto" w:fill="CCEEFF"/>
          </w:tcPr>
          <w:p>
            <w:pPr>
              <w:jc w:val="right"/>
              <w:ind w:right="3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6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5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460"/>
              <w:spacing w:after="0" w:line="136" w:lineRule="exact"/>
              <w:rPr>
                <w:sz w:val="20"/>
                <w:szCs w:val="20"/>
                <w:color w:val="auto"/>
              </w:rPr>
            </w:pPr>
            <w:r>
              <w:rPr>
                <w:rFonts w:ascii="Times New Roman" w:cs="Times New Roman" w:eastAsia="Times New Roman" w:hAnsi="Times New Roman"/>
                <w:sz w:val="14"/>
                <w:szCs w:val="14"/>
                <w:color w:val="auto"/>
              </w:rPr>
              <w:t>4,125</w:t>
            </w: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528,644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Chief Financial Officer (14)</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Robert T. Davis, Jr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335,115</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175,065(18)(7)</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4,125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Corporate Vice President, President —</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Neurosurgery (17)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Richard D. Gorelick</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355,670</w:t>
            </w: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139,024(15)(7)</w:t>
            </w:r>
          </w:p>
        </w:tc>
        <w:tc>
          <w:tcPr>
            <w:tcW w:w="114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498,819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40" w:type="dxa"/>
            <w:vAlign w:val="bottom"/>
            <w:gridSpan w:val="2"/>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Corporate Vice President, General</w:t>
            </w:r>
          </w:p>
        </w:tc>
        <w:tc>
          <w:tcPr>
            <w:tcW w:w="4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2012</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345,231</w:t>
            </w:r>
          </w:p>
        </w:tc>
        <w:tc>
          <w:tcPr>
            <w:tcW w:w="840" w:type="dxa"/>
            <w:vAlign w:val="bottom"/>
            <w:gridSpan w:val="2"/>
            <w:shd w:val="clear" w:color="auto" w:fill="CCEEFF"/>
          </w:tcPr>
          <w:p>
            <w:pPr>
              <w:jc w:val="right"/>
              <w:ind w:right="3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600"/>
              <w:spacing w:after="0" w:line="136" w:lineRule="exact"/>
              <w:rPr>
                <w:sz w:val="20"/>
                <w:szCs w:val="20"/>
                <w:color w:val="auto"/>
              </w:rPr>
            </w:pPr>
            <w:r>
              <w:rPr>
                <w:rFonts w:ascii="Times New Roman" w:cs="Times New Roman" w:eastAsia="Times New Roman" w:hAnsi="Times New Roman"/>
                <w:sz w:val="14"/>
                <w:szCs w:val="14"/>
                <w:color w:val="auto"/>
              </w:rPr>
              <w:t>180,026</w:t>
            </w:r>
          </w:p>
        </w:tc>
        <w:tc>
          <w:tcPr>
            <w:tcW w:w="1140" w:type="dxa"/>
            <w:vAlign w:val="bottom"/>
            <w:gridSpan w:val="2"/>
            <w:shd w:val="clear" w:color="auto" w:fill="CCEEFF"/>
          </w:tcPr>
          <w:p>
            <w:pPr>
              <w:jc w:val="right"/>
              <w:ind w:right="5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138,720</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460"/>
              <w:spacing w:after="0" w:line="136" w:lineRule="exact"/>
              <w:rPr>
                <w:sz w:val="20"/>
                <w:szCs w:val="20"/>
                <w:color w:val="auto"/>
              </w:rPr>
            </w:pPr>
            <w:r>
              <w:rPr>
                <w:rFonts w:ascii="Times New Roman" w:cs="Times New Roman" w:eastAsia="Times New Roman" w:hAnsi="Times New Roman"/>
                <w:sz w:val="14"/>
                <w:szCs w:val="14"/>
                <w:color w:val="auto"/>
              </w:rPr>
              <w:t>4,125</w:t>
            </w: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668,102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Counsel, Administration and</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Secretary (19)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Brian Larkin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336,615</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130,075(15)</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4,125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Corporate Vice President, President —</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Global Spine &amp; Orthobiologics &amp; Head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of Strategic Development (20)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8" w:lineRule="exact"/>
        <w:rPr>
          <w:sz w:val="20"/>
          <w:szCs w:val="20"/>
          <w:color w:val="auto"/>
        </w:rPr>
      </w:pPr>
    </w:p>
    <w:p>
      <w:pPr>
        <w:ind w:left="460" w:right="180" w:hanging="452"/>
        <w:spacing w:after="0" w:line="27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FASB ASC Topic 718, based on the closing price of the Company’s common stock on the grant date.</w:t>
      </w:r>
    </w:p>
    <w:p>
      <w:pPr>
        <w:spacing w:after="0" w:line="38" w:lineRule="exact"/>
        <w:rPr>
          <w:rFonts w:ascii="Times New Roman" w:cs="Times New Roman" w:eastAsia="Times New Roman" w:hAnsi="Times New Roman"/>
          <w:sz w:val="18"/>
          <w:szCs w:val="18"/>
          <w:color w:val="auto"/>
        </w:rPr>
      </w:pPr>
    </w:p>
    <w:p>
      <w:pPr>
        <w:ind w:left="460" w:right="120" w:hanging="452"/>
        <w:spacing w:after="0" w:line="310" w:lineRule="auto"/>
        <w:tabs>
          <w:tab w:leader="none" w:pos="4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2013.</w:t>
      </w:r>
    </w:p>
    <w:p>
      <w:pPr>
        <w:spacing w:after="0" w:line="16" w:lineRule="exact"/>
        <w:rPr>
          <w:rFonts w:ascii="Times New Roman" w:cs="Times New Roman" w:eastAsia="Times New Roman" w:hAnsi="Times New Roman"/>
          <w:sz w:val="16"/>
          <w:szCs w:val="16"/>
          <w:color w:val="auto"/>
        </w:rPr>
      </w:pPr>
    </w:p>
    <w:p>
      <w:pPr>
        <w:ind w:left="460" w:right="120" w:hanging="452"/>
        <w:spacing w:after="0" w:line="26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(g) reflect cash awards for 2012 earned as a discretionary bonus or pursuant to employment agreements. No awards were paid to the executives for 2013 pursuant to the Performance Incentive Compensation Plan. See “ — Compensation Discussion and Analysis — Annual Review of Compensation” for more information.</w:t>
      </w:r>
    </w:p>
    <w:p>
      <w:pPr>
        <w:spacing w:after="0" w:line="51" w:lineRule="exact"/>
        <w:rPr>
          <w:rFonts w:ascii="Times New Roman" w:cs="Times New Roman" w:eastAsia="Times New Roman" w:hAnsi="Times New Roman"/>
          <w:sz w:val="18"/>
          <w:szCs w:val="18"/>
          <w:color w:val="auto"/>
        </w:rPr>
      </w:pPr>
    </w:p>
    <w:p>
      <w:pPr>
        <w:ind w:left="460" w:right="300" w:hanging="452"/>
        <w:spacing w:after="0" w:line="26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amounts in this column consist of matching contributions made by the Company under the Company’s 401(k) plan. The aggregate amount of perquisites and other personal benefits for each named executive officer except Mr. Arduini (for 2011 and 2012) was less than $10,000.</w:t>
      </w:r>
    </w:p>
    <w:p>
      <w:pPr>
        <w:spacing w:after="0" w:line="51"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Arduini was appointed President and Chief Executive Officer, effective as of January 3, 2012. He served as President and Chief Operating Officer until January 3, 2012.</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aggregate grant date fair value of the following grants made pursuant to a letter agreement between Mr. Arduini and the Company:</w:t>
      </w:r>
    </w:p>
    <w:p>
      <w:pPr>
        <w:spacing w:after="0" w:line="44" w:lineRule="exact"/>
        <w:rPr>
          <w:rFonts w:ascii="Times New Roman" w:cs="Times New Roman" w:eastAsia="Times New Roman" w:hAnsi="Times New Roman"/>
          <w:sz w:val="16"/>
          <w:szCs w:val="16"/>
          <w:color w:val="auto"/>
        </w:rPr>
      </w:pPr>
    </w:p>
    <w:p>
      <w:pPr>
        <w:ind w:left="460" w:right="1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an award of contract stock/restricted units granted on March 25, 2013 as part of his 2012 annual equity award, (ii) an award of performance stock units granted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on March 25, 2013 as part of his 2012 annual equity award, (iii) an award of performance stock units granted on March 25, 2013 for his 2012 performance as part of his bonus for 2012 and (iv) a restricted stock award granted on March 25, 2013 as part of his bonus for 2012.</w:t>
      </w:r>
    </w:p>
    <w:p>
      <w:pPr>
        <w:spacing w:after="0" w:line="39" w:lineRule="exact"/>
        <w:rPr>
          <w:sz w:val="20"/>
          <w:szCs w:val="20"/>
          <w:color w:val="auto"/>
        </w:rPr>
      </w:pPr>
    </w:p>
    <w:p>
      <w:pPr>
        <w:ind w:left="460" w:right="64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2014 equity awards for 2013 performance are not reflected in the table because the Company granted the awards in 2014. See “ — Compensation Discussion and Analysis — Annual Review of Compensation” for more information.</w:t>
      </w:r>
    </w:p>
    <w:p>
      <w:pPr>
        <w:spacing w:after="0" w:line="38"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aggregate grant date fair value of a nonqualified stock option award granted on March 25, 2013 to Mr. Arduini as part of his annual equity award for 2012.</w:t>
      </w:r>
    </w:p>
    <w:p>
      <w:pPr>
        <w:spacing w:after="0" w:line="38" w:lineRule="exact"/>
        <w:rPr>
          <w:rFonts w:ascii="Times New Roman" w:cs="Times New Roman" w:eastAsia="Times New Roman" w:hAnsi="Times New Roman"/>
          <w:sz w:val="18"/>
          <w:szCs w:val="18"/>
          <w:color w:val="auto"/>
        </w:rPr>
      </w:pPr>
    </w:p>
    <w:p>
      <w:pPr>
        <w:ind w:left="460" w:right="360" w:hanging="452"/>
        <w:spacing w:after="0" w:line="258"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aggregate grant date fair value of the following grants made pursuant to the Arduini Employment Agreement: (i) an award of contract stock/restricted units granted in January 2012 in connection with Mr. Arduini’s promotion to Chief Executive Officer, (ii) an award of contract stock/restricted units granted in February 2012 to Mr. Arduini for his 2011 performance as part of his bonus for 2011 and (iii) an award of contract stock/restricted units granted on February, 21 2012 to Mr. Arduini for his 2011 performance.</w:t>
      </w:r>
    </w:p>
    <w:p>
      <w:pPr>
        <w:spacing w:after="0" w:line="55" w:lineRule="exact"/>
        <w:rPr>
          <w:rFonts w:ascii="Times New Roman" w:cs="Times New Roman" w:eastAsia="Times New Roman" w:hAnsi="Times New Roman"/>
          <w:sz w:val="18"/>
          <w:szCs w:val="18"/>
          <w:color w:val="auto"/>
        </w:rPr>
      </w:pPr>
    </w:p>
    <w:p>
      <w:pPr>
        <w:jc w:val="both"/>
        <w:ind w:left="460" w:right="120" w:hanging="452"/>
        <w:spacing w:after="0" w:line="26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aggregate grant date fair value of the following grants made pursuant to Mr. Arduini’s employment agreement: (i) a nonqualified stock option award granted to Mr. Arduini in March 2012 in connection with his promotion to Chief Executive Officer and (ii) a nonqualified stock option award granted to Mr. Arduini in March 2012 for his 2011 performance.</w:t>
      </w:r>
    </w:p>
    <w:p>
      <w:pPr>
        <w:spacing w:after="0" w:line="51" w:lineRule="exact"/>
        <w:rPr>
          <w:rFonts w:ascii="Times New Roman" w:cs="Times New Roman" w:eastAsia="Times New Roman" w:hAnsi="Times New Roman"/>
          <w:sz w:val="18"/>
          <w:szCs w:val="18"/>
          <w:color w:val="auto"/>
        </w:rPr>
      </w:pPr>
    </w:p>
    <w:p>
      <w:pPr>
        <w:ind w:left="460" w:hanging="452"/>
        <w:spacing w:after="0" w:line="334" w:lineRule="auto"/>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consists of (a) $3,750 of Company matching contributions made to the Company’s 401(k) Plan and (b) $13,897 for legal fees incurred in connection with the amendment of his employment agreement. The Company did not pay any tax gross up in connection with the payment of the legal fees.</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Mr. Arduini this amount as the minimum cash bonus required for 2011 pursuant to the terms of his employment agreement.</w:t>
      </w:r>
    </w:p>
    <w:p>
      <w:pPr>
        <w:spacing w:after="0" w:line="90" w:lineRule="exact"/>
        <w:rPr>
          <w:rFonts w:ascii="Times New Roman" w:cs="Times New Roman" w:eastAsia="Times New Roman" w:hAnsi="Times New Roman"/>
          <w:sz w:val="18"/>
          <w:szCs w:val="18"/>
          <w:color w:val="auto"/>
        </w:rPr>
      </w:pPr>
    </w:p>
    <w:p>
      <w:pPr>
        <w:ind w:left="460" w:right="160" w:hanging="452"/>
        <w:spacing w:after="0" w:line="26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(i) $3,329 of Company matching contributions made to the Company’s 401(k) plan and (ii) $153,884 for moving and relocation expenses. Of these expenses, $31,424 was for moving, $38,486 was for travel and $65,322 was for closing costs (but no home buyout). The Company did not pay any tax gross ups in connection with the reimbursement of these expenses.</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Henneman was appointed Corporate Vice President, Finance and Administration, and Chief Financial Officer on December 1, 2012.</w:t>
      </w:r>
    </w:p>
    <w:p>
      <w:pPr>
        <w:spacing w:after="0" w:line="90" w:lineRule="exact"/>
        <w:rPr>
          <w:rFonts w:ascii="Times New Roman" w:cs="Times New Roman" w:eastAsia="Times New Roman" w:hAnsi="Times New Roman"/>
          <w:sz w:val="18"/>
          <w:szCs w:val="18"/>
          <w:color w:val="auto"/>
        </w:rPr>
      </w:pPr>
    </w:p>
    <w:p>
      <w:pPr>
        <w:ind w:left="460" w:right="14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aggregate grant date fair value of the following grants made on March 25, 2013 to the executive for his 2012 performance as part of his bonus for 2012: (i) an award of performance stock units and (ii) a restricted stock award.</w:t>
      </w:r>
    </w:p>
    <w:p>
      <w:pPr>
        <w:spacing w:after="0" w:line="38" w:lineRule="exact"/>
        <w:rPr>
          <w:rFonts w:ascii="Times New Roman" w:cs="Times New Roman" w:eastAsia="Times New Roman" w:hAnsi="Times New Roman"/>
          <w:sz w:val="18"/>
          <w:szCs w:val="18"/>
          <w:color w:val="auto"/>
        </w:rPr>
      </w:pPr>
    </w:p>
    <w:p>
      <w:pPr>
        <w:ind w:left="460" w:right="60" w:hanging="452"/>
        <w:spacing w:after="0" w:line="310" w:lineRule="auto"/>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aggregate grant date fair value of (i) a restricted stock award granted in February 2012 to Mr. Henneman for his 2011 performance in connection with the Compensation Committee’s decision to not pay him a cash bonus award for 2011 and (ii) a restricted stock award and an award of performance stock, both granted in December 2012 to Mr. Henneman for his 2012 performance and as a transition to annual equity awards for him.</w:t>
      </w:r>
    </w:p>
    <w:p>
      <w:pPr>
        <w:spacing w:after="0" w:line="16"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was appointed Corporate Vice President, President—Neurosurgery on December 1, 2012.</w:t>
      </w:r>
    </w:p>
    <w:p>
      <w:pPr>
        <w:spacing w:after="0" w:line="90"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aggregate grant date fair value of the following grants made to Mr. Davis: (i) an award of performance stock units granted on March 25, 2013 for his 2012 performance as part of his bonus for 2012, (ii) a restricted stock award granted on March 25, 2013 for his 2012 performance as part of his bonus for 2012 and (iii) a restricted stock award granted on July 9, 2013, the first anniversary of his date of hire, pursuant to his employment terms with the Company.</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Gorelick was appointed Corporate Vice President, General Counsel, Administration and Secretary on December 1, 2012.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6"/>
          <w:szCs w:val="16"/>
          <w:color w:val="auto"/>
        </w:rPr>
        <w:t>Mr. Larkin was appointed Corporate Vice President, President — Global Spine &amp; Orthobiologics &amp; Head of Strategic Development on December 1, 2012.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information on annual incentive opportunities and equity awards granted under the Company’s 2003 Equity Incentive Plan.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0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 Future Payouts</w:t>
            </w: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20" w:type="dxa"/>
            <w:vAlign w:val="bottom"/>
            <w:gridSpan w:val="6"/>
            <w:vMerge w:val="continue"/>
          </w:tcPr>
          <w:p>
            <w:pPr>
              <w:spacing w:after="0"/>
              <w:rPr>
                <w:sz w:val="4"/>
                <w:szCs w:val="4"/>
                <w:color w:val="auto"/>
              </w:rPr>
            </w:pPr>
          </w:p>
        </w:tc>
        <w:tc>
          <w:tcPr>
            <w:tcW w:w="20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98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68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20" w:type="dxa"/>
            <w:vAlign w:val="bottom"/>
            <w:gridSpan w:val="6"/>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Non-Equity</w:t>
            </w:r>
          </w:p>
        </w:tc>
        <w:tc>
          <w:tcPr>
            <w:tcW w:w="600" w:type="dxa"/>
            <w:vAlign w:val="bottom"/>
          </w:tcPr>
          <w:p>
            <w:pPr>
              <w:spacing w:after="0"/>
              <w:rPr>
                <w:sz w:val="8"/>
                <w:szCs w:val="8"/>
                <w:color w:val="auto"/>
              </w:rPr>
            </w:pPr>
          </w:p>
        </w:tc>
        <w:tc>
          <w:tcPr>
            <w:tcW w:w="8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 Equity</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2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8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or Base</w:t>
            </w:r>
          </w:p>
        </w:tc>
        <w:tc>
          <w:tcPr>
            <w:tcW w:w="6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Incentive Plan Awards(1)</w:t>
            </w:r>
          </w:p>
        </w:tc>
        <w:tc>
          <w:tcPr>
            <w:tcW w:w="20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Incentive Plan Awards(2)</w:t>
            </w: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gridSpan w:val="6"/>
            <w:vMerge w:val="continue"/>
          </w:tcPr>
          <w:p>
            <w:pPr>
              <w:spacing w:after="0"/>
              <w:rPr>
                <w:sz w:val="6"/>
                <w:szCs w:val="6"/>
                <w:color w:val="auto"/>
              </w:rPr>
            </w:pPr>
          </w:p>
        </w:tc>
        <w:tc>
          <w:tcPr>
            <w:tcW w:w="20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98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6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6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Threshold</w:t>
            </w: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420" w:type="dxa"/>
            <w:vAlign w:val="bottom"/>
            <w:gridSpan w:val="4"/>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Threshold Target</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Units(3)</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Awards(4)</w:t>
            </w:r>
          </w:p>
        </w:tc>
        <w:tc>
          <w:tcPr>
            <w:tcW w:w="0" w:type="dxa"/>
            <w:vAlign w:val="bottom"/>
          </w:tcPr>
          <w:p>
            <w:pPr>
              <w:spacing w:after="0"/>
              <w:rPr>
                <w:sz w:val="1"/>
                <w:szCs w:val="1"/>
                <w:color w:val="auto"/>
              </w:rPr>
            </w:pPr>
          </w:p>
        </w:tc>
      </w:tr>
      <w:tr>
        <w:trPr>
          <w:trHeight w:val="138"/>
        </w:trPr>
        <w:tc>
          <w:tcPr>
            <w:tcW w:w="2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8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Committee</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6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7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gridSpan w:val="2"/>
          </w:tcPr>
          <w:p>
            <w:pPr>
              <w:jc w:val="right"/>
              <w:ind w:right="17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6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($/Sh)</w:t>
            </w: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8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5"/>
              </w:rPr>
              <w:t>Action</w:t>
            </w:r>
          </w:p>
        </w:tc>
        <w:tc>
          <w:tcPr>
            <w:tcW w:w="72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89"/>
              </w:rPr>
              <w:t>(c)</w:t>
            </w:r>
          </w:p>
        </w:tc>
        <w:tc>
          <w:tcPr>
            <w:tcW w:w="6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7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89"/>
              </w:rPr>
              <w:t>(e)</w:t>
            </w:r>
          </w:p>
        </w:tc>
        <w:tc>
          <w:tcPr>
            <w:tcW w:w="60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(f)</w:t>
            </w:r>
          </w:p>
        </w:tc>
        <w:tc>
          <w:tcPr>
            <w:tcW w:w="40" w:type="dxa"/>
            <w:vAlign w:val="bottom"/>
          </w:tcPr>
          <w:p>
            <w:pPr>
              <w:spacing w:after="0"/>
              <w:rPr>
                <w:sz w:val="12"/>
                <w:szCs w:val="12"/>
                <w:color w:val="auto"/>
              </w:rPr>
            </w:pPr>
          </w:p>
        </w:tc>
        <w:tc>
          <w:tcPr>
            <w:tcW w:w="78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(g)</w:t>
            </w: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(h)</w:t>
            </w: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9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(j)</w:t>
            </w:r>
          </w:p>
        </w:tc>
        <w:tc>
          <w:tcPr>
            <w:tcW w:w="68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3"/>
              </w:rPr>
              <w:t>(k)</w:t>
            </w:r>
          </w:p>
        </w:tc>
        <w:tc>
          <w:tcPr>
            <w:tcW w:w="68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Peter J. Arduini</w:t>
            </w: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02/19/2013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19,109(5)</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02/19/2013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7,644(6)</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05/22/2013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02/19/2013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32,468(7)</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02/19/2013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8,758(8)</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02/19/2013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01/01/2013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02/19/2013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891,000</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John B. Henneman, III</w:t>
            </w: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01/18/2013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12,739(10)</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01/18/2013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12,739(11)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01/01/2013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03/07/2013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495,000</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Robert T. Davis, Jr.</w:t>
            </w: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03/07/2013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1,593(10)</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03/07/2013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1,593(11)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07/09/2013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05/22/2013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1,320(12)</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01/01/2013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03/07/2013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126,375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Richard D. Gorelick</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03/07/2013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1,771(10)</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03/07/2013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1,771(11)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01/01/2013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03/07/2013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125,628</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Larkin</w:t>
            </w: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03/07/2013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1,657(10)</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03/25/2013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03/07/2013</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1,657(11)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01/01/2013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03/07/2013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126,938</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9436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2" w:lineRule="exact"/>
        <w:rPr>
          <w:sz w:val="20"/>
          <w:szCs w:val="20"/>
          <w:color w:val="auto"/>
        </w:rPr>
      </w:pPr>
    </w:p>
    <w:p>
      <w:pPr>
        <w:ind w:left="460" w:right="80" w:hanging="452"/>
        <w:spacing w:after="0" w:line="256"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is calculated by multiplying the officer’s base salary by the executive’s target award percentage established by the Compensation Committee and, for Messrs. Arduini and Henneman, provided in the applicable employment agreement. Although the amounts shown represent annual incentive opportunities for 2013 for the named executive officers, the Compensation Committee determined not to award cash bonuses to them pursuant to the terms of the Performance Incentive Compensation Plan. See “ — Compensation Discussion and Analysis — Annual Review of Compensation” for more information.</w:t>
      </w:r>
    </w:p>
    <w:p>
      <w:pPr>
        <w:spacing w:after="0" w:line="57"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column represents shares of performance stock granted under the Company’s 2003 Equity Incentive Plan. See “— Compensation Discussion and Analysis — Annual Review of Compensation” for a description of the material terms of this performance stock award.</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shares of restricted stock or contract stock/restricted units granted under the Company’s 2003 Equity Incentive Plan. See “— Compensation Discussion and Analysis — Annual Review of Compensation” for a description of the material terms of these restricted stock and contract stock/restricted unit awards.</w:t>
      </w:r>
    </w:p>
    <w:p>
      <w:pPr>
        <w:spacing w:after="0" w:line="51"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FASB ASC Topic 718 of the restricted stock, contract stock/restricted units, performance stock and stock options granted to each named executive officer in 2013. For restricted stock and contract stock/restricted stock units, fair value is calculated using the closing price of the Company’s common stock on the grant date noted. For stock options, fair value is based on the fair value of the option on the grant date as estimated using the binomial distribution model. For a discussion of the assumptions used to estimate fair value, please see Note 7, “Stock Purchase and Award Plans” to our consolidated financial statements included in our Annual Report on Form 10-K for the year ended December 31, 2013.</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53"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performance stock was made to Mr. Arduini for his 2012 performance as an annual equity award. The terms of the award provide that (i) if the Company achieves the applicable performance goal for 2013, 33% shares will vest on the later of the first anniversary of the grant date or the date that the Compensation Committee takes the action determining that such performance goal has been achieved; (ii) if the Company achieves the applicable performance goal for 2014, 33% shares will vest on the later of the second anniversary of the grant date or the date that the Compensation Committee takes the action determining that such performance goal has been achieved; and (iii) if the Company achieves the applicable performance goal for 2015, 34%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 The terms of the grant include a deferral feature that provides that, subject to certain conditions, the shares will be delivered within thirty days following the first business day immediately following the six-month period after the date of Mr. Arduini’s separation of service.</w:t>
      </w:r>
    </w:p>
    <w:p>
      <w:pPr>
        <w:spacing w:after="0" w:line="57" w:lineRule="exact"/>
        <w:rPr>
          <w:rFonts w:ascii="Times New Roman" w:cs="Times New Roman" w:eastAsia="Times New Roman" w:hAnsi="Times New Roman"/>
          <w:sz w:val="18"/>
          <w:szCs w:val="18"/>
          <w:color w:val="auto"/>
        </w:rPr>
      </w:pPr>
    </w:p>
    <w:p>
      <w:pPr>
        <w:ind w:left="460" w:right="260" w:hanging="452"/>
        <w:spacing w:after="0" w:line="26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contract stock/restricted units was made to Mr. Arduini for his 2012 performance as an annual equity award. This grant vests in three equal annual installments, beginning on the first anniversary of the date of grant. Subject to certain conditions, the shares will be delivered within thirty days following the first business day immediately following the six-month period after the date of Mr. Arduini’s separation of service.</w:t>
      </w:r>
    </w:p>
    <w:p>
      <w:pPr>
        <w:spacing w:after="0" w:line="51" w:lineRule="exact"/>
        <w:rPr>
          <w:rFonts w:ascii="Times New Roman" w:cs="Times New Roman" w:eastAsia="Times New Roman" w:hAnsi="Times New Roman"/>
          <w:sz w:val="18"/>
          <w:szCs w:val="18"/>
          <w:color w:val="auto"/>
        </w:rPr>
      </w:pPr>
    </w:p>
    <w:p>
      <w:pPr>
        <w:ind w:left="460" w:right="42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nonqualified stock options was made to Mr. Arduini for his 2012 performance as an annual equity award. One-third of the shares vest on March 15, 2014, and in monthly installments thereafter through March 1, 2016. The stock option has an eight year term.</w:t>
      </w:r>
    </w:p>
    <w:p>
      <w:pPr>
        <w:spacing w:after="0" w:line="38" w:lineRule="exact"/>
        <w:rPr>
          <w:rFonts w:ascii="Times New Roman" w:cs="Times New Roman" w:eastAsia="Times New Roman" w:hAnsi="Times New Roman"/>
          <w:sz w:val="18"/>
          <w:szCs w:val="18"/>
          <w:color w:val="auto"/>
        </w:rPr>
      </w:pPr>
    </w:p>
    <w:p>
      <w:pPr>
        <w:ind w:left="460" w:right="74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restricted stock award was made to Mr. Arduini as part of his bonus for his 2012 performance. This grant vests in three equal annual installments, beginning on the first anniversary of the date of grant.</w:t>
      </w:r>
    </w:p>
    <w:p>
      <w:pPr>
        <w:spacing w:after="0" w:line="38" w:lineRule="exact"/>
        <w:rPr>
          <w:rFonts w:ascii="Times New Roman" w:cs="Times New Roman" w:eastAsia="Times New Roman" w:hAnsi="Times New Roman"/>
          <w:sz w:val="18"/>
          <w:szCs w:val="18"/>
          <w:color w:val="auto"/>
        </w:rPr>
      </w:pPr>
    </w:p>
    <w:p>
      <w:pPr>
        <w:ind w:left="460" w:right="100" w:hanging="452"/>
        <w:spacing w:after="0" w:line="288" w:lineRule="auto"/>
        <w:tabs>
          <w:tab w:leader="none" w:pos="4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grant of performance stock units was made to Mr. Arduini as part of his bonus for his 2012 performance. The award consists of 8,758 shares of common stock underlying a performance stock award granted on March 25, 2013. The terms of the award provide that (i) if the Company achieves the applicable performance goal for 2013, 33% shares will vest on the later of the first anniversary of the grant date or the date that the Compensation Committee takes the action determining that such performance goal has been achieved; (ii) if the Company achieves the applicable performance goal for 2014, 33% shares will vest on the later of the second anniversary of the grant date or the date that the Compensation Committee takes the action determining that such performance goal has been achieved; and (iii) if the Company achieves the applicable performance goal for 2015, 34%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34" w:lineRule="exact"/>
        <w:rPr>
          <w:rFonts w:ascii="Times New Roman" w:cs="Times New Roman" w:eastAsia="Times New Roman" w:hAnsi="Times New Roman"/>
          <w:sz w:val="16"/>
          <w:szCs w:val="16"/>
          <w:color w:val="auto"/>
        </w:rPr>
      </w:pPr>
    </w:p>
    <w:p>
      <w:pPr>
        <w:ind w:left="460" w:right="14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restricted stock award was made to the executive for his 2012 performance. This grant vests in three equal annual installments, beginning on the first anniversary of the date of grant.</w:t>
      </w:r>
    </w:p>
    <w:p>
      <w:pPr>
        <w:spacing w:after="0" w:line="38" w:lineRule="exact"/>
        <w:rPr>
          <w:rFonts w:ascii="Times New Roman" w:cs="Times New Roman" w:eastAsia="Times New Roman" w:hAnsi="Times New Roman"/>
          <w:sz w:val="18"/>
          <w:szCs w:val="18"/>
          <w:color w:val="auto"/>
        </w:rPr>
      </w:pPr>
    </w:p>
    <w:p>
      <w:pPr>
        <w:ind w:left="460" w:right="140" w:hanging="452"/>
        <w:spacing w:after="0" w:line="296" w:lineRule="auto"/>
        <w:tabs>
          <w:tab w:leader="none" w:pos="4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grant of performance stock was made to the executive for his 2012 performance. The terms of the award provide that (i) if the Company achieves the applicable performance goal for 2013, 33% shares will vest on the later of the first anniversary of the grant date or the date that the Compensation Committee takes the action determining that such performance goal has been achieved; (ii) if the Company achieves the applicable performance goal for 2014, 33% shares will vest on the later of the second anniversary of the grant date or the date that the Compensation Committee takes the action determining that such performance goal has been achieved; and (iii) if the Company achieves the applicable performance goal for 2015, 34%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301" w:lineRule="auto"/>
        <w:rPr>
          <w:sz w:val="20"/>
          <w:szCs w:val="20"/>
          <w:color w:val="auto"/>
        </w:rPr>
      </w:pPr>
      <w:r>
        <w:rPr>
          <w:rFonts w:ascii="Times New Roman" w:cs="Times New Roman" w:eastAsia="Times New Roman" w:hAnsi="Times New Roman"/>
          <w:sz w:val="16"/>
          <w:szCs w:val="16"/>
          <w:color w:val="auto"/>
        </w:rPr>
        <w:t>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22" w:lineRule="exact"/>
        <w:rPr>
          <w:sz w:val="20"/>
          <w:szCs w:val="20"/>
          <w:color w:val="auto"/>
        </w:rPr>
      </w:pPr>
    </w:p>
    <w:p>
      <w:pPr>
        <w:ind w:left="460" w:hanging="452"/>
        <w:spacing w:after="0" w:line="27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restricted stock award was made to the executive pursuant to his employment terms with the Company. This grant vests in three equal annual installments, beginning on the first anniversary of the date of grant.</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20"/>
          </w:cols>
          <w:pgMar w:left="24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outstanding equity awards as of December 31, 2013.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 Awards(1)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Market</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Units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Units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Stock That</w:t>
            </w: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That Have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8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Price(2)</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 Vested(3)</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 Vested(4)</w:t>
            </w:r>
          </w:p>
        </w:tc>
        <w:tc>
          <w:tcPr>
            <w:tcW w:w="0" w:type="dxa"/>
            <w:vAlign w:val="bottom"/>
          </w:tcPr>
          <w:p>
            <w:pPr>
              <w:spacing w:after="0"/>
              <w:rPr>
                <w:sz w:val="1"/>
                <w:szCs w:val="1"/>
                <w:color w:val="auto"/>
              </w:rPr>
            </w:pPr>
          </w:p>
        </w:tc>
      </w:tr>
      <w:tr>
        <w:trPr>
          <w:trHeight w:val="138"/>
        </w:trPr>
        <w:tc>
          <w:tcPr>
            <w:tcW w:w="2840" w:type="dxa"/>
            <w:vAlign w:val="bottom"/>
            <w:gridSpan w:val="2"/>
            <w:vMerge w:val="continue"/>
          </w:tcPr>
          <w:p>
            <w:pPr>
              <w:spacing w:after="0"/>
              <w:rPr>
                <w:sz w:val="12"/>
                <w:szCs w:val="12"/>
                <w:color w:val="auto"/>
              </w:rPr>
            </w:pPr>
          </w:p>
        </w:tc>
        <w:tc>
          <w:tcPr>
            <w:tcW w:w="102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112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480" w:type="dxa"/>
            <w:vAlign w:val="bottom"/>
          </w:tcPr>
          <w:p>
            <w:pPr>
              <w:jc w:val="right"/>
              <w:ind w:right="76"/>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4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10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11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8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(e)</w:t>
            </w:r>
          </w:p>
        </w:tc>
        <w:tc>
          <w:tcPr>
            <w:tcW w:w="10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120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12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(h)</w:t>
            </w:r>
          </w:p>
        </w:tc>
        <w:tc>
          <w:tcPr>
            <w:tcW w:w="1320" w:type="dxa"/>
            <w:vAlign w:val="bottom"/>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8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Arduini</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132,070</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w w:val="92"/>
              </w:rPr>
              <w:t>74,649</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32.11</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03/01/2020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10,833</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32.11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03/01/2020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32,468</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05/22/2021</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78,908(6)</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3,764,701</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15,122(8)</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721,471</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7,644(9)</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364,695</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8,758(10)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417,844</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8,758(11)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19,109(12)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 Henneman, III</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44.63</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07/01/2018</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25,954(14)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2,846(15)</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135,783</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12,694(16)</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605,631</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12,739(17)</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607,778</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12,739(18)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T. Davis, Jr</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6,559(19)</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312,930</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1,593(20)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Gorelick</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5,221(21)</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249,094</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1,771(22)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Larkin</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10,256(23)</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489,314</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1,657(24)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9436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5" w:lineRule="exact"/>
        <w:rPr>
          <w:sz w:val="20"/>
          <w:szCs w:val="20"/>
          <w:color w:val="auto"/>
        </w:rPr>
      </w:pPr>
    </w:p>
    <w:p>
      <w:pPr>
        <w:ind w:left="460" w:right="380" w:hanging="452"/>
        <w:spacing w:after="0" w:line="275"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issued to Mr. Henneman in 2008 have a term of ten years. The options issued to Mr. Arduini vest over three years and have a term of eight years.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exercise price is equal to the closing price of our common stock as reported by the NASDAQ Global Select Market on the date of grant.</w:t>
      </w:r>
    </w:p>
    <w:p>
      <w:pPr>
        <w:spacing w:after="0" w:line="90"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by multiplying the number of shares in column (g) by $47.71, the closing price of the Company’s common stock as reported by the NASDAQ Global Select Market on December 31, 2013.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40" w:hanging="452"/>
        <w:spacing w:after="0" w:line="27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by multiplying the number of shares in column (i) by $47.71, the closing price of the Company’s common stock as reported by the NASDAQ Global Select Market on December 31, 2013.</w:t>
      </w:r>
    </w:p>
    <w:p>
      <w:pPr>
        <w:spacing w:after="0" w:line="38"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34,868 shares of common stock underlying restricted stock units granted to the executive in 2010 were vested as of the date of grant. However, the executive is not entitled to receive such underlying shares (less 738 shares withheld to pay taxes) until after December 31, 2013. Therefore, they are shown in the Nonqualified Deferred Compensation Table.</w:t>
      </w:r>
    </w:p>
    <w:p>
      <w:pPr>
        <w:spacing w:after="0" w:line="51" w:lineRule="exact"/>
        <w:rPr>
          <w:rFonts w:ascii="Times New Roman" w:cs="Times New Roman" w:eastAsia="Times New Roman" w:hAnsi="Times New Roman"/>
          <w:sz w:val="18"/>
          <w:szCs w:val="18"/>
          <w:color w:val="auto"/>
        </w:rPr>
      </w:pPr>
    </w:p>
    <w:p>
      <w:pPr>
        <w:ind w:left="460" w:right="80" w:hanging="452"/>
        <w:spacing w:after="0" w:line="310" w:lineRule="auto"/>
        <w:tabs>
          <w:tab w:leader="none" w:pos="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78,908 shares of common stock underlying restricted stock units (from an initial grant of 118,363 units) granted on January 3, 2012. The terms of the award provide that the shares will vest annually in three installments of 39,455 shares, 39,454 shares and 39,454 shares, respectively, on the first, second and third anniversaries of the date of grant. The first installment vested on January 3, 2013 and the second installment vested on January 3, 2014.</w:t>
      </w:r>
    </w:p>
    <w:p>
      <w:pPr>
        <w:spacing w:after="0" w:line="16" w:lineRule="exact"/>
        <w:rPr>
          <w:rFonts w:ascii="Times New Roman" w:cs="Times New Roman" w:eastAsia="Times New Roman" w:hAnsi="Times New Roman"/>
          <w:sz w:val="16"/>
          <w:szCs w:val="16"/>
          <w:color w:val="auto"/>
        </w:rPr>
      </w:pPr>
    </w:p>
    <w:p>
      <w:pPr>
        <w:ind w:left="460" w:right="20" w:hanging="452"/>
        <w:spacing w:after="0" w:line="26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4,537 shares of common stock underlying restricted stock units granted to the executive on February 21, 2012 were vested on February 21, 2013. However, the executive is not entitled to receive such underlying shares (less 149 shares withheld to pay taxes) until after December 31, 2013. Therefore, they are shown in the Nonqualified Deferred Compensation Table.</w:t>
      </w:r>
    </w:p>
    <w:p>
      <w:pPr>
        <w:spacing w:after="0" w:line="51" w:lineRule="exact"/>
        <w:rPr>
          <w:rFonts w:ascii="Times New Roman" w:cs="Times New Roman" w:eastAsia="Times New Roman" w:hAnsi="Times New Roman"/>
          <w:sz w:val="18"/>
          <w:szCs w:val="18"/>
          <w:color w:val="auto"/>
        </w:rPr>
      </w:pPr>
    </w:p>
    <w:p>
      <w:pPr>
        <w:jc w:val="both"/>
        <w:ind w:left="460" w:hanging="452"/>
        <w:spacing w:after="0" w:line="310" w:lineRule="auto"/>
        <w:tabs>
          <w:tab w:leader="none" w:pos="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15,122 shares of common stock underlying restricted stock units (from an initial grant of 22,684 units) granted on February 21, 2012. The terms of the award provide that the shares will vest annually in three installments of 7,562 shares, 7,561 shares and 7,561 shares, respectively, on the first, second and third anniversaries of the date of grant. The first installment vested on February 21, 2013 and the second installment vested on February 21, 2014.</w:t>
      </w:r>
    </w:p>
    <w:p>
      <w:pPr>
        <w:spacing w:after="0" w:line="16" w:lineRule="exact"/>
        <w:rPr>
          <w:rFonts w:ascii="Times New Roman" w:cs="Times New Roman" w:eastAsia="Times New Roman" w:hAnsi="Times New Roman"/>
          <w:sz w:val="16"/>
          <w:szCs w:val="16"/>
          <w:color w:val="auto"/>
        </w:rPr>
      </w:pPr>
    </w:p>
    <w:p>
      <w:pPr>
        <w:ind w:left="460" w:right="60" w:hanging="452"/>
        <w:spacing w:after="0" w:line="258"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7,644 shares of common stock underlying restricted stock units granted on March 25, 2013. The terms of the award provide that the shares will vest annually in three installments of 2,548 shares, 2,548 shares and 2,548 shares, respectively, on the first, second and third anniversaries of the date of grant. The terms of the award provide that, subject to certain conditions, the shares will be delivered within 30 days following the first business day immediately following the six-month period after the date of the executive’s separation of service.</w:t>
      </w:r>
    </w:p>
    <w:p>
      <w:pPr>
        <w:spacing w:after="0" w:line="55"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8,758 shares of restricted stock granted on March 25, 2013. The terms of the award provide that, subject to the executive’s continued employment, the shares will vest annually in three installments of 2,890 shares, 2,890 shares and 2,978 shares, respectively, on the first, second and third anniversaries of the date of grant.</w:t>
      </w:r>
    </w:p>
    <w:p>
      <w:pPr>
        <w:spacing w:after="0" w:line="51" w:lineRule="exact"/>
        <w:rPr>
          <w:rFonts w:ascii="Times New Roman" w:cs="Times New Roman" w:eastAsia="Times New Roman" w:hAnsi="Times New Roman"/>
          <w:sz w:val="18"/>
          <w:szCs w:val="18"/>
          <w:color w:val="auto"/>
        </w:rPr>
      </w:pPr>
    </w:p>
    <w:p>
      <w:pPr>
        <w:ind w:left="460" w:right="20" w:hanging="452"/>
        <w:spacing w:after="0" w:line="289" w:lineRule="auto"/>
        <w:tabs>
          <w:tab w:leader="none" w:pos="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8,758 shares of common stock underlying a performance stock award granted on March 25, 2013. The terms of the award provide that (i) if the Company achieves the applicable performance goal for 2013, 2,890 shares will vest on the later of the first anniversary of the grant date or the date that the Compensation Committee takes the action determining that such performance goal has been achieved; (ii) if the Company achieves the applicable performance goal for 2014, 2,890 shares will vest on the later of the second anniversary of the grant date or the date that the Compensation Committee takes the action determining that such performance goal has been achieved; and (iii) if the Company achieves the applicable performance goal for 2015, 2,978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31" w:lineRule="exact"/>
        <w:rPr>
          <w:rFonts w:ascii="Times New Roman" w:cs="Times New Roman" w:eastAsia="Times New Roman" w:hAnsi="Times New Roman"/>
          <w:sz w:val="16"/>
          <w:szCs w:val="16"/>
          <w:color w:val="auto"/>
        </w:rPr>
      </w:pPr>
    </w:p>
    <w:p>
      <w:pPr>
        <w:ind w:left="460" w:right="40" w:hanging="452"/>
        <w:spacing w:after="0" w:line="258"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19,109 shares of common stock underlying a performance stock award granted on March 25, 2013. The terms of the award provide that (i) if the Company achieves the applicable performance goal for 2013, 6,305 shares will vest on the later of the first anniversary of the grant date or the date that the Compensation Committee takes the action determining that such performance goal has been achieved; (ii) if the Company achieves the applicable performance goal for 2014, 6,306 shares will vest on the later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54" w:lineRule="auto"/>
        <w:rPr>
          <w:sz w:val="20"/>
          <w:szCs w:val="20"/>
          <w:color w:val="auto"/>
        </w:rPr>
      </w:pPr>
      <w:r>
        <w:rPr>
          <w:rFonts w:ascii="Times New Roman" w:cs="Times New Roman" w:eastAsia="Times New Roman" w:hAnsi="Times New Roman"/>
          <w:sz w:val="18"/>
          <w:szCs w:val="18"/>
          <w:color w:val="auto"/>
        </w:rPr>
        <w:t>second anniversary of the grant date or the date that the Compensation Committee takes the action determining that such performance goal has been achieved; and (iii) if the Company achieves the applicable performance goal for 2015, 6,498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 The terms of the award also provide that, subject to certain conditions, the shares will be delivered within 30 days following the first business day immediately following the six-month period after the date of the executive’s separation of service.</w:t>
      </w:r>
    </w:p>
    <w:p>
      <w:pPr>
        <w:spacing w:after="0" w:line="57" w:lineRule="exact"/>
        <w:rPr>
          <w:sz w:val="20"/>
          <w:szCs w:val="20"/>
          <w:color w:val="auto"/>
        </w:rPr>
      </w:pPr>
    </w:p>
    <w:p>
      <w:pPr>
        <w:ind w:left="460" w:right="40" w:hanging="452"/>
        <w:spacing w:after="0" w:line="26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44,439 shares and 44,438 shares of common stock underlying restricted stock units granted to the executive in December 2008 were vested in 2009 and 2010, respectively. However, the executive is not entitled to receive such underlying shares until after December 31, 2013. Therefore, they are shown in the Nonqualified Deferred Compensation Table.</w:t>
      </w:r>
    </w:p>
    <w:p>
      <w:pPr>
        <w:spacing w:after="0" w:line="51" w:lineRule="exact"/>
        <w:rPr>
          <w:rFonts w:ascii="Times New Roman" w:cs="Times New Roman" w:eastAsia="Times New Roman" w:hAnsi="Times New Roman"/>
          <w:sz w:val="18"/>
          <w:szCs w:val="18"/>
          <w:color w:val="auto"/>
        </w:rPr>
      </w:pPr>
    </w:p>
    <w:p>
      <w:pPr>
        <w:ind w:left="460" w:right="140" w:hanging="452"/>
        <w:spacing w:after="0" w:line="296" w:lineRule="auto"/>
        <w:tabs>
          <w:tab w:leader="none" w:pos="4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25,954 shares of common stock underlying a performance stock award granted on December 27, 2012. The terms of the award provide that 12,977 shares will vest on the date that the Compensation Committee takes the action determining that the applicable performance goal for 2013 has been achieved; and 12,977 shares will vest on the date that the Compensation Committee takes the action determining that the applicable performance goal for 2014 has been achieved; or 25,954 shares will vest on the date that the Compensation Committee takes the action determining that the applicable catch-up performance goal has been achieved, as described in, and in each case subject to the requirements of, the performance stock award agreement.</w:t>
      </w:r>
    </w:p>
    <w:p>
      <w:pPr>
        <w:spacing w:after="0" w:line="26" w:lineRule="exact"/>
        <w:rPr>
          <w:rFonts w:ascii="Times New Roman" w:cs="Times New Roman" w:eastAsia="Times New Roman" w:hAnsi="Times New Roman"/>
          <w:sz w:val="16"/>
          <w:szCs w:val="16"/>
          <w:color w:val="auto"/>
        </w:rPr>
      </w:pPr>
    </w:p>
    <w:p>
      <w:pPr>
        <w:ind w:left="460" w:hanging="452"/>
        <w:spacing w:after="0" w:line="258"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2,846 shares of common stock remaining from an initial restricted stock award on February 21, 2012 of 6,380 shares (of which 2,132 shares were withheld to pay taxes following an election to be taxed at grant). The first installment of 1,402 shares vested on February 21, 2013 and the second installment of 1,402 shares vested on February 21, 2014. Subject to the executive’s continued employment, the remaining 1,444 shares will vest on the third anniversary of the date of grant.</w:t>
      </w:r>
    </w:p>
    <w:p>
      <w:pPr>
        <w:spacing w:after="0" w:line="55" w:lineRule="exact"/>
        <w:rPr>
          <w:rFonts w:ascii="Times New Roman" w:cs="Times New Roman" w:eastAsia="Times New Roman" w:hAnsi="Times New Roman"/>
          <w:sz w:val="18"/>
          <w:szCs w:val="18"/>
          <w:color w:val="auto"/>
        </w:rPr>
      </w:pPr>
    </w:p>
    <w:p>
      <w:pPr>
        <w:ind w:left="460" w:right="160" w:hanging="452"/>
        <w:spacing w:after="0" w:line="26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12,694 shares of common stock remaining from an initial restricted stock award on December 13, 2012 of 25,388 shares. The first installment of 12,694 shares vested on December 13, 2013. Subject to the executive’s continued employment, the remaining 12,694 shares will vest on the second anniversary of the date of grant.</w:t>
      </w:r>
    </w:p>
    <w:p>
      <w:pPr>
        <w:spacing w:after="0" w:line="51" w:lineRule="exact"/>
        <w:rPr>
          <w:rFonts w:ascii="Times New Roman" w:cs="Times New Roman" w:eastAsia="Times New Roman" w:hAnsi="Times New Roman"/>
          <w:sz w:val="18"/>
          <w:szCs w:val="18"/>
          <w:color w:val="auto"/>
        </w:rPr>
      </w:pPr>
    </w:p>
    <w:p>
      <w:pPr>
        <w:ind w:left="460" w:right="80" w:hanging="452"/>
        <w:spacing w:after="0" w:line="26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12,739 shares of restricted stock granted on March 25, 2013. The first installment of 4,203 shares vested on March 25, 2014. The terms of the award provide that, subject to the executive’s continued employment, the remaining shares will vest annually in two installments of 4,204 shares and 4,332 shares, respectively, on the second and third anniversaries of the date of grant.</w:t>
      </w:r>
    </w:p>
    <w:p>
      <w:pPr>
        <w:spacing w:after="0" w:line="51" w:lineRule="exact"/>
        <w:rPr>
          <w:rFonts w:ascii="Times New Roman" w:cs="Times New Roman" w:eastAsia="Times New Roman" w:hAnsi="Times New Roman"/>
          <w:sz w:val="18"/>
          <w:szCs w:val="18"/>
          <w:color w:val="auto"/>
        </w:rPr>
      </w:pPr>
    </w:p>
    <w:p>
      <w:pPr>
        <w:ind w:left="460" w:right="40" w:hanging="452"/>
        <w:spacing w:after="0" w:line="289" w:lineRule="auto"/>
        <w:tabs>
          <w:tab w:leader="none" w:pos="4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12,739 shares of common stock underlying a performance stock award granted on March 25, 2013. The terms of the award provide that (i) if the Company achieves the applicable performance goal for 2013, 4,203 shares will vest on the later of the first anniversary of the grant date or the date that the Compensation Committee takes the action determining that such performance goal has been achieved; (ii) if the Company achieves the applicable performance goal for 2014, 4,204 shares will vest on the later of the second anniversary of the grant date or the date that the Compensation Committee takes the action determining that such performance goal has been achieved; and (iii) if the Company achieves the applicable performance goal for 2015, 4,332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hanging="452"/>
        <w:spacing w:after="0" w:line="254"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6,559 shares of restricted stock, including (i) 1,593 shares granted on March 25, 2013 (of which the first installment of 525 shares vested on March 25, 2014), (ii) 3,646 shares remaining from an initial restricted stock award on July 9, 2012 of 5,441 shares (of which the first installment of 1,795 shares vested on July 9, 2013) and (iii) 1,320 shares granted on July 9, 2013. The terms of the March 2013 award provide that, subject to the executive’s continued employment, the remaining shares will vest annually in two installments of 526 shares and 542 shares, respectively, on the second and third anniversaries of the date of grant. The terms of the July 2012 award provide that, subject to the executive’s continued employment, the remaining two installments of 1,796 shares and 1,850 shares, respectively, will vest on the second and third anniversaries of the date of grant. The terms of the July 2013 award provide that, subject to the executive’s continued employment, the shares will vest annually in three installments of 435 shares, 436 shares and 449 shares, respectively, on the first, second and third anniversaries of the date of grant.</w:t>
      </w:r>
    </w:p>
    <w:p>
      <w:pPr>
        <w:spacing w:after="0" w:line="57" w:lineRule="exact"/>
        <w:rPr>
          <w:rFonts w:ascii="Times New Roman" w:cs="Times New Roman" w:eastAsia="Times New Roman" w:hAnsi="Times New Roman"/>
          <w:sz w:val="18"/>
          <w:szCs w:val="18"/>
          <w:color w:val="auto"/>
        </w:rPr>
      </w:pPr>
    </w:p>
    <w:p>
      <w:pPr>
        <w:ind w:left="460" w:right="20" w:hanging="452"/>
        <w:spacing w:after="0" w:line="289" w:lineRule="auto"/>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1,593 shares of common stock underlying a performance stock award granted on March 25, 2013. The terms of the award provide that (i) if the Company achieves the applicable performance goal for 2013, 525 shares will vest on the later of the first anniversary of the grant date or the date that the Compensation Committee takes the action determining that such performance goal has been achieved; (ii) if the Company achieves the applicable performance goal for 2014, 526 shares will vest on the later of the second anniversary of the grant date or the date that the Compensation Committee takes the action determining that such performance goal has been achieved; and (iii) if the Company achieves the applicable performance goal for 2015, 542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31" w:lineRule="exact"/>
        <w:rPr>
          <w:rFonts w:ascii="Times New Roman" w:cs="Times New Roman" w:eastAsia="Times New Roman" w:hAnsi="Times New Roman"/>
          <w:sz w:val="16"/>
          <w:szCs w:val="16"/>
          <w:color w:val="auto"/>
        </w:rPr>
      </w:pPr>
    </w:p>
    <w:p>
      <w:pPr>
        <w:ind w:left="460" w:hanging="452"/>
        <w:spacing w:after="0" w:line="255"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5,221 shares of restricted stock, including (i) 1,771 shares granted on March 25, 2013 (of which the first installment of 584 shares vested on March 25, 2014) and (ii) 3,450 shares remaining from an initial restricted stock award on April 2, 2012 of 5,148 shares (of which the first installment of 1,698 shares vested on April 2, 2013 and the second installment of 1,699 shares vested on April 2, 2014). The terms of the March 2013 award provide that, subject to the executive’s continued employment, the remaining two installments of 584 shares and 603 shares, respectively, will vest on the second and third anniversaries of the date of grant. The terms of the April 2012 award provide that , subject to continued employment, the remaining installment of 1,751 shares will vest on the third anniversary of the date of grant.</w:t>
      </w:r>
    </w:p>
    <w:p>
      <w:pPr>
        <w:spacing w:after="0" w:line="58" w:lineRule="exact"/>
        <w:rPr>
          <w:rFonts w:ascii="Times New Roman" w:cs="Times New Roman" w:eastAsia="Times New Roman" w:hAnsi="Times New Roman"/>
          <w:sz w:val="18"/>
          <w:szCs w:val="18"/>
          <w:color w:val="auto"/>
        </w:rPr>
      </w:pPr>
    </w:p>
    <w:p>
      <w:pPr>
        <w:ind w:left="460" w:right="20" w:hanging="452"/>
        <w:spacing w:after="0" w:line="289" w:lineRule="auto"/>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1,771 shares of common stock underlying a performance stock award granted on March 25, 2013. The terms of the award provide that (i) if the Company achieves the applicable performance goal for 2013, 584 shares will vest on the later of the first anniversary of the grant date or the date that the Compensation Committee takes the action determining that such performance goal has been achieved; (ii) if the Company achieves the applicable performance goal for 2014, 584 shares will vest on the later of the second anniversary of the grant date or the date that the Compensation Committee takes the action determining that such performance goal has been achieved; and (iii) if the Company achieves the applicable performance goal for 2015, 603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31" w:lineRule="exact"/>
        <w:rPr>
          <w:rFonts w:ascii="Times New Roman" w:cs="Times New Roman" w:eastAsia="Times New Roman" w:hAnsi="Times New Roman"/>
          <w:sz w:val="16"/>
          <w:szCs w:val="16"/>
          <w:color w:val="auto"/>
        </w:rPr>
      </w:pPr>
    </w:p>
    <w:p>
      <w:pPr>
        <w:ind w:left="460" w:right="40" w:hanging="452"/>
        <w:spacing w:after="0" w:line="26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10,256 shares of restricted stock, including (i) 1,657 shares granted on March 25, 2013 (of which the first installment of 546 shares vested on March 25, 2014), (ii) 3,799 shares remaining from an initial restricted stock award on April 2, 2012 of 5,670 shares (of which the first installment of 1,871 shares vested on April 2, 2013 and the second installment of 1,871 shares vested on April 2, 2014) and (iii) 4,800 remaining</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60"/>
          </w:cols>
          <w:pgMar w:left="240" w:top="455"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40"/>
        <w:spacing w:after="0" w:line="254" w:lineRule="auto"/>
        <w:rPr>
          <w:sz w:val="20"/>
          <w:szCs w:val="20"/>
          <w:color w:val="auto"/>
        </w:rPr>
      </w:pPr>
      <w:r>
        <w:rPr>
          <w:rFonts w:ascii="Times New Roman" w:cs="Times New Roman" w:eastAsia="Times New Roman" w:hAnsi="Times New Roman"/>
          <w:sz w:val="18"/>
          <w:szCs w:val="18"/>
          <w:color w:val="auto"/>
        </w:rPr>
        <w:t>shares from an initial restricted stock award on July 1, 2011 of 8,000 shares (of which the first and second installments of 1,600 shares and 1,600 shares, respectively, vested on July 1, 2012 and July 1,2013). The terms of the March 2013 award provide that, subject to the executive’s continued employment, the remaining shares will vest annually in two installments of 547 shares and 564 shares, respectively, on the second and third anniversaries of the date of grant. The terms of the April 2012 grant provide that, subject to the executive’s continued employment, the remaining 1,928 shares will vest on the third anniversary of the date of grant. The terms of the July 2011 grant provide that, subject to the executive’s continued employment, the remaining shares will vest annually in three installments of 1,600 shares, 1,600 shares and 1,600 shares, respectively, on the third, fourth and fifth anniversaries of the date of grant.</w:t>
      </w:r>
    </w:p>
    <w:p>
      <w:pPr>
        <w:spacing w:after="0" w:line="60" w:lineRule="exact"/>
        <w:rPr>
          <w:sz w:val="20"/>
          <w:szCs w:val="20"/>
          <w:color w:val="auto"/>
        </w:rPr>
      </w:pPr>
    </w:p>
    <w:p>
      <w:pPr>
        <w:ind w:left="460" w:right="80" w:hanging="452"/>
        <w:spacing w:after="0" w:line="289" w:lineRule="auto"/>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1,657 shares of common stock underlying a performance stock award granted on March 25, 2013. The terms of the award provide that (i) if the Company achieves the applicable performance goal for 2013, 546 shares will vest on the later of the first anniversary of the grant date or the date that the Compensation Committee takes the action determining that such performance goal has been achieved; (ii) if the Company achieves the applicable performance goal for 2014, 547 shares will vest on the later of the second anniversary of the grant date or the date that the Compensation Committee takes the action determining that such performance goal has been achieved; and (iii) if the Company achieves the applicable performance goal for 2015, 564 shares will vest on the later of the third anniversary of the grant date or the date that the Compensation Committee takes the action determining that such performance goal for 2015 has been achieved; or (iv) if the Company achieves the applicable catch-up performance goal, any shares that fail to vest in accordance with the vesting schedule described above will vest on the date that the Compensation Committee takes the action determining that such catch-up performance goal has been achieved, as described in, and in each case subject to the requirements of, the performance stock award agreement.</w:t>
      </w:r>
    </w:p>
    <w:p>
      <w:pPr>
        <w:spacing w:after="0" w:line="1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stock option exercises and stock award vesting during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4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340" w:type="dxa"/>
            <w:vAlign w:val="bottom"/>
            <w:tcBorders>
              <w:top w:val="single" w:sz="8" w:color="auto"/>
            </w:tcBorders>
            <w:gridSpan w:val="2"/>
          </w:tcPr>
          <w:p>
            <w:pPr>
              <w:jc w:val="center"/>
              <w:ind w:right="11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8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Value Realized</w:t>
            </w:r>
          </w:p>
        </w:tc>
        <w:tc>
          <w:tcPr>
            <w:tcW w:w="110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40" w:type="dxa"/>
            <w:vAlign w:val="bottom"/>
            <w:gridSpan w:val="2"/>
          </w:tcPr>
          <w:p>
            <w:pPr>
              <w:jc w:val="right"/>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Acquired on Exercise</w:t>
            </w:r>
          </w:p>
        </w:tc>
        <w:tc>
          <w:tcPr>
            <w:tcW w:w="1980" w:type="dxa"/>
            <w:vAlign w:val="bottom"/>
            <w:gridSpan w:val="2"/>
          </w:tcPr>
          <w:p>
            <w:pPr>
              <w:jc w:val="right"/>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on Exercise(1)</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Acquired on Vesting</w:t>
            </w:r>
          </w:p>
        </w:tc>
        <w:tc>
          <w:tcPr>
            <w:tcW w:w="11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0" w:type="dxa"/>
            <w:vAlign w:val="bottom"/>
          </w:tcPr>
          <w:p>
            <w:pPr>
              <w:spacing w:after="0"/>
              <w:rPr>
                <w:sz w:val="1"/>
                <w:szCs w:val="1"/>
                <w:color w:val="auto"/>
              </w:rPr>
            </w:pPr>
          </w:p>
        </w:tc>
      </w:tr>
      <w:tr>
        <w:trPr>
          <w:trHeight w:val="138"/>
        </w:trPr>
        <w:tc>
          <w:tcPr>
            <w:tcW w:w="3860" w:type="dxa"/>
            <w:vAlign w:val="bottom"/>
            <w:gridSpan w:val="2"/>
            <w:vMerge w:val="continue"/>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tcPr>
          <w:p>
            <w:pPr>
              <w:spacing w:after="0"/>
              <w:rPr>
                <w:sz w:val="12"/>
                <w:szCs w:val="12"/>
                <w:color w:val="auto"/>
              </w:rPr>
            </w:pPr>
          </w:p>
        </w:tc>
        <w:tc>
          <w:tcPr>
            <w:tcW w:w="88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960" w:type="dxa"/>
            <w:vAlign w:val="bottom"/>
            <w:gridSpan w:val="2"/>
          </w:tcPr>
          <w:p>
            <w:pPr>
              <w:jc w:val="center"/>
              <w:ind w:left="1039"/>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2340" w:type="dxa"/>
            <w:vAlign w:val="bottom"/>
            <w:gridSpan w:val="2"/>
          </w:tcPr>
          <w:p>
            <w:pPr>
              <w:jc w:val="center"/>
              <w:ind w:right="11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98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1100" w:type="dxa"/>
            <w:vAlign w:val="bottom"/>
          </w:tcPr>
          <w:p>
            <w:pPr>
              <w:spacing w:after="0"/>
              <w:rPr>
                <w:sz w:val="12"/>
                <w:szCs w:val="12"/>
                <w:color w:val="auto"/>
              </w:rPr>
            </w:pPr>
          </w:p>
        </w:tc>
        <w:tc>
          <w:tcPr>
            <w:tcW w:w="9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89"/>
              </w:rPr>
              <w: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Arduini</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 Henneman, III</w:t>
            </w:r>
          </w:p>
        </w:tc>
        <w:tc>
          <w:tcPr>
            <w:tcW w:w="23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T. Davis, Jr.</w:t>
            </w:r>
          </w:p>
        </w:tc>
        <w:tc>
          <w:tcPr>
            <w:tcW w:w="2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Gorelick</w:t>
            </w:r>
          </w:p>
        </w:tc>
        <w:tc>
          <w:tcPr>
            <w:tcW w:w="23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Larkin</w:t>
            </w:r>
          </w:p>
        </w:tc>
        <w:tc>
          <w:tcPr>
            <w:tcW w:w="2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8" w:lineRule="exact"/>
        <w:rPr>
          <w:sz w:val="20"/>
          <w:szCs w:val="20"/>
          <w:color w:val="auto"/>
        </w:rPr>
      </w:pPr>
    </w:p>
    <w:p>
      <w:pPr>
        <w:ind w:left="340" w:right="460" w:hanging="332"/>
        <w:spacing w:after="0" w:line="26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in 2013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Executive</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Registrant</w:t>
            </w:r>
          </w:p>
        </w:tc>
        <w:tc>
          <w:tcPr>
            <w:tcW w:w="19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14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9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9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Earnings (Losses)</w:t>
            </w:r>
          </w:p>
        </w:tc>
        <w:tc>
          <w:tcPr>
            <w:tcW w:w="14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Withdrawals/</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 Last Fiscal</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 Last Fiscal Year</w:t>
            </w:r>
          </w:p>
        </w:tc>
        <w:tc>
          <w:tcPr>
            <w:tcW w:w="19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 Last Fiscal Year</w:t>
            </w:r>
          </w:p>
        </w:tc>
        <w:tc>
          <w:tcPr>
            <w:tcW w:w="19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 Last Fiscal Year</w:t>
            </w:r>
          </w:p>
        </w:tc>
        <w:tc>
          <w:tcPr>
            <w:tcW w:w="14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Distributions</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Year-End</w:t>
            </w:r>
          </w:p>
        </w:tc>
        <w:tc>
          <w:tcPr>
            <w:tcW w:w="0" w:type="dxa"/>
            <w:vAlign w:val="bottom"/>
          </w:tcPr>
          <w:p>
            <w:pPr>
              <w:spacing w:after="0"/>
              <w:rPr>
                <w:sz w:val="1"/>
                <w:szCs w:val="1"/>
                <w:color w:val="auto"/>
              </w:rPr>
            </w:pPr>
          </w:p>
        </w:tc>
      </w:tr>
      <w:tr>
        <w:trPr>
          <w:trHeight w:val="138"/>
        </w:trPr>
        <w:tc>
          <w:tcPr>
            <w:tcW w:w="3060" w:type="dxa"/>
            <w:vAlign w:val="bottom"/>
            <w:gridSpan w:val="2"/>
            <w:vMerge w:val="continue"/>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1740" w:type="dxa"/>
            <w:vAlign w:val="bottom"/>
            <w:gridSpan w:val="2"/>
          </w:tcPr>
          <w:p>
            <w:pPr>
              <w:jc w:val="center"/>
              <w:ind w:right="660"/>
              <w:spacing w:after="0" w:line="12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900" w:type="dxa"/>
            <w:vAlign w:val="bottom"/>
            <w:gridSpan w:val="2"/>
          </w:tcPr>
          <w:p>
            <w:pPr>
              <w:jc w:val="center"/>
              <w:ind w:right="82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1920" w:type="dxa"/>
            <w:vAlign w:val="bottom"/>
            <w:gridSpan w:val="2"/>
          </w:tcPr>
          <w:p>
            <w:pPr>
              <w:jc w:val="center"/>
              <w:ind w:right="84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1440" w:type="dxa"/>
            <w:vAlign w:val="bottom"/>
            <w:gridSpan w:val="2"/>
          </w:tcPr>
          <w:p>
            <w:pPr>
              <w:jc w:val="center"/>
              <w:ind w:right="660"/>
              <w:spacing w:after="0" w:line="129" w:lineRule="exact"/>
              <w:rPr>
                <w:sz w:val="20"/>
                <w:szCs w:val="20"/>
                <w:color w:val="auto"/>
              </w:rPr>
            </w:pPr>
            <w:r>
              <w:rPr>
                <w:rFonts w:ascii="Times New Roman" w:cs="Times New Roman" w:eastAsia="Times New Roman" w:hAnsi="Times New Roman"/>
                <w:sz w:val="14"/>
                <w:szCs w:val="14"/>
                <w:b w:val="1"/>
                <w:bCs w:val="1"/>
                <w:color w:val="auto"/>
                <w:w w:val="89"/>
              </w:rPr>
              <w:t>(e)</w:t>
            </w: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Arduini</w:t>
            </w:r>
          </w:p>
        </w:tc>
        <w:tc>
          <w:tcPr>
            <w:tcW w:w="1080" w:type="dxa"/>
            <w:vAlign w:val="bottom"/>
            <w:shd w:val="clear" w:color="auto" w:fill="CCEEFF"/>
          </w:tcPr>
          <w:p>
            <w:pPr>
              <w:ind w:left="9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1,975,844(1)</w:t>
            </w:r>
          </w:p>
        </w:tc>
        <w:tc>
          <w:tcPr>
            <w:tcW w:w="8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620"/>
              <w:spacing w:after="0" w:line="196" w:lineRule="exact"/>
              <w:rPr>
                <w:sz w:val="20"/>
                <w:szCs w:val="20"/>
                <w:color w:val="auto"/>
              </w:rPr>
            </w:pPr>
            <w:r>
              <w:rPr>
                <w:rFonts w:ascii="Times New Roman" w:cs="Times New Roman" w:eastAsia="Times New Roman" w:hAnsi="Times New Roman"/>
                <w:sz w:val="18"/>
                <w:szCs w:val="18"/>
                <w:color w:val="auto"/>
              </w:rPr>
              <w:t>695,261(2)</w:t>
            </w:r>
          </w:p>
        </w:tc>
        <w:tc>
          <w:tcPr>
            <w:tcW w:w="780" w:type="dxa"/>
            <w:vAlign w:val="bottom"/>
            <w:shd w:val="clear" w:color="auto" w:fill="CCEEFF"/>
          </w:tcPr>
          <w:p>
            <w:pPr>
              <w:ind w:left="620"/>
              <w:spacing w:after="0" w:line="196" w:lineRule="exact"/>
              <w:rPr>
                <w:sz w:val="20"/>
                <w:szCs w:val="20"/>
                <w:color w:val="auto"/>
              </w:rPr>
            </w:pPr>
            <w:r>
              <w:rPr>
                <w:rFonts w:ascii="Times New Roman" w:cs="Times New Roman" w:eastAsia="Times New Roman" w:hAnsi="Times New Roman"/>
                <w:sz w:val="18"/>
                <w:szCs w:val="18"/>
                <w:color w:val="auto"/>
                <w:w w:val="77"/>
              </w:rPr>
              <w:t>—</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w w:val="73"/>
              </w:rPr>
              <w:t>4,001,151(3)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 Henneman, III</w:t>
            </w:r>
          </w:p>
        </w:tc>
        <w:tc>
          <w:tcPr>
            <w:tcW w:w="17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776,785(4)</w:t>
            </w:r>
          </w:p>
        </w:tc>
        <w:tc>
          <w:tcPr>
            <w:tcW w:w="14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4,240,322(5)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9436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5" w:lineRule="exact"/>
        <w:rPr>
          <w:sz w:val="20"/>
          <w:szCs w:val="20"/>
          <w:color w:val="auto"/>
        </w:rPr>
      </w:pPr>
    </w:p>
    <w:p>
      <w:pPr>
        <w:ind w:left="340" w:right="280" w:hanging="332"/>
        <w:spacing w:after="0" w:line="275"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fair market value of (i) 4,388 shares of common stock underlying restricted stock units from an initial grant in February 2012 of 4,537 units (of which 149 units were withheld to pay taxes), which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100"/>
        <w:spacing w:after="0" w:line="255" w:lineRule="auto"/>
        <w:rPr>
          <w:sz w:val="20"/>
          <w:szCs w:val="20"/>
          <w:color w:val="auto"/>
        </w:rPr>
      </w:pPr>
      <w:r>
        <w:rPr>
          <w:rFonts w:ascii="Times New Roman" w:cs="Times New Roman" w:eastAsia="Times New Roman" w:hAnsi="Times New Roman"/>
          <w:sz w:val="18"/>
          <w:szCs w:val="18"/>
          <w:color w:val="auto"/>
        </w:rPr>
        <w:t>grant was fully vested on the first anniversary of the grant date, based on the $40.34 closing price of our common stock on the vesting date, (ii) 7,314 shares of common stock underlying restricted stock units from an initial grant in February 2012 of 22,684 units (of which 248 units were withheld to pay taxes), of which the first installment fully vested on the first anniversary of the grant date, based on the $40.34 closing price of our common stock on the vesting date, and (iii) 38,032 shares of common stock underlying restricted stock units from an initial grant in January 2012 of 118,363 units (of which 1,423 units were withheld to pay taxes), of which the first installment fully vested on the first anniversary of the grant date, based on the $39.54 closing price of our common stock on the vesting date.</w:t>
      </w:r>
    </w:p>
    <w:p>
      <w:pPr>
        <w:spacing w:after="0" w:line="58" w:lineRule="exact"/>
        <w:rPr>
          <w:sz w:val="20"/>
          <w:szCs w:val="20"/>
          <w:color w:val="auto"/>
        </w:rPr>
      </w:pPr>
    </w:p>
    <w:p>
      <w:pPr>
        <w:ind w:left="340" w:right="20" w:hanging="332"/>
        <w:spacing w:after="0" w:line="254"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gain in the value of (i) 34,130 shares of common stock underlying restricted stock units from an initial grant in November 2010 of 34,868 units (of which 738 units were withheld to pay taxes) from December 31, 2012 through December 31, 2013, (ii) 4,388 shares of common stock underlying restricted stock units from an initial grant in February 2012 of 4,537 units (of which 149 units were withheld to pay taxes) from February 21, 2013 through December 31, 2013, (iii) 7,314 shares of common stock underlying restricted stock units from an initial grant in February 2012 of 22,684 units (of which 248 units were withheld to pay taxes) from February 21, 2013 through December 31, 2013, and (iv) 38,032 shares of common stock underlying restricted stock units from an initial grant in January 2012 of 118,363 units (of which 1,423 units were withheld to pay taxes) from January 3, 2013 through December 31, 2013.</w:t>
      </w:r>
    </w:p>
    <w:p>
      <w:pPr>
        <w:spacing w:after="0" w:line="60" w:lineRule="exact"/>
        <w:rPr>
          <w:rFonts w:ascii="Times New Roman" w:cs="Times New Roman" w:eastAsia="Times New Roman" w:hAnsi="Times New Roman"/>
          <w:sz w:val="18"/>
          <w:szCs w:val="18"/>
          <w:color w:val="auto"/>
        </w:rPr>
      </w:pPr>
    </w:p>
    <w:p>
      <w:pPr>
        <w:ind w:left="340" w:right="20" w:hanging="332"/>
        <w:spacing w:after="0" w:line="291" w:lineRule="auto"/>
        <w:tabs>
          <w:tab w:leader="none" w:pos="3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the year-end value of (i) 34,130 shares of common stock underlying restricted stock units from an initial grant in November 2010 of 34,868 units (of which 738 units were withheld to pay taxes), (ii) 4,388 shares of common stock underlying restricted stock units from an initial grant in February 2012 of 4,537 units (of which 149 units were withheld to pay taxes), (iii) 7,314 shares of common stock underlying restricted stock units from an initial grant in February 2012 of 22,684 units (of which 248 units were withheld to pay taxes), and (iv) 38,032 shares of common stock underlying restricted stock units from an initial grant in January 2012 of 118,363 units (of which 1,423 units were withheld to pay taxes). All of these shares are deliverable within 30 days following the first business day that occurs immediately following the six-month period after the date of Mr. Arduini’s separation from service from the Company. The aggregate balance shown is based on the $47.71 closing price of our common stock on December 31, 2013.</w:t>
      </w:r>
    </w:p>
    <w:p>
      <w:pPr>
        <w:spacing w:after="0" w:line="32" w:lineRule="exact"/>
        <w:rPr>
          <w:rFonts w:ascii="Times New Roman" w:cs="Times New Roman" w:eastAsia="Times New Roman" w:hAnsi="Times New Roman"/>
          <w:sz w:val="16"/>
          <w:szCs w:val="16"/>
          <w:color w:val="auto"/>
        </w:rPr>
      </w:pPr>
    </w:p>
    <w:p>
      <w:pPr>
        <w:ind w:left="340" w:right="300" w:hanging="332"/>
        <w:spacing w:after="0" w:line="27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gain in the value of 88,877 shares of common stock underlying restricted stock units (from an initial grant in December 2008) from December 31, 2012 through December 31, 2013.</w:t>
      </w:r>
    </w:p>
    <w:p>
      <w:pPr>
        <w:spacing w:after="0" w:line="38" w:lineRule="exact"/>
        <w:rPr>
          <w:rFonts w:ascii="Times New Roman" w:cs="Times New Roman" w:eastAsia="Times New Roman" w:hAnsi="Times New Roman"/>
          <w:sz w:val="18"/>
          <w:szCs w:val="18"/>
          <w:color w:val="auto"/>
        </w:rPr>
      </w:pPr>
    </w:p>
    <w:p>
      <w:pPr>
        <w:ind w:left="340" w:right="80" w:hanging="332"/>
        <w:spacing w:after="0" w:line="257"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year-end value of 88,877 shares of common stock underlying restricted stock units (from an initial grant in December 2008). All of these shares are deliverable within 30 days following the first business day that occurs immediately following the six-month period after the date of</w:t>
      </w:r>
    </w:p>
    <w:p>
      <w:pPr>
        <w:spacing w:after="0" w:line="1" w:lineRule="exact"/>
        <w:rPr>
          <w:rFonts w:ascii="Times New Roman" w:cs="Times New Roman" w:eastAsia="Times New Roman" w:hAnsi="Times New Roman"/>
          <w:sz w:val="18"/>
          <w:szCs w:val="18"/>
          <w:color w:val="auto"/>
        </w:rPr>
      </w:pPr>
    </w:p>
    <w:p>
      <w:pPr>
        <w:ind w:left="340" w:righ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Henneman’s separation from service from the Company. The aggregate balance shown is based on the $47.71 closing price of our common stock on December 31, 2013.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2013, the Company has entered into agreements with each of its named executive officers, other than Mr. Davis and Mr. Larkin,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2013. On December 31, 2013, the Company’s common stock had a closing sale price on the NASDAQ Global Select Market of $47.71. Actual amounts payable would vary based on the date of the named executive officer’s termination of employment and can only be finally determined at that time.</w:t>
      </w:r>
    </w:p>
    <w:p>
      <w:pPr>
        <w:spacing w:after="0" w:line="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Unless specified otherwise, the information in this section is based upon the terms of (i) the Second Amended and Restated Employment Agreement between the Company and Peter J. Arduini, dated as of December 20, 2011 (the “Arduini Agreement”); (ii) the Amended and Restated Employment Agreement, between the Company and John B. Henneman, III, dated December 19, 2005 and subsequently amended on January 2, 2008, December 18, 2008, April 13, 2009, and October 12, 2010 (the “Henneman Agreement”); and (iii) the Severance Agreement, dated as of January 3, 2012, between the Company and Richard Gorelick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“Gorelick Agreement”) (the Arduini Agreement, the Henneman Agreement and the Gorelick Agreement are collectively referred to in this section as the “Agreements”).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By The Company Without Cause Or By The Executive For Good Reason Prior to a Change in Control</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Agreements provide each of the applicable named executive officers with severance payments and benefits upon termination of employment by the Company without cause or by the executive for good reason before a change in control of the Company. For Mr. Arduini, the Company will pay him a lump sum cash severance payment equal to 1.5 times the sum of his annual base salary as of the last day of active employment and his target bonus for the year of termination. For Messrs. Henneman and Gorelick, the Company will pay them a lump sum cash severance payment equal to the sum of their annual base salary as of their last day of active employment and their target bonus for the year of termination.</w:t>
      </w:r>
    </w:p>
    <w:p>
      <w:pPr>
        <w:spacing w:after="0" w:line="5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the Agreements provide that the Company will pay to each of the applicable named executive officers the monthly premium for COBRA family coverage under the Company’s group health plan and the monthly premium cost that the Company would have paid to cover the executive under the Company’s group life insurance had the executive’s employment not terminated for a maximum of one year (or eighteen months under the Company’s group health plan and one year under the Company’s group life insurance in the case of Mr. Arduini) following their date of termination. In addition, the Company will pay Messrs. Arduini, Henneman and Gorelick the monthly premium cost for disability insurance under the Company’s plan for a maximum of one year following termination.</w:t>
      </w:r>
    </w:p>
    <w:p>
      <w:pPr>
        <w:spacing w:after="0" w:line="58"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The Henneman Agreement also provides Mr. Henneman with accelerated vesting of his equity awards upon such termination of employment. In addition, Mr. Henneman will receive payment of common stock underlying the 88,877 restricted stock units from an initial grant in December 2008, and Mr. Arduini will receive payment of common stock underlying (i) 34,130 restricted stock units from an initial grant in November 2010, (ii) 4,388 restricted stock units from an initial grant in February 2012, (iii) 7,314 restricted stock units from an initial grant in February 2012, (iv) 38,032 restricted stock units from an initial grant in January 2012, and (v) 19,109 performance stock units from an initial grant in March 2013. In all cases, the number of shares distributed will be net of applicable shares withheld for employment or income taxes at the time of grant, vesting or distribution. Further, Mr. Henneman’s 2008 stock option grant will remain exercisable through its original expiration date. While the Gorelick Agreement provides for the accelerated vesting of Mr. Gorelick’s 2012 and 2013 restricted stock grants upon such termination of employment, Mr. Gorelick’s March 2013 grant of 1,771 performance stock units will not vest upon such termination of employment.</w:t>
      </w:r>
    </w:p>
    <w:p>
      <w:pPr>
        <w:spacing w:after="0" w:line="6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if there is no parent corporation, the surviving corporation) that the executive held with the Company immediately prior to the change in control, provided that the executive resigns within one year after the change in control (in which case, no notice or cure period would apply); or (v) the Company fails to obtain the assumption of the executive’s Agreement by any successor company.</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For Cause Or By Executive Without Good Reason</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Agreements generally do not provide the applicable named executive officers with any payments or other benefits in the event of their termination of employment by the Company for cause or by the executive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good reason other than amounts accrued and owing, but not yet paid, as of the date of the executive’s termination of employment.</w:t>
      </w:r>
    </w:p>
    <w:p>
      <w:pPr>
        <w:spacing w:after="0" w:line="90"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w:t>
      </w:r>
    </w:p>
    <w:p>
      <w:pPr>
        <w:spacing w:after="0" w:line="3" w:lineRule="exact"/>
        <w:rPr>
          <w:sz w:val="20"/>
          <w:szCs w:val="20"/>
          <w:color w:val="auto"/>
        </w:rPr>
      </w:pPr>
    </w:p>
    <w:p>
      <w:pPr>
        <w:ind w:right="160" w:firstLine="8"/>
        <w:spacing w:after="0" w:line="255"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Non-Renewal of Employment Agreement</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Henneman Agreement provides that the Company will pay him the same payments and benefits as those payments and benefits described above under “Payments Upon Termination By The Company Without Cause Or By The Executive For Good Reason Before A Change In Control” in the event of termination of his employment by reason of the Company’s election not to extend the term of the Henneman Agreement. In addition, the July 2008 stock option grant agreement with Mr. Henneman provides that, upon nonrenewal of the term of his employment agreement, his July 2008 stock option grant will remain exercisable through its original expiration date. Further, Mr. Henneman’s February 2012, December 2012 and March 2013 restricted stock agreements provide for acceleration of vesting in the event of termination of his employment as a result of his employment agreement not being renewed or replaced. In addition, he will receive the shares underlying his 2008 grant of restricted stock units.</w:t>
      </w:r>
    </w:p>
    <w:p>
      <w:pPr>
        <w:spacing w:after="0" w:line="6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Except as described above, no other Agreement with any executive officer provides for payments or benefits upon nonrenewal of the respective term of the Agreement.</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Death</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Only the Arduini and Henneman Agreements provide severance payments and benefits upon death. Specifically, if Messrs. Arduini and Henneman die during the term of their employment, then the Company will pay to their estate a lump sum payment equal to one times their annual base salary. In addition, the Company generally will pay their eligible beneficiaries the monthly premium for COBRA family coverage under the Company’s group health plan for a period of one year from the date of their death.</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Arduini, Henneman and Gorelick Agreements also provide for acceleration of their respective equity compensation awards, except that</w:t>
      </w:r>
    </w:p>
    <w:p>
      <w:pPr>
        <w:spacing w:after="0" w:line="21" w:lineRule="exact"/>
        <w:rPr>
          <w:sz w:val="20"/>
          <w:szCs w:val="20"/>
          <w:color w:val="auto"/>
        </w:rPr>
      </w:pPr>
    </w:p>
    <w:p>
      <w:pPr>
        <w:ind w:right="80" w:firstLine="8"/>
        <w:spacing w:after="0" w:line="288" w:lineRule="auto"/>
        <w:tabs>
          <w:tab w:leader="none" w:pos="21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Arduini’s March 2013 grant of 8,758 performance stock units, (ii) Mr. Henneman’s December 2012 grant of 25,954 performance stock units and March 2013 grant of 12,739 performance stock units, and (iii) Mr. Gorelick’s March 2013 grant of 1,771 performance stock units, respectively, do not provide for acceleration of vesting upon death. In addition, Mr. Davis’ 2012 and 2013 restricted stock awards as well as Mr. Larkin’s March 2013 restricted stock award provide for acceleration of vesting upon their death. The options covered by all of Mr. Arduini’s 2013 option grants fully vest in the event of death. The options covered by all of Mr. Arduini’s 2012 option grants, all of Mr. Henneman’s 2008 option grant will remain exercisable until one year following their respective death, but in no event beyond the applicable option’s expiration date. In addition, the estate of Mr. Henneman will receive the shares underlying his 2008 grant of restricted stock units, and the estate of Mr. Arduini will receive the shares underlying his 2010, 2012 and 2013 grants of restricted stock units.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Disability</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None of the Agreements provide for cash severance payments upon the executive’s termination of employment on account of their disability. The options covered by Mr. Arduini’s 2013 option grants fully vest in the event of disability. The options covered by Mr. Arduini’s 2012 option grants and the options covered by Mr. Henneman’s 2008 option grant will remain exercisable until one year following termination on account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disability, but in no event beyond the options’ expiration date. In addition, as promptly as practicable following such termination, Mr. Henneman will receive the shares underlying his 2008 grant of restricted stock units, and Mr. Arduini will receive the shares underlying his 2010, 2012 and 2013 grants of restricted stock units.</w:t>
      </w:r>
    </w:p>
    <w:p>
      <w:pPr>
        <w:spacing w:after="0" w:line="51" w:lineRule="exact"/>
        <w:rPr>
          <w:sz w:val="20"/>
          <w:szCs w:val="20"/>
          <w:color w:val="auto"/>
        </w:rPr>
      </w:pPr>
    </w:p>
    <w:p>
      <w:pPr>
        <w:ind w:right="320" w:firstLine="456"/>
        <w:spacing w:after="0" w:line="289" w:lineRule="auto"/>
        <w:rPr>
          <w:sz w:val="20"/>
          <w:szCs w:val="20"/>
          <w:color w:val="auto"/>
        </w:rPr>
      </w:pPr>
      <w:r>
        <w:rPr>
          <w:rFonts w:ascii="Times New Roman" w:cs="Times New Roman" w:eastAsia="Times New Roman" w:hAnsi="Times New Roman"/>
          <w:sz w:val="16"/>
          <w:szCs w:val="16"/>
          <w:color w:val="auto"/>
        </w:rPr>
        <w:t>All of the equity awards for Messrs. Arduini, Henneman, Davis, Gorelick and Larkin (except (i) Mr. Arduini’s March 2013 grant of 8,758 performance stock units, (ii) Mr. Henneman’s December 2012 grant of 25,954 performance stock units and March 2013 grant of 12,739 performance stock units,</w:t>
      </w:r>
    </w:p>
    <w:p>
      <w:pPr>
        <w:spacing w:after="0" w:line="1" w:lineRule="exact"/>
        <w:rPr>
          <w:sz w:val="20"/>
          <w:szCs w:val="20"/>
          <w:color w:val="auto"/>
        </w:rPr>
      </w:pPr>
    </w:p>
    <w:p>
      <w:pPr>
        <w:ind w:right="100" w:firstLine="8"/>
        <w:spacing w:after="0" w:line="255" w:lineRule="auto"/>
        <w:tabs>
          <w:tab w:leader="none" w:pos="3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March 2013 grant of 1,593 performance stock units, (iv) Mr. Gorelick’s March 2013 grant of 1,771 performance stock units and (v) Mr. Larkin’s July 2011 grant of 4,800 shares of restricted stock, April 2012 grant of 3,799 shares of restricted stock and March 2013 grant of 1,657 performance stock units) will accelerate and become fully vested on the date of their termination of employment for disability.</w:t>
      </w:r>
    </w:p>
    <w:p>
      <w:pPr>
        <w:spacing w:after="0" w:line="57"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in Connection with a Change in Control</w:t>
      </w:r>
    </w:p>
    <w:p>
      <w:pPr>
        <w:spacing w:after="0" w:line="9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Agreements provide each of the applicable named executive officers with severance payments and benefits upon termination of their employment in connection with or following a change in control.</w:t>
      </w:r>
    </w:p>
    <w:p>
      <w:pPr>
        <w:spacing w:after="0" w:line="39"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The Agreements provide that, if within twelve months (or eighteen months for Mr. Arduini) of a change in control, their employment with the Company is terminated by the Company for a reason other than death, disability or cause, or they terminate employment with the Company for good reason, (or for</w:t>
      </w:r>
    </w:p>
    <w:p>
      <w:pPr>
        <w:spacing w:after="0" w:line="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Mr. Henneman, if his employment terminates as a result of the Company’s election not to extend the term of the Henneman Agreement), the Company will pay a lump sum cash payment equal to a multiple (2.99 times for Messrs. Arduini and Henneman or 1.0 times for Mr. Gorelick)) of the sum of their annual base salary and target bonus. In addition, the Company will generally pay to such executives (other than Mr. Gorelick), the monthly premium for COBRA family coverage under the Company’s group health plan and the monthly premium cost that the Company would have paid to cover the executive under the Company’s group life and disability insurance had the executive’s employment not terminated for a period generally ending on the earlier to occur of (i) their date of death or</w:t>
      </w:r>
    </w:p>
    <w:p>
      <w:pPr>
        <w:spacing w:after="0" w:line="3" w:lineRule="exact"/>
        <w:rPr>
          <w:sz w:val="20"/>
          <w:szCs w:val="20"/>
          <w:color w:val="auto"/>
        </w:rPr>
      </w:pPr>
    </w:p>
    <w:p>
      <w:pPr>
        <w:ind w:right="100" w:firstLine="8"/>
        <w:spacing w:after="0" w:line="252"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2015 for Mr. Arduini and December 19, 2014 for Mr. Henneman. The Gorelick Agreement provides that, for a period ending on the earlier to occur of (i) one year after termination of employment or (ii) his date of death, the Company will generally provide health coverage in the Company’s health insurance program (if continuation of coverage is not prohibited) and reimburse him for the cost of the monthly healthcare premiums, less the amount he was required to pay for monthly coverage immediately before termination. In addition, the Company will pay him a lump sum payment equal to the premium cost of continuing the life and disability insurance in effect on the date of termination (if continuation of coverage is not prohibited) until the earlier of (i) one year after termination or (ii) his date of death.</w:t>
      </w:r>
    </w:p>
    <w:p>
      <w:pPr>
        <w:spacing w:after="0" w:line="6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Henneman and Gorelick Agreements also provide that the Company will pay all reasonable legal fees and expenses incurred by the executives as a result of their termination of employment.</w:t>
      </w:r>
    </w:p>
    <w:p>
      <w:pPr>
        <w:spacing w:after="0" w:line="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Gorelick Agreement provides that if any payment or benefit provided to him would be subject to the excise tax under section 4999 of the Code, the amounts payable to him and benefits he will receive will be reduced so that no amounts he would receive would be subject to the excise tax under section 4999 of the Code if such reduction would result in him receiving a greater amount on an after-tax basis than if no reduction has occurred.</w:t>
      </w:r>
    </w:p>
    <w:p>
      <w:pPr>
        <w:spacing w:after="0" w:line="51" w:lineRule="exact"/>
        <w:rPr>
          <w:sz w:val="20"/>
          <w:szCs w:val="20"/>
          <w:color w:val="auto"/>
        </w:rPr>
      </w:pPr>
    </w:p>
    <w:p>
      <w:pPr>
        <w:jc w:val="both"/>
        <w:ind w:right="100" w:firstLine="456"/>
        <w:spacing w:after="0" w:line="287" w:lineRule="auto"/>
        <w:rPr>
          <w:sz w:val="20"/>
          <w:szCs w:val="20"/>
          <w:color w:val="auto"/>
        </w:rPr>
      </w:pPr>
      <w:r>
        <w:rPr>
          <w:rFonts w:ascii="Times New Roman" w:cs="Times New Roman" w:eastAsia="Times New Roman" w:hAnsi="Times New Roman"/>
          <w:sz w:val="16"/>
          <w:szCs w:val="16"/>
          <w:color w:val="auto"/>
        </w:rPr>
        <w:t>The Company’s equity plans provide for the acceleration of the vesting and/or delivery of all equity compensation awards granted prior to 2013 for all of the named executive officers upon a change in control, regardless of whether their employment has terminated. In addition, Mr. Henneman will receive payment of common stock underlying the restricted stock units granted to him in December 2008 and the performance stock granted to him in December 2012, and</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Mr. Arduini will receive payment of common stock underlying the restricted stock units granted to him in November 2010, January 2012 and February 2012. Further, Mr. Arduini’s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55"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stock option grants and Mr. Henneman’s 2008 stock option grant will remain exercisable through their original expiration date.</w:t>
      </w:r>
    </w:p>
    <w:p>
      <w:pPr>
        <w:spacing w:after="0" w:line="90"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Company’s equity plans provide for the acceleration of vesting and/or delivery of all equity compensation awards granted on or after January 1, 2013 for all of the named executive officers, if a change in control occurs and the named executive officers incurs a qualifying termination on or within twelve months following the date of such change in control. The NEOs will receive payment of common stock underlying the restricted stock grants in March 2013 (as well as the July 2013 grant to Mr. Davis) and the performance stock units granted in March 2013 to the NEOs in such event.</w:t>
      </w:r>
    </w:p>
    <w:p>
      <w:pPr>
        <w:spacing w:after="0" w:line="5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Under the Agreements,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Under the Agreements, a qualifying termination would be deemed to have occurred: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Other Conditions</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For Messrs. Arduini, Henneman and Gorelick, the foregoing severance benefits are conditioned on their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of Potential Payments</w:t>
      </w:r>
    </w:p>
    <w:p>
      <w:pPr>
        <w:spacing w:after="0" w:line="94"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2013 or a change in control of the Company occurred on December 31, 2013, as applicable: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Without Cause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Upon a Change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With Good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Control</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Without Cause or</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Reason (Before a</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2"/>
              </w:rPr>
              <w:t>(With or</w:t>
            </w:r>
          </w:p>
        </w:tc>
        <w:tc>
          <w:tcPr>
            <w:tcW w:w="280" w:type="dxa"/>
            <w:vAlign w:val="bottom"/>
          </w:tcPr>
          <w:p>
            <w:pPr>
              <w:spacing w:after="0"/>
              <w:rPr>
                <w:sz w:val="12"/>
                <w:szCs w:val="12"/>
                <w:color w:val="auto"/>
              </w:rPr>
            </w:pPr>
          </w:p>
        </w:tc>
        <w:tc>
          <w:tcPr>
            <w:tcW w:w="12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 Good Reason</w:t>
            </w:r>
          </w:p>
        </w:tc>
        <w:tc>
          <w:tcPr>
            <w:tcW w:w="0" w:type="dxa"/>
            <w:vAlign w:val="bottom"/>
          </w:tcPr>
          <w:p>
            <w:pPr>
              <w:spacing w:after="0"/>
              <w:rPr>
                <w:sz w:val="1"/>
                <w:szCs w:val="1"/>
                <w:color w:val="auto"/>
              </w:rPr>
            </w:pPr>
          </w:p>
        </w:tc>
      </w:tr>
      <w:tr>
        <w:trPr>
          <w:trHeight w:val="138"/>
        </w:trPr>
        <w:tc>
          <w:tcPr>
            <w:tcW w:w="4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2"/>
              <w:spacing w:after="0" w:line="139" w:lineRule="exact"/>
              <w:rPr>
                <w:sz w:val="20"/>
                <w:szCs w:val="20"/>
                <w:color w:val="auto"/>
              </w:rPr>
            </w:pPr>
            <w:r>
              <w:rPr>
                <w:rFonts w:ascii="Times New Roman" w:cs="Times New Roman" w:eastAsia="Times New Roman" w:hAnsi="Times New Roman"/>
                <w:sz w:val="14"/>
                <w:szCs w:val="14"/>
                <w:b w:val="1"/>
                <w:bCs w:val="1"/>
                <w:color w:val="auto"/>
                <w:w w:val="95"/>
              </w:rPr>
              <w:t>Change In</w:t>
            </w:r>
          </w:p>
        </w:tc>
        <w:tc>
          <w:tcPr>
            <w:tcW w:w="280" w:type="dxa"/>
            <w:vAlign w:val="bottom"/>
          </w:tcPr>
          <w:p>
            <w:pPr>
              <w:spacing w:after="0"/>
              <w:rPr>
                <w:sz w:val="12"/>
                <w:szCs w:val="12"/>
                <w:color w:val="auto"/>
              </w:rPr>
            </w:pPr>
          </w:p>
        </w:tc>
        <w:tc>
          <w:tcPr>
            <w:tcW w:w="11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Non-Renewal</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2"/>
              <w:spacing w:after="0" w:line="13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5"/>
              </w:rPr>
              <w:t>(After a Change</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Officer</w:t>
            </w:r>
          </w:p>
        </w:tc>
        <w:tc>
          <w:tcPr>
            <w:tcW w:w="100" w:type="dxa"/>
            <w:vAlign w:val="bottom"/>
          </w:tcPr>
          <w:p>
            <w:pPr>
              <w:spacing w:after="0"/>
              <w:rPr>
                <w:sz w:val="12"/>
                <w:szCs w:val="12"/>
                <w:color w:val="auto"/>
              </w:rPr>
            </w:pPr>
          </w:p>
        </w:tc>
        <w:tc>
          <w:tcPr>
            <w:tcW w:w="980" w:type="dxa"/>
            <w:vAlign w:val="bottom"/>
          </w:tcPr>
          <w:p>
            <w:pPr>
              <w:jc w:val="center"/>
              <w:ind w:right="32"/>
              <w:spacing w:after="0" w:line="129" w:lineRule="exact"/>
              <w:rPr>
                <w:sz w:val="20"/>
                <w:szCs w:val="20"/>
                <w:color w:val="auto"/>
              </w:rPr>
            </w:pPr>
            <w:r>
              <w:rPr>
                <w:rFonts w:ascii="Times New Roman" w:cs="Times New Roman" w:eastAsia="Times New Roman" w:hAnsi="Times New Roman"/>
                <w:sz w:val="14"/>
                <w:szCs w:val="14"/>
                <w:b w:val="1"/>
                <w:bCs w:val="1"/>
                <w:color w:val="auto"/>
                <w:w w:val="93"/>
              </w:rPr>
              <w:t>Control)</w:t>
            </w:r>
          </w:p>
        </w:tc>
        <w:tc>
          <w:tcPr>
            <w:tcW w:w="280" w:type="dxa"/>
            <w:vAlign w:val="bottom"/>
          </w:tcPr>
          <w:p>
            <w:pPr>
              <w:spacing w:after="0"/>
              <w:rPr>
                <w:sz w:val="12"/>
                <w:szCs w:val="12"/>
                <w:color w:val="auto"/>
              </w:rPr>
            </w:pPr>
          </w:p>
        </w:tc>
        <w:tc>
          <w:tcPr>
            <w:tcW w:w="11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of Agreement</w:t>
            </w:r>
          </w:p>
        </w:tc>
        <w:tc>
          <w:tcPr>
            <w:tcW w:w="80" w:type="dxa"/>
            <w:vAlign w:val="bottom"/>
          </w:tcPr>
          <w:p>
            <w:pPr>
              <w:spacing w:after="0"/>
              <w:rPr>
                <w:sz w:val="12"/>
                <w:szCs w:val="12"/>
                <w:color w:val="auto"/>
              </w:rPr>
            </w:pPr>
          </w:p>
        </w:tc>
        <w:tc>
          <w:tcPr>
            <w:tcW w:w="840" w:type="dxa"/>
            <w:vAlign w:val="bottom"/>
            <w:gridSpan w:val="2"/>
          </w:tcPr>
          <w:p>
            <w:pPr>
              <w:jc w:val="right"/>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Death</w:t>
            </w:r>
          </w:p>
        </w:tc>
        <w:tc>
          <w:tcPr>
            <w:tcW w:w="900" w:type="dxa"/>
            <w:vAlign w:val="bottom"/>
            <w:gridSpan w:val="3"/>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80" w:type="dxa"/>
            <w:vAlign w:val="bottom"/>
          </w:tcPr>
          <w:p>
            <w:pPr>
              <w:spacing w:after="0"/>
              <w:rPr>
                <w:sz w:val="12"/>
                <w:szCs w:val="12"/>
                <w:color w:val="auto"/>
              </w:rPr>
            </w:pPr>
          </w:p>
        </w:tc>
        <w:tc>
          <w:tcPr>
            <w:tcW w:w="880" w:type="dxa"/>
            <w:vAlign w:val="bottom"/>
          </w:tcPr>
          <w:p>
            <w:pPr>
              <w:jc w:val="center"/>
              <w:ind w:right="12"/>
              <w:spacing w:after="0" w:line="129" w:lineRule="exact"/>
              <w:rPr>
                <w:sz w:val="20"/>
                <w:szCs w:val="20"/>
                <w:color w:val="auto"/>
              </w:rPr>
            </w:pPr>
            <w:r>
              <w:rPr>
                <w:rFonts w:ascii="Times New Roman" w:cs="Times New Roman" w:eastAsia="Times New Roman" w:hAnsi="Times New Roman"/>
                <w:sz w:val="14"/>
                <w:szCs w:val="14"/>
                <w:b w:val="1"/>
                <w:bCs w:val="1"/>
                <w:color w:val="auto"/>
                <w:w w:val="94"/>
              </w:rPr>
              <w:t>Termination)</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Control)</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6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Peter J. Arduini</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2,551,500</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5,085,990</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Continued Health &amp; Other Benefits(1)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21,058</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13,790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28,327</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Stock Options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363,966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363,966</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1,333,519</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1,697,485</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Other Grants(2)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1,329,535</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6,180,401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6,180,401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4,486,171</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6,598,245</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Fees/Interest(3)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11,518</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3,907,887</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7,368,157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6,544,367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5,819,690</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13,421,565</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John B. Henneman, III</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1,045,000</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1,045,000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3,124,550</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Continued Health &amp; Other Benefits(1)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8,127</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8,127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7,754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8,127</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Stock Options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Other Grants(2)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1,417,369</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1,417,369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1,417,369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1,417,369</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2,047,856</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3,263,412</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Fees/Interest(3)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2,372</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7,055</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2,472,868</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2,470,496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1,975,123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1,417,369</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2,047,856</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6,403,144</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Robert T. Davis, Jr.</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Continued Health &amp; Other Benefits(1)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Stock Options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Other Grants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312,930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312,930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173,951</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388,932</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Fees/Interest(3)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312,930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312,930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173,951</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388,932</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Richard D. Gorelick</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484,566</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484,566</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Continued Health &amp; Other Benefits(1)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14,163</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14,163</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Stock Options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Other Grants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249,094</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249,094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249,094</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164,600</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333,588</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Fees/Interest(3)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748,946</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249,094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249,094</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164,600</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833,440</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Brian Larkin</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Continued Health &amp; Other Benefits(1)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Stock Options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Acceleration of Other Grants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79,055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410,258</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568,369</w:t>
            </w:r>
          </w:p>
        </w:tc>
        <w:tc>
          <w:tcPr>
            <w:tcW w:w="0" w:type="dxa"/>
            <w:vAlign w:val="bottom"/>
          </w:tcPr>
          <w:p>
            <w:pPr>
              <w:spacing w:after="0"/>
              <w:rPr>
                <w:sz w:val="1"/>
                <w:szCs w:val="1"/>
                <w:color w:val="auto"/>
              </w:rPr>
            </w:pPr>
          </w:p>
        </w:tc>
      </w:tr>
      <w:tr>
        <w:trPr>
          <w:trHeight w:val="149"/>
        </w:trPr>
        <w:tc>
          <w:tcPr>
            <w:tcW w:w="4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Fees/Interest(3)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79,055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410,258</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568,369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8" w:lineRule="exact"/>
        <w:rPr>
          <w:sz w:val="20"/>
          <w:szCs w:val="20"/>
          <w:color w:val="auto"/>
        </w:rPr>
      </w:pPr>
    </w:p>
    <w:p>
      <w:pPr>
        <w:ind w:left="340" w:right="100" w:hanging="332"/>
        <w:spacing w:after="0" w:line="26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Messrs. Arduini, Henneman and Gorelick, the premium cost for health, life and disability insurance (less that amount the executive would have been required to pay for such coverage immediately before termination) is assumed to be (i) $1,180 per month for Mr. Arduini and Mr. Gorelick with no gross-up and (ii) $677 per month for Mr. Henneman with no gross-up.</w:t>
      </w:r>
    </w:p>
    <w:p>
      <w:pPr>
        <w:spacing w:after="0" w:line="51" w:lineRule="exact"/>
        <w:rPr>
          <w:rFonts w:ascii="Times New Roman" w:cs="Times New Roman" w:eastAsia="Times New Roman" w:hAnsi="Times New Roman"/>
          <w:sz w:val="18"/>
          <w:szCs w:val="18"/>
          <w:color w:val="auto"/>
        </w:rPr>
      </w:pPr>
    </w:p>
    <w:p>
      <w:pPr>
        <w:ind w:left="340" w:right="80" w:hanging="332"/>
        <w:spacing w:after="0" w:line="275"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on vested and deferred restricted stock units, see the Nonqualified Deferred Compensation table. The value of vested awards is not included in this table.</w:t>
      </w:r>
    </w:p>
    <w:p>
      <w:pPr>
        <w:spacing w:after="0" w:line="38" w:lineRule="exact"/>
        <w:rPr>
          <w:rFonts w:ascii="Times New Roman" w:cs="Times New Roman" w:eastAsia="Times New Roman" w:hAnsi="Times New Roman"/>
          <w:sz w:val="18"/>
          <w:szCs w:val="18"/>
          <w:color w:val="auto"/>
        </w:rPr>
      </w:pPr>
    </w:p>
    <w:p>
      <w:pPr>
        <w:ind w:left="340" w:right="120" w:hanging="332"/>
        <w:spacing w:after="0" w:line="26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Henneman and Gorelick Agreements provide for reasonable legal fees and expenses that may be incurred by the executive as a result of the executive’s termination of employment related to a change in control. However, the table does not include a value for these fees and expenses because they would be incurred only if there is a dispute under these Agreements. Thus, these amounts are undeterminable. For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340" w:right="240"/>
        <w:spacing w:after="0" w:line="262" w:lineRule="auto"/>
        <w:rPr>
          <w:sz w:val="20"/>
          <w:szCs w:val="20"/>
          <w:color w:val="auto"/>
        </w:rPr>
      </w:pPr>
      <w:r>
        <w:rPr>
          <w:rFonts w:ascii="Times New Roman" w:cs="Times New Roman" w:eastAsia="Times New Roman" w:hAnsi="Times New Roman"/>
          <w:sz w:val="18"/>
          <w:szCs w:val="18"/>
          <w:color w:val="auto"/>
        </w:rPr>
        <w:t>Messrs. Arduini, Henneman and Gorelick, the amount shown represents the interest on the executive’s respective severance payment (cash severance plus premium cost for health and other insurance benefits) if it is required to be delayed for six months because of the application of section 409A of the Code, with such interest applied at the rate of 0.25% compounded monthly.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for any tax gross-up payments.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37" w:lineRule="exact"/>
        <w:rPr>
          <w:sz w:val="20"/>
          <w:szCs w:val="20"/>
          <w:color w:val="auto"/>
        </w:rPr>
      </w:pPr>
    </w:p>
    <w:p>
      <w:pPr>
        <w:ind w:right="4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The compensation of directors during 2013 included the compensation payable during the period beginning with the Company’s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Stockholders on May 17, 2012 and ending with the Company’s 2013 Annual Meeting of Stockholders on May 22, 2013.</w:t>
      </w:r>
    </w:p>
    <w:p>
      <w:pPr>
        <w:spacing w:after="0" w:line="37"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As compensation for their service during the period beginning with the Company’s 2012 Annual Meeting of Stockholders, non-employee directors were able to elect to receive an annual equity grant of 2,500 shares of restricted stock or options to purchase 7,500 shares of common stock (with the Chairman of the Board of Directors being able to elect to receive 3,325 shares of restricted stock or options to purchase 10,000 shares of common stock). Directors also received an annual retainer of $75,000, payable in one of four ways, at their election: (1) in cash, (2) in restricted stock, (3) one half in cash and one half in restricted stock, or (4) in options to purchase common stock (the number of options determined by valuing the options at one-third of the fair market value of our common stock underlying the option), with a maximum of 7,500 options. In addition, the Presiding Director received an annual presiding director fee of $25,000 payable in cash.</w:t>
      </w:r>
    </w:p>
    <w:p>
      <w:pPr>
        <w:spacing w:after="0" w:line="3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Effective as of the 2013 Annual Meeting of Stockholders, non-employee directors received an annual equity grant in the form of restricted stock with a fair market value on the date of grant of $125,000 (or $175,000 for the Chairman) and no longer receive the same fixed number of shares each year. Directors also received an annual retainer of $75,000, payable in one of three ways, at their election: (1) in cash, (2) in restricted stock, or (3) one half in cash and one half in restricted stock. Non-employee directors can no longer choose to receive the annual retainer or the annual equity grant in the form of stock options. In addition, the Company paid the following separate annual cash fees to certain directors as follows: (1) $7,500 for the Nominating and Corporate Governance Committee Chair, (2) $15,000 for the Compensation Committee Chair, (3) $15,000 for the Audit Committee Chair, (4) $25,000 for the Presiding Director (which remains unchanged), and (5) $25,000 for the Chairman. Further, effective as of July 24, 2013, the Company paid a separate annual cash fee of $15,000 for the Finance Committee Chair.</w:t>
      </w:r>
    </w:p>
    <w:p>
      <w:pPr>
        <w:spacing w:after="0" w:line="57"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details of the total compensation earned by non-employee directors in 2013.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0" w:type="dxa"/>
            <w:vAlign w:val="bottom"/>
            <w:gridSpan w:val="3"/>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w:t>
            </w: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Pr>
          <w:p>
            <w:pPr>
              <w:spacing w:after="0"/>
              <w:rPr>
                <w:sz w:val="12"/>
                <w:szCs w:val="12"/>
                <w:color w:val="auto"/>
              </w:rPr>
            </w:pPr>
          </w:p>
        </w:tc>
        <w:tc>
          <w:tcPr>
            <w:tcW w:w="16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Cash(1)</w:t>
            </w:r>
          </w:p>
        </w:tc>
        <w:tc>
          <w:tcPr>
            <w:tcW w:w="18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Stock Awards(2)(3)</w:t>
            </w:r>
          </w:p>
        </w:tc>
        <w:tc>
          <w:tcPr>
            <w:tcW w:w="19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 Awards(4)(5)</w:t>
            </w:r>
          </w:p>
        </w:tc>
        <w:tc>
          <w:tcPr>
            <w:tcW w:w="158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8"/>
        </w:trPr>
        <w:tc>
          <w:tcPr>
            <w:tcW w:w="2700" w:type="dxa"/>
            <w:vAlign w:val="bottom"/>
            <w:gridSpan w:val="2"/>
            <w:vMerge w:val="continue"/>
          </w:tcPr>
          <w:p>
            <w:pPr>
              <w:spacing w:after="0"/>
              <w:rPr>
                <w:sz w:val="12"/>
                <w:szCs w:val="12"/>
                <w:color w:val="auto"/>
              </w:rPr>
            </w:pPr>
          </w:p>
        </w:tc>
        <w:tc>
          <w:tcPr>
            <w:tcW w:w="1880" w:type="dxa"/>
            <w:vAlign w:val="bottom"/>
            <w:gridSpan w:val="2"/>
          </w:tcPr>
          <w:p>
            <w:pPr>
              <w:jc w:val="center"/>
              <w:ind w:left="916"/>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Pr>
          <w:p>
            <w:pPr>
              <w:spacing w:after="0"/>
              <w:rPr>
                <w:sz w:val="12"/>
                <w:szCs w:val="12"/>
                <w:color w:val="auto"/>
              </w:rPr>
            </w:pPr>
          </w:p>
        </w:tc>
        <w:tc>
          <w:tcPr>
            <w:tcW w:w="1240" w:type="dxa"/>
            <w:vAlign w:val="bottom"/>
          </w:tcPr>
          <w:p>
            <w:pPr>
              <w:ind w:left="54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2"/>
                <w:szCs w:val="12"/>
                <w:color w:val="auto"/>
              </w:rPr>
            </w:pPr>
          </w:p>
        </w:tc>
        <w:tc>
          <w:tcPr>
            <w:tcW w:w="840" w:type="dxa"/>
            <w:vAlign w:val="bottom"/>
          </w:tcPr>
          <w:p>
            <w:pPr>
              <w:jc w:val="right"/>
              <w:ind w:right="258"/>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1000" w:type="dxa"/>
            <w:vAlign w:val="bottom"/>
          </w:tcPr>
          <w:p>
            <w:pPr>
              <w:spacing w:after="0"/>
              <w:rPr>
                <w:sz w:val="12"/>
                <w:szCs w:val="12"/>
                <w:color w:val="auto"/>
              </w:rPr>
            </w:pPr>
          </w:p>
        </w:tc>
        <w:tc>
          <w:tcPr>
            <w:tcW w:w="1600" w:type="dxa"/>
            <w:vAlign w:val="bottom"/>
            <w:gridSpan w:val="2"/>
          </w:tcPr>
          <w:p>
            <w:pPr>
              <w:jc w:val="center"/>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1860" w:type="dxa"/>
            <w:vAlign w:val="bottom"/>
            <w:gridSpan w:val="2"/>
          </w:tcPr>
          <w:p>
            <w:pPr>
              <w:jc w:val="center"/>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1960" w:type="dxa"/>
            <w:vAlign w:val="bottom"/>
            <w:gridSpan w:val="2"/>
          </w:tcPr>
          <w:p>
            <w:pPr>
              <w:ind w:left="540"/>
              <w:spacing w:after="0" w:line="129" w:lineRule="exact"/>
              <w:rPr>
                <w:sz w:val="20"/>
                <w:szCs w:val="20"/>
                <w:color w:val="auto"/>
              </w:rPr>
            </w:pPr>
            <w:r>
              <w:rPr>
                <w:rFonts w:ascii="Times New Roman" w:cs="Times New Roman" w:eastAsia="Times New Roman" w:hAnsi="Times New Roman"/>
                <w:sz w:val="14"/>
                <w:szCs w:val="14"/>
                <w:b w:val="1"/>
                <w:bCs w:val="1"/>
                <w:color w:val="auto"/>
              </w:rPr>
              <w:t>(d)</w:t>
            </w:r>
          </w:p>
        </w:tc>
        <w:tc>
          <w:tcPr>
            <w:tcW w:w="1580" w:type="dxa"/>
            <w:vAlign w:val="bottom"/>
            <w:gridSpan w:val="2"/>
          </w:tcPr>
          <w:p>
            <w:pPr>
              <w:jc w:val="right"/>
              <w:ind w:right="1080"/>
              <w:spacing w:after="0" w:line="129" w:lineRule="exact"/>
              <w:rPr>
                <w:sz w:val="20"/>
                <w:szCs w:val="20"/>
                <w:color w:val="auto"/>
              </w:rPr>
            </w:pPr>
            <w:r>
              <w:rPr>
                <w:rFonts w:ascii="Times New Roman" w:cs="Times New Roman" w:eastAsia="Times New Roman" w:hAnsi="Times New Roman"/>
                <w:sz w:val="14"/>
                <w:szCs w:val="14"/>
                <w:b w:val="1"/>
                <w:bCs w:val="1"/>
                <w:color w:val="auto"/>
              </w:rPr>
              <w:t>(g)</w:t>
            </w:r>
          </w:p>
        </w:tc>
        <w:tc>
          <w:tcPr>
            <w:tcW w:w="7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Keith Bradley</w:t>
            </w: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83,071</w:t>
            </w: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125,013</w:t>
            </w:r>
          </w:p>
        </w:tc>
        <w:tc>
          <w:tcPr>
            <w:tcW w:w="7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Caruso</w:t>
            </w:r>
          </w:p>
        </w:tc>
        <w:tc>
          <w:tcPr>
            <w:tcW w:w="100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7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M. Essig</w:t>
            </w:r>
          </w:p>
        </w:tc>
        <w:tc>
          <w:tcPr>
            <w:tcW w:w="26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89,131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175,018</w:t>
            </w:r>
          </w:p>
        </w:tc>
        <w:tc>
          <w:tcPr>
            <w:tcW w:w="7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B. Hill(6)</w:t>
            </w:r>
          </w:p>
        </w:tc>
        <w:tc>
          <w:tcPr>
            <w:tcW w:w="100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7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 W. Howell, Jr.(7)</w:t>
            </w:r>
          </w:p>
        </w:tc>
        <w:tc>
          <w:tcPr>
            <w:tcW w:w="26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18,750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7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Morel, Jr.(8)</w:t>
            </w:r>
          </w:p>
        </w:tc>
        <w:tc>
          <w:tcPr>
            <w:tcW w:w="26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26,698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93,780</w:t>
            </w:r>
          </w:p>
        </w:tc>
        <w:tc>
          <w:tcPr>
            <w:tcW w:w="7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Neal Moszkowski(9)</w:t>
            </w:r>
          </w:p>
        </w:tc>
        <w:tc>
          <w:tcPr>
            <w:tcW w:w="26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47,283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7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G. Murphy</w:t>
            </w:r>
          </w:p>
        </w:tc>
        <w:tc>
          <w:tcPr>
            <w:tcW w:w="26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9,090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7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S. Schade</w:t>
            </w:r>
          </w:p>
        </w:tc>
        <w:tc>
          <w:tcPr>
            <w:tcW w:w="26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83,071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125,013</w:t>
            </w:r>
          </w:p>
        </w:tc>
        <w:tc>
          <w:tcPr>
            <w:tcW w:w="7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Sullivan</w:t>
            </w:r>
          </w:p>
        </w:tc>
        <w:tc>
          <w:tcPr>
            <w:tcW w:w="26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103,186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125,013</w:t>
            </w:r>
          </w:p>
        </w:tc>
        <w:tc>
          <w:tcPr>
            <w:tcW w:w="7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M. VanLent(10)</w:t>
            </w:r>
          </w:p>
        </w:tc>
        <w:tc>
          <w:tcPr>
            <w:tcW w:w="26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28,533</w:t>
            </w:r>
          </w:p>
        </w:tc>
        <w:tc>
          <w:tcPr>
            <w:tcW w:w="1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earned for 2013, but not paid until 2014.</w:t>
      </w:r>
    </w:p>
    <w:p>
      <w:pPr>
        <w:spacing w:after="0" w:line="90"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FASB ASC Topic 718, based on the closing price of the Company’s common stock on the grant date.</w:t>
      </w:r>
    </w:p>
    <w:p>
      <w:pPr>
        <w:spacing w:after="0" w:line="38" w:lineRule="exact"/>
        <w:rPr>
          <w:rFonts w:ascii="Times New Roman" w:cs="Times New Roman" w:eastAsia="Times New Roman" w:hAnsi="Times New Roman"/>
          <w:sz w:val="18"/>
          <w:szCs w:val="18"/>
          <w:color w:val="auto"/>
        </w:rPr>
      </w:pPr>
    </w:p>
    <w:p>
      <w:pPr>
        <w:ind w:left="460" w:right="220" w:hanging="452"/>
        <w:spacing w:after="0" w:line="310" w:lineRule="auto"/>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outstanding as of December 31, 2013 for each director consisted of restricted shares of common stock, as follows: Keith Bradley — 1,712; Richard E. Caruso — 2,739; Stuart M. Essig — 2,397; Barbara B. Hill — 2,739; Lloyd W. Howell, Jr. — 2,895; Donald E. Morel, Jr. — 1,705; Neal Moszkowski — 0; Raymond G. Murphy — 2,739; Christian S. Schade — 1,712; James M. Sullivan — 1,712 and Anne M. VanLent — 0.</w:t>
      </w:r>
    </w:p>
    <w:p>
      <w:pPr>
        <w:spacing w:after="0" w:line="16" w:lineRule="exact"/>
        <w:rPr>
          <w:rFonts w:ascii="Times New Roman" w:cs="Times New Roman" w:eastAsia="Times New Roman" w:hAnsi="Times New Roman"/>
          <w:sz w:val="16"/>
          <w:szCs w:val="16"/>
          <w:color w:val="auto"/>
        </w:rPr>
      </w:pPr>
    </w:p>
    <w:p>
      <w:pPr>
        <w:ind w:left="460" w:right="60" w:hanging="452"/>
        <w:spacing w:after="0" w:line="258"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2013.</w:t>
      </w:r>
    </w:p>
    <w:p>
      <w:pPr>
        <w:spacing w:after="0" w:line="55" w:lineRule="exact"/>
        <w:rPr>
          <w:rFonts w:ascii="Times New Roman" w:cs="Times New Roman" w:eastAsia="Times New Roman" w:hAnsi="Times New Roman"/>
          <w:sz w:val="18"/>
          <w:szCs w:val="18"/>
          <w:color w:val="auto"/>
        </w:rPr>
      </w:pPr>
    </w:p>
    <w:p>
      <w:pPr>
        <w:ind w:left="460" w:right="320" w:hanging="452"/>
        <w:spacing w:after="0" w:line="262"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options held by each director as of December 31, 2013 was as follows: Keith Bradley — 7,500; Richard E. Caruso — 59,366; Stuart M. Essig — 1,175,000; Barbara B. Hill — 0; Lloyd W. Howell, Jr. — 0; Donald E. Morel, Jr. — 0; Neal Moszkowski — 24,470; Raymond G. Murphy — 7,500; Christian S. Schade — 30,000; James M. Sullivan — 20,039 and Anne M. VanLent — 0.</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Hill joined the Company’s Board of Directors on May 22, 2013.</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Howell joined the Company’s Board of Directors on March 18, 2013.</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Morel joined the Company’s Board of Directors on August 27, 2013.</w:t>
      </w:r>
    </w:p>
    <w:p>
      <w:pPr>
        <w:spacing w:after="0" w:line="90"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27, 2013, Mr. Moszkowski resigned as a member of the Company’s Board of Directors. On May 22, 2013, he was granted 3,425 shares of restricted stock with a value of $125,013. However, because of Mr. Moszkowski’s resignation on August 27, 2013, 2,568 shares of restricted stock were forfeited.</w:t>
      </w:r>
    </w:p>
    <w:p>
      <w:pPr>
        <w:spacing w:after="0" w:line="51"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VanLent’s term ended on May 22, 2013 as a result of her decision not to stand for re-election to the Company’s Board of Directors at the Company’s 2013 Annual Meeting of stockholders.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2" w:lineRule="exact"/>
        <w:rPr>
          <w:sz w:val="20"/>
          <w:szCs w:val="20"/>
          <w:color w:val="auto"/>
        </w:rPr>
      </w:pPr>
    </w:p>
    <w:p>
      <w:pPr>
        <w:ind w:right="9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2013 regarding existing compensation plans (including individual compensation arrangements) under which equity securities of the Company are authorized for issuance: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90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5"/>
              </w:rPr>
              <w:t>Number of Securities to be</w:t>
            </w:r>
          </w:p>
        </w:tc>
        <w:tc>
          <w:tcPr>
            <w:tcW w:w="80" w:type="dxa"/>
            <w:vAlign w:val="bottom"/>
          </w:tcPr>
          <w:p>
            <w:pPr>
              <w:spacing w:after="0"/>
              <w:rPr>
                <w:sz w:val="13"/>
                <w:szCs w:val="13"/>
                <w:color w:val="auto"/>
              </w:rPr>
            </w:pPr>
          </w:p>
        </w:tc>
        <w:tc>
          <w:tcPr>
            <w:tcW w:w="254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00" w:type="dxa"/>
            <w:vAlign w:val="bottom"/>
            <w:gridSpan w:val="2"/>
          </w:tcPr>
          <w:p>
            <w:pPr>
              <w:jc w:val="center"/>
              <w:ind w:right="1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Issued Upon Exercise of</w:t>
            </w:r>
          </w:p>
        </w:tc>
        <w:tc>
          <w:tcPr>
            <w:tcW w:w="80" w:type="dxa"/>
            <w:vAlign w:val="bottom"/>
          </w:tcPr>
          <w:p>
            <w:pPr>
              <w:spacing w:after="0"/>
              <w:rPr>
                <w:sz w:val="12"/>
                <w:szCs w:val="12"/>
                <w:color w:val="auto"/>
              </w:rPr>
            </w:pPr>
          </w:p>
        </w:tc>
        <w:tc>
          <w:tcPr>
            <w:tcW w:w="2540" w:type="dxa"/>
            <w:vAlign w:val="bottom"/>
            <w:gridSpan w:val="2"/>
          </w:tcPr>
          <w:p>
            <w:pPr>
              <w:jc w:val="center"/>
              <w:ind w:right="1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000" w:type="dxa"/>
            <w:vAlign w:val="bottom"/>
            <w:vMerge w:val="restart"/>
          </w:tcPr>
          <w:p>
            <w:pPr>
              <w:spacing w:after="0"/>
              <w:rPr>
                <w:sz w:val="12"/>
                <w:szCs w:val="12"/>
                <w:color w:val="auto"/>
              </w:rPr>
            </w:pPr>
          </w:p>
        </w:tc>
        <w:tc>
          <w:tcPr>
            <w:tcW w:w="2900" w:type="dxa"/>
            <w:vAlign w:val="bottom"/>
            <w:gridSpan w:val="2"/>
          </w:tcPr>
          <w:p>
            <w:pPr>
              <w:jc w:val="center"/>
              <w:ind w:right="1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2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 Under</w:t>
            </w:r>
          </w:p>
        </w:tc>
        <w:tc>
          <w:tcPr>
            <w:tcW w:w="0" w:type="dxa"/>
            <w:vAlign w:val="bottom"/>
          </w:tcPr>
          <w:p>
            <w:pPr>
              <w:spacing w:after="0"/>
              <w:rPr>
                <w:sz w:val="1"/>
                <w:szCs w:val="1"/>
                <w:color w:val="auto"/>
              </w:rPr>
            </w:pPr>
          </w:p>
        </w:tc>
      </w:tr>
      <w:tr>
        <w:trPr>
          <w:trHeight w:val="172"/>
        </w:trPr>
        <w:tc>
          <w:tcPr>
            <w:tcW w:w="88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900" w:type="dxa"/>
            <w:vAlign w:val="bottom"/>
            <w:gridSpan w:val="2"/>
          </w:tcPr>
          <w:p>
            <w:pPr>
              <w:jc w:val="center"/>
              <w:ind w:right="13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Warrants and Rights</w:t>
            </w:r>
          </w:p>
        </w:tc>
        <w:tc>
          <w:tcPr>
            <w:tcW w:w="262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2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Equity Compensation Plans(1)</w:t>
            </w:r>
          </w:p>
        </w:tc>
        <w:tc>
          <w:tcPr>
            <w:tcW w:w="0" w:type="dxa"/>
            <w:vAlign w:val="bottom"/>
          </w:tcPr>
          <w:p>
            <w:pPr>
              <w:spacing w:after="0"/>
              <w:rPr>
                <w:sz w:val="1"/>
                <w:szCs w:val="1"/>
                <w:color w:val="auto"/>
              </w:rPr>
            </w:pPr>
          </w:p>
        </w:tc>
      </w:tr>
      <w:tr>
        <w:trPr>
          <w:trHeight w:val="175"/>
        </w:trPr>
        <w:tc>
          <w:tcPr>
            <w:tcW w:w="38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5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by stockholders</w:t>
            </w:r>
          </w:p>
        </w:tc>
        <w:tc>
          <w:tcPr>
            <w:tcW w:w="29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2,007,068(2)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5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37.97(3)</w:t>
            </w:r>
          </w:p>
        </w:tc>
        <w:tc>
          <w:tcPr>
            <w:tcW w:w="20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3,011,222(4)</w:t>
            </w:r>
          </w:p>
        </w:tc>
        <w:tc>
          <w:tcPr>
            <w:tcW w:w="0" w:type="dxa"/>
            <w:vAlign w:val="bottom"/>
          </w:tcPr>
          <w:p>
            <w:pPr>
              <w:spacing w:after="0"/>
              <w:rPr>
                <w:sz w:val="1"/>
                <w:szCs w:val="1"/>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2,007,068</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25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37.97</w:t>
            </w:r>
          </w:p>
        </w:tc>
        <w:tc>
          <w:tcPr>
            <w:tcW w:w="20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3,011,222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9436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5"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securities to be issued upon the exercise of outstanding options, warrants and rights.</w:t>
      </w:r>
    </w:p>
    <w:p>
      <w:pPr>
        <w:spacing w:after="0" w:line="90" w:lineRule="exact"/>
        <w:rPr>
          <w:rFonts w:ascii="Times New Roman" w:cs="Times New Roman" w:eastAsia="Times New Roman" w:hAnsi="Times New Roman"/>
          <w:sz w:val="18"/>
          <w:szCs w:val="18"/>
          <w:color w:val="auto"/>
        </w:rPr>
      </w:pPr>
    </w:p>
    <w:p>
      <w:pPr>
        <w:ind w:left="340" w:right="160" w:hanging="332"/>
        <w:spacing w:after="0" w:line="285" w:lineRule="auto"/>
        <w:tabs>
          <w:tab w:leader="none" w:pos="3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10,841 shares of common stock underlying unvested Restricted Stock Units, (b) 103,078 shares of common stock underlying outstanding unvested contract stock, (c) 117,950 shares of common stock underlying outstanding unvested options, (d) 81,349 shares underlying unvested Performance Stock Units, (e) 172,741 shares underlying vested and deferred contract stock and (f) 1,521,109 shares of common stock underlying outstanding vested options. Of these amounts, the following securities are issuable under the 2003 Plan: (a) 10,841 shares of common stock underlying Restricted Stock Units,</w:t>
      </w:r>
    </w:p>
    <w:p>
      <w:pPr>
        <w:spacing w:after="0" w:line="2" w:lineRule="exact"/>
        <w:rPr>
          <w:rFonts w:ascii="Times New Roman" w:cs="Times New Roman" w:eastAsia="Times New Roman" w:hAnsi="Times New Roman"/>
          <w:sz w:val="16"/>
          <w:szCs w:val="16"/>
          <w:color w:val="auto"/>
        </w:rPr>
      </w:pPr>
    </w:p>
    <w:p>
      <w:pPr>
        <w:ind w:left="600" w:hanging="254"/>
        <w:spacing w:after="0"/>
        <w:tabs>
          <w:tab w:leader="none" w:pos="6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81,349 shares of common stock underlying outstanding Performance Stock Units, (c) 275,819 shares of common stock underlying contract stock and</w:t>
      </w:r>
    </w:p>
    <w:p>
      <w:pPr>
        <w:spacing w:after="0" w:line="9" w:lineRule="exact"/>
        <w:rPr>
          <w:rFonts w:ascii="Times New Roman" w:cs="Times New Roman" w:eastAsia="Times New Roman" w:hAnsi="Times New Roman"/>
          <w:sz w:val="18"/>
          <w:szCs w:val="18"/>
          <w:color w:val="auto"/>
        </w:rPr>
      </w:pPr>
    </w:p>
    <w:p>
      <w:pPr>
        <w:ind w:left="600" w:hanging="254"/>
        <w:spacing w:after="0"/>
        <w:tabs>
          <w:tab w:leader="none" w:pos="6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1,586,663 shares of common stock underlying outstanding options.</w:t>
      </w:r>
    </w:p>
    <w:p>
      <w:pPr>
        <w:spacing w:after="0" w:line="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Restricted Stock Units, performance stock and contract stock, the weighted average exercise price is $37.97.</w:t>
      </w:r>
    </w:p>
    <w:p>
      <w:pPr>
        <w:spacing w:after="0" w:line="90" w:lineRule="exact"/>
        <w:rPr>
          <w:rFonts w:ascii="Times New Roman" w:cs="Times New Roman" w:eastAsia="Times New Roman" w:hAnsi="Times New Roman"/>
          <w:sz w:val="18"/>
          <w:szCs w:val="18"/>
          <w:color w:val="auto"/>
        </w:rPr>
      </w:pPr>
    </w:p>
    <w:p>
      <w:pPr>
        <w:ind w:left="340" w:right="300" w:hanging="332"/>
        <w:spacing w:after="0" w:line="275"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1,047,645 shares of common stock which remain available for issuance under the Employee Stock Purchase Plan and 1,963,577 shares which remain available for issuance under the other Approved Plans, including 1,929,667 shares under the 2003 Plan.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Dr. Bradley, Ms. Hill and Dr. Morel are the current members of the Compensation Committee. Mr. Moszkowski served as a member of the Compensation Committee until August 27, 2013 when he resigned from the Board of Directors. None of our current compensation committee members or Mr. Moszkowski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218" w:lineRule="exact"/>
        <w:rPr>
          <w:sz w:val="20"/>
          <w:szCs w:val="20"/>
          <w:color w:val="auto"/>
        </w:rPr>
      </w:pPr>
    </w:p>
    <w:p>
      <w:pPr>
        <w:ind w:right="3200" w:firstLine="3202"/>
        <w:spacing w:after="0" w:line="345"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Review and Approval of Related Person Transactions</w:t>
      </w:r>
    </w:p>
    <w:p>
      <w:pPr>
        <w:spacing w:after="0" w:line="1" w:lineRule="exact"/>
        <w:rPr>
          <w:sz w:val="20"/>
          <w:szCs w:val="20"/>
          <w:color w:val="auto"/>
        </w:rPr>
      </w:pPr>
    </w:p>
    <w:p>
      <w:pPr>
        <w:jc w:val="both"/>
        <w:ind w:right="300" w:firstLine="456"/>
        <w:spacing w:after="0" w:line="310" w:lineRule="auto"/>
        <w:rPr>
          <w:sz w:val="20"/>
          <w:szCs w:val="20"/>
          <w:color w:val="auto"/>
        </w:rPr>
      </w:pPr>
      <w:r>
        <w:rPr>
          <w:rFonts w:ascii="Times New Roman" w:cs="Times New Roman" w:eastAsia="Times New Roman" w:hAnsi="Times New Roman"/>
          <w:sz w:val="16"/>
          <w:szCs w:val="16"/>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6" w:lineRule="exact"/>
        <w:rPr>
          <w:sz w:val="20"/>
          <w:szCs w:val="20"/>
          <w:color w:val="auto"/>
        </w:rPr>
      </w:pPr>
    </w:p>
    <w:p>
      <w:pPr>
        <w:ind w:left="460" w:right="220" w:firstLine="443"/>
        <w:spacing w:after="0" w:line="275" w:lineRule="auto"/>
        <w:tabs>
          <w:tab w:leader="none" w:pos="11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since the beginning of the Company’s last fiscal year was, a director or executive officer of the Company or a nominee to become a director of the Company;</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be the beneficial owner of more than 5% of any class of the Company’s voting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hanging="237"/>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and</w:t>
      </w:r>
    </w:p>
    <w:p>
      <w:pPr>
        <w:spacing w:after="0" w:line="90" w:lineRule="exact"/>
        <w:rPr>
          <w:rFonts w:ascii="Times New Roman" w:cs="Times New Roman" w:eastAsia="Times New Roman" w:hAnsi="Times New Roman"/>
          <w:sz w:val="18"/>
          <w:szCs w:val="18"/>
          <w:color w:val="auto"/>
        </w:rPr>
      </w:pPr>
    </w:p>
    <w:p>
      <w:pPr>
        <w:ind w:left="460" w:right="240" w:firstLine="443"/>
        <w:spacing w:after="0" w:line="275" w:lineRule="auto"/>
        <w:tabs>
          <w:tab w:leader="none" w:pos="11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3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a director and a principal stockholder of the Company. Dr. Caruso is the President of Provco Industries. The Company paid $272,309 for rent of this facility for 2013.</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92"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22"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26, 2011, a copy of which is available on the Company’s website.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5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2013.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6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the Board of Directors that the audited financial statements of the Company for the fiscal year ended December 31, 2013 be included in the Company’s Annual Report on Form 10-K for such fiscal year, as filed with the Securities and Exchange Commission on February 27, 2014.</w:t>
      </w:r>
    </w:p>
    <w:p>
      <w:pPr>
        <w:spacing w:after="0" w:line="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3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RAYMOND G. MURPHY (CHAIR)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LLOYD W. HOWELL, JR.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CHRISTIAN S. SCHADE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JAMES M. SULLIVAN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February 28, 2014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440" w:type="dxa"/>
            <w:vAlign w:val="bottom"/>
            <w:vMerge w:val="restart"/>
          </w:tcPr>
          <w:p>
            <w:pPr>
              <w:spacing w:after="0"/>
              <w:rPr>
                <w:sz w:val="10"/>
                <w:szCs w:val="10"/>
                <w:color w:val="auto"/>
              </w:rPr>
            </w:pPr>
          </w:p>
        </w:tc>
        <w:tc>
          <w:tcPr>
            <w:tcW w:w="1640" w:type="dxa"/>
            <w:vAlign w:val="bottom"/>
            <w:gridSpan w:val="2"/>
          </w:tcPr>
          <w:p>
            <w:pPr>
              <w:jc w:val="right"/>
              <w:ind w:right="80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auto"/>
            </w:tcBorders>
            <w:gridSpan w:val="3"/>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1640" w:type="dxa"/>
            <w:vAlign w:val="bottom"/>
            <w:gridSpan w:val="2"/>
          </w:tcPr>
          <w:p>
            <w:pPr>
              <w:jc w:val="right"/>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 Owned(1)</w:t>
            </w:r>
          </w:p>
        </w:tc>
        <w:tc>
          <w:tcPr>
            <w:tcW w:w="400" w:type="dxa"/>
            <w:vAlign w:val="bottom"/>
          </w:tcPr>
          <w:p>
            <w:pPr>
              <w:spacing w:after="0"/>
              <w:rPr>
                <w:sz w:val="13"/>
                <w:szCs w:val="13"/>
                <w:color w:val="auto"/>
              </w:rPr>
            </w:pPr>
          </w:p>
        </w:tc>
        <w:tc>
          <w:tcPr>
            <w:tcW w:w="2040" w:type="dxa"/>
            <w:vAlign w:val="bottom"/>
            <w:gridSpan w:val="2"/>
          </w:tcPr>
          <w:p>
            <w:pPr>
              <w:jc w:val="right"/>
              <w:ind w:right="920"/>
              <w:spacing w:after="0" w:line="152" w:lineRule="exact"/>
              <w:rPr>
                <w:sz w:val="20"/>
                <w:szCs w:val="20"/>
                <w:color w:val="auto"/>
              </w:rPr>
            </w:pPr>
            <w:r>
              <w:rPr>
                <w:rFonts w:ascii="Times New Roman" w:cs="Times New Roman" w:eastAsia="Times New Roman" w:hAnsi="Times New Roman"/>
                <w:sz w:val="14"/>
                <w:szCs w:val="14"/>
                <w:b w:val="1"/>
                <w:bCs w:val="1"/>
                <w:color w:val="auto"/>
                <w:w w:val="94"/>
              </w:rPr>
              <w:t>Right to Acquire(2)</w:t>
            </w:r>
          </w:p>
        </w:tc>
        <w:tc>
          <w:tcPr>
            <w:tcW w:w="1760" w:type="dxa"/>
            <w:vAlign w:val="bottom"/>
            <w:gridSpan w:val="2"/>
          </w:tcPr>
          <w:p>
            <w:pPr>
              <w:jc w:val="right"/>
              <w:ind w:right="124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486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J. Arduini</w:t>
            </w:r>
          </w:p>
        </w:tc>
        <w:tc>
          <w:tcPr>
            <w:tcW w:w="10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4"/>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8,758</w:t>
            </w:r>
          </w:p>
        </w:tc>
        <w:tc>
          <w:tcPr>
            <w:tcW w:w="60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040" w:type="dxa"/>
            <w:vAlign w:val="bottom"/>
            <w:gridSpan w:val="2"/>
            <w:shd w:val="clear" w:color="auto" w:fill="CCEEFF"/>
          </w:tcPr>
          <w:p>
            <w:pPr>
              <w:jc w:val="right"/>
              <w:ind w:right="720"/>
              <w:spacing w:after="0" w:line="203" w:lineRule="exact"/>
              <w:rPr>
                <w:sz w:val="20"/>
                <w:szCs w:val="20"/>
                <w:color w:val="auto"/>
              </w:rPr>
            </w:pPr>
            <w:r>
              <w:rPr>
                <w:rFonts w:ascii="Times New Roman" w:cs="Times New Roman" w:eastAsia="Times New Roman" w:hAnsi="Times New Roman"/>
                <w:sz w:val="18"/>
                <w:szCs w:val="18"/>
                <w:color w:val="auto"/>
              </w:rPr>
              <w:t>184,815(4)</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193,573</w:t>
            </w:r>
          </w:p>
        </w:tc>
        <w:tc>
          <w:tcPr>
            <w:tcW w:w="10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Keith Bradley, Ph.D</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8,527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Caruso, Ph.D</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6,156,240(5)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9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6,215,606(5)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Stuart M. Essig, Ph.D</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1,151,166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942,900</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2,094,066</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B. Hill</w:t>
            </w: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5,480</w:t>
            </w:r>
          </w:p>
        </w:tc>
        <w:tc>
          <w:tcPr>
            <w:tcW w:w="4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Lloyd W. Howell, Jr</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6,105</w:t>
            </w:r>
          </w:p>
        </w:tc>
        <w:tc>
          <w:tcPr>
            <w:tcW w:w="400" w:type="dxa"/>
            <w:vAlign w:val="bottom"/>
          </w:tcPr>
          <w:p>
            <w:pPr>
              <w:spacing w:after="0"/>
              <w:rPr>
                <w:sz w:val="18"/>
                <w:szCs w:val="18"/>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E. Morel, Jr., Ph.D.</w:t>
            </w: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2,274</w:t>
            </w:r>
          </w:p>
        </w:tc>
        <w:tc>
          <w:tcPr>
            <w:tcW w:w="4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Raymond G. Murphy</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19,904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S. Schade</w:t>
            </w: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11,902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34,402</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M. Sullivan</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17,096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 Henneman, III</w:t>
            </w: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63,611</w:t>
            </w:r>
          </w:p>
        </w:tc>
        <w:tc>
          <w:tcPr>
            <w:tcW w:w="24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50,000(6)</w:t>
            </w:r>
          </w:p>
        </w:tc>
        <w:tc>
          <w:tcPr>
            <w:tcW w:w="17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113,611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T. Davis, Jr.</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7,748</w:t>
            </w:r>
          </w:p>
        </w:tc>
        <w:tc>
          <w:tcPr>
            <w:tcW w:w="400" w:type="dxa"/>
            <w:vAlign w:val="bottom"/>
          </w:tcPr>
          <w:p>
            <w:pPr>
              <w:spacing w:after="0"/>
              <w:rPr>
                <w:sz w:val="18"/>
                <w:szCs w:val="18"/>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Gorelick</w:t>
            </w: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20,296</w:t>
            </w:r>
          </w:p>
        </w:tc>
        <w:tc>
          <w:tcPr>
            <w:tcW w:w="4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Brian Larkin</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10,256</w:t>
            </w:r>
          </w:p>
        </w:tc>
        <w:tc>
          <w:tcPr>
            <w:tcW w:w="400" w:type="dxa"/>
            <w:vAlign w:val="bottom"/>
          </w:tcPr>
          <w:p>
            <w:pPr>
              <w:spacing w:after="0"/>
              <w:rPr>
                <w:sz w:val="18"/>
                <w:szCs w:val="18"/>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All directors, nominees for director and executive officers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4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 a group (23 persons)</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7,592,396(7)</w:t>
            </w:r>
          </w:p>
        </w:tc>
        <w:tc>
          <w:tcPr>
            <w:tcW w:w="24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1,294,620(8)</w:t>
            </w: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8,887,016(7)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Provco Leasing Corporation</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1105 N. Market Street</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Suite 602</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4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Wilmington, DE 19801</w:t>
            </w: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6,014,543(9)</w:t>
            </w:r>
          </w:p>
        </w:tc>
        <w:tc>
          <w:tcPr>
            <w:tcW w:w="400" w:type="dxa"/>
            <w:vAlign w:val="bottom"/>
          </w:tcPr>
          <w:p>
            <w:pPr>
              <w:spacing w:after="0"/>
              <w:rPr>
                <w:sz w:val="19"/>
                <w:szCs w:val="19"/>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6,014,543(9)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860" w:type="dxa"/>
            <w:vAlign w:val="bottom"/>
            <w:gridSpan w:val="4"/>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Tru St Partnership, L.P.</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795 East Lancaster Avenue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Suite 200</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4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Villanova, PA 19085</w:t>
            </w: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5,991,205</w:t>
            </w:r>
          </w:p>
        </w:tc>
        <w:tc>
          <w:tcPr>
            <w:tcW w:w="4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5,991,205</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FMR LLC and Edward C. Johnson 3d</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245 Summer Street</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4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Boston, MA 02210</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4,747,108(10)</w:t>
            </w:r>
          </w:p>
        </w:tc>
        <w:tc>
          <w:tcPr>
            <w:tcW w:w="400" w:type="dxa"/>
            <w:vAlign w:val="bottom"/>
          </w:tcPr>
          <w:p>
            <w:pPr>
              <w:spacing w:after="0"/>
              <w:rPr>
                <w:sz w:val="19"/>
                <w:szCs w:val="19"/>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9"/>
              </w:rPr>
              <w:t>4,747,108(10)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860" w:type="dxa"/>
            <w:vAlign w:val="bottom"/>
            <w:gridSpan w:val="4"/>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BlackRock, Inc.</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 East 52nd Street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4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 NY 10022</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2,057,345(11)</w:t>
            </w:r>
          </w:p>
        </w:tc>
        <w:tc>
          <w:tcPr>
            <w:tcW w:w="4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9"/>
              </w:rPr>
              <w:t>2,057,345(11)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36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stock option exercises, restricted stock units or performance stock.</w:t>
      </w:r>
    </w:p>
    <w:p>
      <w:pPr>
        <w:spacing w:after="0" w:line="90" w:lineRule="exact"/>
        <w:rPr>
          <w:rFonts w:ascii="Times New Roman" w:cs="Times New Roman" w:eastAsia="Times New Roman" w:hAnsi="Times New Roman"/>
          <w:sz w:val="18"/>
          <w:szCs w:val="18"/>
          <w:color w:val="auto"/>
        </w:rPr>
      </w:pPr>
    </w:p>
    <w:p>
      <w:pPr>
        <w:ind w:left="460" w:right="80" w:hanging="452"/>
        <w:spacing w:after="0" w:line="262"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not outstanding but deemed beneficially owned by virtue of the right of an individual to acquire them within 60 days of February 28, 2014 upon the exercise of an option or other convertible security are treated as outstanding for purposes of determining beneficial ownership and the percentage beneficially owned by such individual.</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2014, we had 32,413,288 shares of common stock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 w:hanging="452"/>
        <w:spacing w:after="0" w:line="25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outstanding Restricted Stock Units awarded to Mr. Arduini in November 2010 which entitle him to an aggregate of 34,130 shares of common stock. These Restricted Stock Units vested on the grant date, but are not yet deliverable and do not give Mr. Arduini the right to acquire any shares within 60 days of February 28, 2014. Also excludes outstanding Restricted Stock Units awarded to Mr. Arduini in January 2012 which entitle him to an aggregate of 118,363 shares of common stock. 39,455 of such Restricted Stock Units vested on January 3, 2013 and 39,454 of such Restricted Stock Units vested on January 3, 2014, but are not yet deliverable and do not give Mr. Arduini the right to acquire any shares within 60 days of February 28, 2014. Also excludes outstanding Restricted Stock Units awarded to Mr. Arduini in February 2012 which entitle him to 4,537 shares of common stock. These Restricted Stock Units vested on February 21, 2013, but are not yet deliverable and do not give Mr. Arduini the right to acquire any shares within 60 days of February 28, 2014. Also excludes outstanding Restricted Stock Units awarded to Mr. Arduini in February 2012 which entitle him to an aggregate of 22,684 shares of common stock. 7,562 of such Restricted Stock Units vested on February 21, 2013 and 7,561 of such Restricted Stock Units vested on February 21, 2014, but are not yet deliverable and do not give Mr. Arduini the right to acquire any shares within 60 days of February 28, 2014. Also excludes outstanding Restricted Stock Units awarded to Mr. Arduini in March 2013 which entitle him to an aggregate of 7,644 shares of common stock. 2,548 of such Restricted Stock Units vested on March 25, 2014, but are not yet deliverable and do not give Mr. Arduini the right to acquire any shares within 60 days of February 28, 2014.</w:t>
      </w:r>
    </w:p>
    <w:p>
      <w:pPr>
        <w:spacing w:after="0" w:line="64" w:lineRule="exact"/>
        <w:rPr>
          <w:rFonts w:ascii="Times New Roman" w:cs="Times New Roman" w:eastAsia="Times New Roman" w:hAnsi="Times New Roman"/>
          <w:sz w:val="18"/>
          <w:szCs w:val="18"/>
          <w:color w:val="auto"/>
        </w:rPr>
      </w:pPr>
    </w:p>
    <w:p>
      <w:pPr>
        <w:ind w:left="460" w:hanging="452"/>
        <w:spacing w:after="0" w:line="293" w:lineRule="auto"/>
        <w:tabs>
          <w:tab w:leader="none" w:pos="4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5,991,205 shares held by Tru St Partnership, L.P., a Pennsylvania limited partnership (“Tru St”) (also see footnote 9 below). Also includes 23,338 shares held by Provco Leasing Corporation (“Provco”), of which Dr. Caruso is President and sole director and 98,146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43,551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29" w:lineRule="exact"/>
        <w:rPr>
          <w:rFonts w:ascii="Times New Roman" w:cs="Times New Roman" w:eastAsia="Times New Roman" w:hAnsi="Times New Roman"/>
          <w:sz w:val="16"/>
          <w:szCs w:val="16"/>
          <w:color w:val="auto"/>
        </w:rPr>
      </w:pPr>
    </w:p>
    <w:p>
      <w:pPr>
        <w:jc w:val="both"/>
        <w:ind w:left="460" w:right="280" w:hanging="452"/>
        <w:spacing w:after="0" w:line="26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outstanding Restricted Stock Units awarded to Mr. Henneman in December 2008 of which 44,439 units vested in December 2009 and 44,438 units vested in December 2010. These vested Restricted Stock Units are not yet deliverable and do not give the executive the right to acquire any shares within 60 days of February 28, 2014.</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5 above.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4 and 6 above.</w:t>
      </w:r>
    </w:p>
    <w:p>
      <w:pPr>
        <w:spacing w:after="0" w:line="90"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5,991,205 shares held by Tru St, of which Provco is the general corporate partner. Provco may be deemed to have shared voting and dispositive power over these shares. Also includes 23,338 shares of which Provco has sole voting and dispositive power.</w:t>
      </w:r>
    </w:p>
    <w:p>
      <w:pPr>
        <w:spacing w:after="0" w:line="38"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a holding company of investment companies, and Edward C. Johnson 3d each report beneficially owning and having sole dispositive power over 4,747,108 shares of which FMR LLC has sole voting power over 96 shares. Of the 4,747,108 shares, Fidelity Management &amp; Research Company (“Fidelity”), a wholly-owned subsidiary of FMR LLC and an investment adviser registered under Section 203 of the Investment Advisers Act of 1940 (the “1940 Act”), is the beneficial owner of 4,197,108 shares as a result of acting as an investment adviser to various investment companies registered under the 1940 Act, Fidelity SelectCo, LLC, a wholly-owned subsidiary of FMR LLC and an investment adviser registered under Section 203 of the 1940 Act owns 550,000 shares as a result of acting as an investment adviser to various investment companies registered under Section 8 of the 1940 Act, Fidelity Small Cap Discovery Fund (an investment company) owns 2,319,648 shares, Edward C. Johnson 3d and FMR LLC, through its control of Fidelity, and the funds each has sole dispositive power over 4,197,108 shares owned by the funds. Members of the family of Mr. Johnson, Chairman of FMR LLC, are the predominant owners, directly or through trusts, of Series B voting common shares of FMR LLC, representing 49% of the voting power of FMR LLC. The Johnson family group and all other Series B shareholders have entered into a</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shareholders’ voting agreement under which all 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14, 2014.</w:t>
      </w:r>
    </w:p>
    <w:p>
      <w:pPr>
        <w:spacing w:after="0" w:line="58" w:lineRule="exact"/>
        <w:rPr>
          <w:sz w:val="20"/>
          <w:szCs w:val="20"/>
          <w:color w:val="auto"/>
        </w:rPr>
      </w:pPr>
    </w:p>
    <w:p>
      <w:pPr>
        <w:ind w:left="460" w:right="60" w:hanging="452"/>
        <w:spacing w:after="0" w:line="26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has sole voting power of 1,995,743 shares and sole dispositive power over all of the 2,057,345 shares. The foregoing information has been included solely in reliance upon, and without independent investigation of, the disclosures contained in the Schedule 13G/A filed by BlackRock, Inc. with the Securities and Exchange Commission on January 29, 2014.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5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deadline for stockholders to submit proposals pursuant to Rule 14a-8 of the Exchange Act for inclusion in the Company’s proxy statement and form of proxy for the 2015 Annual Meeting of Stockholders is December 15, 2014. Such proposals must be sent to: Integra LifeSciences Holdings Corporation, 311 Enterprise Drive, Plainsboro, New Jersey 08536, Attention: Corporate Vice President, General Counsel, Administration and Secretary. The date after which notice of a stockholder proposal submitted outside of the processes of Rule 14a-8 of the Exchange Act is considered untimely is December 15, 2014. If notice of a stockholder proposal submitted outside of the processes of Rule 14a-8 of the Exchange is received by the Company after December 15, 2014, then the Company’s proxy for the 2015 Annual Meeting of Stockholders may confer discretionary authority to vote on such matter without any discussion of such matter in the proxy statement for such annual meeting of stockholders.</w:t>
      </w:r>
    </w:p>
    <w:p>
      <w:pPr>
        <w:spacing w:after="0" w:line="6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Bylaws require, among other things, that a stockholder may present a proposal at the 2015 Annual Meeting that is not included in the proxy statement if proper written notice is received by our Corporate Vice President, General Counsel, Administration and Secretary at our principal executive offices between January 20, 2015 and the close of business on February 19, 2015. The proposal must contain the specific information required by our Bylaws. You may obtain a copy of the Bylaws by writing to our Corporate Vice President, General Counsel, Administration and Secretary.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copy of the Company’s 2013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53"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2013 as filed with the Securities and Exchange Commission on February 27, 2014.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1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i w:val="1"/>
          <w:iCs w:val="1"/>
          <w:color w:val="auto"/>
        </w:rPr>
        <w:t>Richard D. Gorelick</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-130175</wp:posOffset>
            </wp:positionV>
            <wp:extent cx="27616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Corporate Vice President, General Counsel,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Administration and Secretary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Plainsboro,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2014</w:t>
      </w:r>
    </w:p>
    <w:p>
      <w:pPr>
        <w:spacing w:after="0" w:line="1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80"/>
          </w:cols>
          <w:pgMar w:left="240" w:top="455" w:right="3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tc>
      </w:tr>
      <w:tr>
        <w:trPr>
          <w:trHeight w:val="378"/>
        </w:trPr>
        <w:tc>
          <w:tcPr>
            <w:tcW w:w="20" w:type="dxa"/>
            <w:vAlign w:val="bottom"/>
          </w:tcPr>
          <w:p>
            <w:pPr>
              <w:spacing w:after="0"/>
              <w:rPr>
                <w:sz w:val="24"/>
                <w:szCs w:val="24"/>
                <w:color w:val="auto"/>
              </w:rPr>
            </w:pPr>
          </w:p>
        </w:tc>
        <w:tc>
          <w:tcPr>
            <w:tcW w:w="94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EBITDA and Adjusted EBITDA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(16,977)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27,620</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19,390</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19,345</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(7,813)</w:t>
            </w: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non-GAAP 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5"/>
              </w:rPr>
              <w:t>107,421</w:t>
            </w:r>
          </w:p>
        </w:tc>
      </w:tr>
      <w:tr>
        <w:trPr>
          <w:trHeight w:val="223"/>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126,393</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Manufacturing facility remediation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8,230</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Global ERP implementation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24,264</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8,793</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Certain employee termination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Discontinued product line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Acquisition-related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Certain expenses associated with product recalls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w:t>
            </w: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expense not included in adjustments above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non-GAAP adjustments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125,142</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155,925</w:t>
            </w:r>
          </w:p>
        </w:tc>
        <w:tc>
          <w:tcPr>
            <w:tcW w:w="100" w:type="dxa"/>
            <w:vAlign w:val="bottom"/>
            <w:shd w:val="clear" w:color="auto" w:fill="CCEEFF"/>
          </w:tcPr>
          <w:p>
            <w:pPr>
              <w:spacing w:after="0"/>
              <w:rPr>
                <w:sz w:val="18"/>
                <w:szCs w:val="18"/>
                <w:color w:val="auto"/>
              </w:rPr>
            </w:pPr>
          </w:p>
        </w:tc>
      </w:tr>
      <w:tr>
        <w:trPr>
          <w:trHeight w:val="22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166,346</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138,948</w:t>
            </w:r>
          </w:p>
        </w:tc>
        <w:tc>
          <w:tcPr>
            <w:tcW w:w="100" w:type="dxa"/>
            <w:vAlign w:val="bottom"/>
          </w:tcPr>
          <w:p>
            <w:pPr>
              <w:spacing w:after="0"/>
              <w:rPr>
                <w:sz w:val="19"/>
                <w:szCs w:val="19"/>
                <w:color w:val="auto"/>
              </w:rPr>
            </w:pPr>
          </w:p>
        </w:tc>
      </w:tr>
      <w:tr>
        <w:trPr>
          <w:trHeight w:val="362"/>
        </w:trPr>
        <w:tc>
          <w:tcPr>
            <w:tcW w:w="20" w:type="dxa"/>
            <w:vAlign w:val="bottom"/>
          </w:tcPr>
          <w:p>
            <w:pPr>
              <w:spacing w:after="0"/>
              <w:rPr>
                <w:sz w:val="24"/>
                <w:szCs w:val="24"/>
                <w:color w:val="auto"/>
              </w:rPr>
            </w:pPr>
          </w:p>
        </w:tc>
        <w:tc>
          <w:tcPr>
            <w:tcW w:w="940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A-1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4554855</wp:posOffset>
            </wp:positionV>
            <wp:extent cx="720090" cy="11061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090" cy="110617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5155565</wp:posOffset>
            </wp:positionV>
            <wp:extent cx="960755" cy="5060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60755" cy="50609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900"/>
        <w:spacing w:after="0"/>
        <w:tabs>
          <w:tab w:leader="none" w:pos="11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CARD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INTEGRA LIFESCIENCES HOLDINGS CORPORATION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311 ENTERPRISE DRIVE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PLAINSBORO, NEW JERSEY 08536</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 Annual Meeting of Stockholders - Tuesday, May 20, 2014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7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21"/>
          <w:szCs w:val="21"/>
          <w:color w:val="auto"/>
        </w:rPr>
        <w:t>The undersigned hereby appoints Peter J. Arduini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31, 2014 at the Annual Meeting of Stockholders to be held on Tuesday, May 20, 2014 or at any adjournment or postponement thereof.</w:t>
      </w:r>
    </w:p>
    <w:p>
      <w:pPr>
        <w:spacing w:after="0" w:line="59"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PROPOSALS 2 AND 3; FOR ALL NOMINEES LISTED FOR ELECTION OF DIRECTORS UNDER PROPOSAL 1; AND IN ACCORDANCE WITH THE PROXIES’ JUDGMENT UPON OTHER MATTERS PROPERLY COMING BEFORE THE MEETING AND ANY ADJOURNMENT OR POSTPONEMENT THEREOF.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5380" w:type="dxa"/>
            <w:vAlign w:val="bottom"/>
          </w:tcPr>
          <w:p>
            <w:pPr>
              <w:jc w:val="right"/>
              <w:ind w:right="5105"/>
              <w:spacing w:after="0"/>
              <w:rPr>
                <w:sz w:val="20"/>
                <w:szCs w:val="20"/>
                <w:color w:val="auto"/>
              </w:rPr>
            </w:pPr>
            <w:r>
              <w:rPr>
                <w:rFonts w:ascii="Times New Roman" w:cs="Times New Roman" w:eastAsia="Times New Roman" w:hAnsi="Times New Roman"/>
                <w:sz w:val="27"/>
                <w:szCs w:val="27"/>
                <w:b w:val="1"/>
                <w:bCs w:val="1"/>
                <w:color w:val="auto"/>
                <w:w w:val="88"/>
              </w:rPr>
              <w:t>¢</w:t>
            </w:r>
          </w:p>
        </w:tc>
        <w:tc>
          <w:tcPr>
            <w:tcW w:w="6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xml:space="preserve">14475 </w:t>
            </w:r>
            <w:r>
              <w:rPr>
                <w:rFonts w:ascii="Times New Roman" w:cs="Times New Roman" w:eastAsia="Times New Roman" w:hAnsi="Times New Roman"/>
                <w:sz w:val="27"/>
                <w:szCs w:val="27"/>
                <w:color w:val="auto"/>
              </w:rPr>
              <w:t>¢</w:t>
            </w:r>
          </w:p>
        </w:tc>
      </w:tr>
    </w:tbl>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 OF</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INTEGRA LIFESCIENCES HOLDINGS CORPORATION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20,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Notice of Meeting, proxy statement and proxy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available at http://investor.integralife.com/financials.cfm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Your vote is very important to 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3160" w:type="dxa"/>
            <w:vAlign w:val="bottom"/>
          </w:tcPr>
          <w:p>
            <w:pPr>
              <w:spacing w:after="0"/>
              <w:rPr>
                <w:sz w:val="24"/>
                <w:szCs w:val="24"/>
                <w:color w:val="auto"/>
              </w:rPr>
            </w:pPr>
          </w:p>
        </w:tc>
        <w:tc>
          <w:tcPr>
            <w:tcW w:w="4720" w:type="dxa"/>
            <w:vAlign w:val="bottom"/>
          </w:tcPr>
          <w:p>
            <w:pPr>
              <w:jc w:val="center"/>
              <w:ind w:left="256"/>
              <w:spacing w:after="0"/>
              <w:rPr>
                <w:sz w:val="20"/>
                <w:szCs w:val="20"/>
                <w:color w:val="auto"/>
              </w:rPr>
            </w:pPr>
            <w:r>
              <w:rPr>
                <w:rFonts w:ascii="Times New Roman" w:cs="Times New Roman" w:eastAsia="Times New Roman" w:hAnsi="Times New Roman"/>
                <w:sz w:val="32"/>
                <w:szCs w:val="32"/>
                <w:color w:val="auto"/>
              </w:rPr>
              <w:t>Please sign, date and mail</w:t>
            </w:r>
          </w:p>
        </w:tc>
      </w:tr>
      <w:tr>
        <w:trPr>
          <w:trHeight w:val="365"/>
        </w:trPr>
        <w:tc>
          <w:tcPr>
            <w:tcW w:w="3160" w:type="dxa"/>
            <w:vAlign w:val="bottom"/>
          </w:tcPr>
          <w:p>
            <w:pPr>
              <w:spacing w:after="0"/>
              <w:rPr>
                <w:sz w:val="24"/>
                <w:szCs w:val="24"/>
                <w:color w:val="auto"/>
              </w:rPr>
            </w:pPr>
          </w:p>
        </w:tc>
        <w:tc>
          <w:tcPr>
            <w:tcW w:w="4720" w:type="dxa"/>
            <w:vAlign w:val="bottom"/>
          </w:tcPr>
          <w:p>
            <w:pPr>
              <w:jc w:val="center"/>
              <w:ind w:left="256"/>
              <w:spacing w:after="0" w:line="364" w:lineRule="exact"/>
              <w:rPr>
                <w:sz w:val="20"/>
                <w:szCs w:val="20"/>
                <w:color w:val="auto"/>
              </w:rPr>
            </w:pPr>
            <w:r>
              <w:rPr>
                <w:rFonts w:ascii="Times New Roman" w:cs="Times New Roman" w:eastAsia="Times New Roman" w:hAnsi="Times New Roman"/>
                <w:sz w:val="32"/>
                <w:szCs w:val="32"/>
                <w:color w:val="auto"/>
              </w:rPr>
              <w:t>your proxy card in the</w:t>
            </w:r>
          </w:p>
        </w:tc>
      </w:tr>
      <w:tr>
        <w:trPr>
          <w:trHeight w:val="365"/>
        </w:trPr>
        <w:tc>
          <w:tcPr>
            <w:tcW w:w="3160" w:type="dxa"/>
            <w:vAlign w:val="bottom"/>
          </w:tcPr>
          <w:p>
            <w:pPr>
              <w:spacing w:after="0"/>
              <w:rPr>
                <w:sz w:val="24"/>
                <w:szCs w:val="24"/>
                <w:color w:val="auto"/>
              </w:rPr>
            </w:pPr>
          </w:p>
        </w:tc>
        <w:tc>
          <w:tcPr>
            <w:tcW w:w="4720" w:type="dxa"/>
            <w:vAlign w:val="bottom"/>
          </w:tcPr>
          <w:p>
            <w:pPr>
              <w:jc w:val="center"/>
              <w:ind w:left="256"/>
              <w:spacing w:after="0" w:line="364" w:lineRule="exact"/>
              <w:rPr>
                <w:sz w:val="20"/>
                <w:szCs w:val="20"/>
                <w:color w:val="auto"/>
              </w:rPr>
            </w:pPr>
            <w:r>
              <w:rPr>
                <w:rFonts w:ascii="Times New Roman" w:cs="Times New Roman" w:eastAsia="Times New Roman" w:hAnsi="Times New Roman"/>
                <w:sz w:val="32"/>
                <w:szCs w:val="32"/>
                <w:color w:val="auto"/>
              </w:rPr>
              <w:t>envelope provided as soon</w:t>
            </w:r>
          </w:p>
        </w:tc>
      </w:tr>
      <w:tr>
        <w:trPr>
          <w:trHeight w:val="423"/>
        </w:trPr>
        <w:tc>
          <w:tcPr>
            <w:tcW w:w="3160" w:type="dxa"/>
            <w:vAlign w:val="bottom"/>
          </w:tcPr>
          <w:p>
            <w:pPr>
              <w:spacing w:after="0"/>
              <w:rPr>
                <w:sz w:val="24"/>
                <w:szCs w:val="24"/>
                <w:color w:val="auto"/>
              </w:rPr>
            </w:pPr>
          </w:p>
        </w:tc>
        <w:tc>
          <w:tcPr>
            <w:tcW w:w="4720" w:type="dxa"/>
            <w:vAlign w:val="bottom"/>
          </w:tcPr>
          <w:p>
            <w:pPr>
              <w:jc w:val="center"/>
              <w:ind w:left="236"/>
              <w:spacing w:after="0"/>
              <w:rPr>
                <w:sz w:val="20"/>
                <w:szCs w:val="20"/>
                <w:color w:val="auto"/>
              </w:rPr>
            </w:pPr>
            <w:r>
              <w:rPr>
                <w:rFonts w:ascii="Times New Roman" w:cs="Times New Roman" w:eastAsia="Times New Roman" w:hAnsi="Times New Roman"/>
                <w:sz w:val="32"/>
                <w:szCs w:val="32"/>
                <w:color w:val="auto"/>
              </w:rPr>
              <w:t>as possible.</w:t>
            </w:r>
          </w:p>
        </w:tc>
      </w:tr>
      <w:tr>
        <w:trPr>
          <w:trHeight w:val="670"/>
        </w:trPr>
        <w:tc>
          <w:tcPr>
            <w:tcW w:w="3160" w:type="dxa"/>
            <w:vAlign w:val="bottom"/>
          </w:tcPr>
          <w:p>
            <w:pPr>
              <w:spacing w:after="0"/>
              <w:rPr>
                <w:sz w:val="24"/>
                <w:szCs w:val="24"/>
                <w:color w:val="auto"/>
              </w:rPr>
            </w:pPr>
          </w:p>
        </w:tc>
        <w:tc>
          <w:tcPr>
            <w:tcW w:w="4720" w:type="dxa"/>
            <w:vAlign w:val="bottom"/>
          </w:tcPr>
          <w:p>
            <w:pPr>
              <w:jc w:val="center"/>
              <w:ind w:left="256"/>
              <w:spacing w:after="0"/>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4"/>
                <w:szCs w:val="14"/>
                <w:color w:val="auto"/>
              </w:rPr>
              <w:t>Please detach along perforated line and mail in the envelope provided.</w:t>
            </w:r>
            <w:r>
              <w:rPr>
                <w:rFonts w:ascii="Times New Roman" w:cs="Times New Roman" w:eastAsia="Times New Roman" w:hAnsi="Times New Roman"/>
                <w:sz w:val="22"/>
                <w:szCs w:val="22"/>
                <w:color w:val="auto"/>
              </w:rPr>
              <w:t xml:space="preserve"> i</w:t>
            </w:r>
          </w:p>
        </w:tc>
      </w:tr>
      <w:tr>
        <w:trPr>
          <w:trHeight w:val="540"/>
        </w:trPr>
        <w:tc>
          <w:tcPr>
            <w:tcW w:w="3160" w:type="dxa"/>
            <w:vAlign w:val="bottom"/>
          </w:tcPr>
          <w:p>
            <w:pPr>
              <w:jc w:val="right"/>
              <w:ind w:right="254"/>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1"/>
                <w:szCs w:val="21"/>
                <w:color w:val="auto"/>
              </w:rPr>
              <w:t>00003333333333330000  6</w:t>
            </w:r>
          </w:p>
        </w:tc>
        <w:tc>
          <w:tcPr>
            <w:tcW w:w="4720" w:type="dxa"/>
            <w:vAlign w:val="bottom"/>
          </w:tcPr>
          <w:p>
            <w:pPr>
              <w:jc w:val="right"/>
              <w:ind w:right="1136"/>
              <w:spacing w:after="0"/>
              <w:rPr>
                <w:sz w:val="20"/>
                <w:szCs w:val="20"/>
                <w:color w:val="auto"/>
              </w:rPr>
            </w:pPr>
            <w:r>
              <w:rPr>
                <w:rFonts w:ascii="Times New Roman" w:cs="Times New Roman" w:eastAsia="Times New Roman" w:hAnsi="Times New Roman"/>
                <w:sz w:val="22"/>
                <w:szCs w:val="22"/>
                <w:color w:val="auto"/>
              </w:rPr>
              <w:t>052014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ALL THE NOMINEES LISTED AND “FOR” PROPOSALS 2 AND 3.</w:t>
      </w:r>
    </w:p>
    <w:p>
      <w:pPr>
        <w:spacing w:after="0" w:line="8" w:lineRule="exact"/>
        <w:rPr>
          <w:sz w:val="20"/>
          <w:szCs w:val="20"/>
          <w:color w:val="auto"/>
        </w:rPr>
      </w:pPr>
    </w:p>
    <w:p>
      <w:pPr>
        <w:jc w:val="center"/>
        <w:spacing w:after="0" w:line="230" w:lineRule="exact"/>
        <w:rPr>
          <w:sz w:val="20"/>
          <w:szCs w:val="20"/>
          <w:color w:val="auto"/>
        </w:rPr>
      </w:pPr>
      <w:r>
        <w:rPr>
          <w:rFonts w:ascii="Times New Roman" w:cs="Times New Roman" w:eastAsia="Times New Roman" w:hAnsi="Times New Roman"/>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44938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493895"/>
                    </a:xfrm>
                    <a:prstGeom prst="rect">
                      <a:avLst/>
                    </a:prstGeom>
                    <a:noFill/>
                  </pic:spPr>
                </pic:pic>
              </a:graphicData>
            </a:graphic>
          </wp:anchor>
        </w:drawing>
      </w:r>
    </w:p>
    <w:p>
      <w:pPr>
        <w:sectPr>
          <w:pgSz w:w="11900" w:h="16838" w:orient="portrait"/>
          <w:cols w:equalWidth="0" w:num="1">
            <w:col w:w="11440"/>
          </w:cols>
          <w:pgMar w:left="240" w:top="455" w:right="219" w:bottom="0" w:gutter="0" w:footer="0" w:header="0"/>
        </w:sectPr>
      </w:pPr>
    </w:p>
    <w:p>
      <w:pPr>
        <w:spacing w:after="0" w:line="299" w:lineRule="exact"/>
        <w:rPr>
          <w:sz w:val="20"/>
          <w:szCs w:val="20"/>
          <w:color w:val="auto"/>
        </w:rPr>
      </w:pPr>
    </w:p>
    <w:p>
      <w:pPr>
        <w:ind w:right="540"/>
        <w:spacing w:after="0" w:line="236" w:lineRule="auto"/>
        <w:rPr>
          <w:sz w:val="20"/>
          <w:szCs w:val="20"/>
          <w:color w:val="auto"/>
        </w:rPr>
      </w:pPr>
      <w:r>
        <w:rPr>
          <w:rFonts w:ascii="Times New Roman" w:cs="Times New Roman" w:eastAsia="Times New Roman" w:hAnsi="Times New Roman"/>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w:t>
      </w:r>
    </w:p>
    <w:p>
      <w:pPr>
        <w:spacing w:after="0" w:line="157" w:lineRule="exact"/>
        <w:rPr>
          <w:sz w:val="20"/>
          <w:szCs w:val="20"/>
          <w:color w:val="auto"/>
        </w:rPr>
      </w:pPr>
      <w:r>
        <w:rPr>
          <w:rFonts w:ascii="Times New Roman" w:cs="Times New Roman" w:eastAsia="Times New Roman" w:hAnsi="Times New Roman"/>
          <w:sz w:val="12"/>
          <w:szCs w:val="12"/>
          <w:color w:val="auto"/>
        </w:rPr>
        <w:t xml:space="preserve">indicate your new address in the address space above. Please note that </w:t>
      </w:r>
      <w:r>
        <w:rPr>
          <w:rFonts w:ascii="MS PGothic" w:cs="MS PGothic" w:eastAsia="MS PGothic" w:hAnsi="MS PGothic"/>
          <w:sz w:val="24"/>
          <w:szCs w:val="24"/>
          <w:color w:val="auto"/>
        </w:rPr>
        <w:t>☐</w:t>
      </w:r>
      <w:r>
        <w:rPr>
          <w:rFonts w:ascii="Times New Roman" w:cs="Times New Roman" w:eastAsia="Times New Roman" w:hAnsi="Times New Roman"/>
          <w:sz w:val="12"/>
          <w:szCs w:val="12"/>
          <w:color w:val="auto"/>
        </w:rPr>
        <w:t xml:space="preserve"> changes to the registered name(s) on the account may not be submitted via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method.</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1.  The Election of Directors:</w:t>
      </w:r>
    </w:p>
    <w:p>
      <w:pPr>
        <w:spacing w:after="0" w:line="393"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Peter J. Arduini</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Keith Bradley</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Richard E. Caruso</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Stuart M. Essig</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Barbara B. Hill</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Lloyd W. Howell, Jr.</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Donald E. Morel, Jr.</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Raymond G. Murphy</w:t>
      </w:r>
    </w:p>
    <w:p>
      <w:pPr>
        <w:spacing w:after="0" w:line="271"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Christian S. Schade</w:t>
      </w:r>
    </w:p>
    <w:p>
      <w:pPr>
        <w:spacing w:after="0" w:line="339"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4"/>
          <w:szCs w:val="14"/>
          <w:color w:val="auto"/>
        </w:rPr>
        <w:t>James M. Sullivan</w:t>
      </w:r>
    </w:p>
    <w:p>
      <w:pPr>
        <w:spacing w:after="0" w:line="271" w:lineRule="exact"/>
        <w:rPr>
          <w:sz w:val="20"/>
          <w:szCs w:val="20"/>
          <w:color w:val="auto"/>
        </w:rPr>
      </w:pPr>
    </w:p>
    <w:p>
      <w:pPr>
        <w:ind w:left="222" w:right="40" w:hanging="222"/>
        <w:spacing w:after="0" w:line="241" w:lineRule="auto"/>
        <w:tabs>
          <w:tab w:leader="none" w:pos="22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Proposal to ratify the appointment of PricewaterhouseCoopers LLP as the Company’s independent registered public accounting firm for the fiscal year 2014;</w:t>
      </w:r>
    </w:p>
    <w:p>
      <w:pPr>
        <w:spacing w:after="0" w:line="217" w:lineRule="exact"/>
        <w:rPr>
          <w:rFonts w:ascii="Times New Roman" w:cs="Times New Roman" w:eastAsia="Times New Roman" w:hAnsi="Times New Roman"/>
          <w:sz w:val="14"/>
          <w:szCs w:val="14"/>
          <w:color w:val="auto"/>
        </w:rPr>
      </w:pPr>
    </w:p>
    <w:p>
      <w:pPr>
        <w:ind w:left="222" w:hanging="222"/>
        <w:spacing w:after="0" w:line="262" w:lineRule="auto"/>
        <w:tabs>
          <w:tab w:leader="none" w:pos="22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non-binding resolution to approve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tabs>
          <w:tab w:leader="none" w:pos="440" w:val="left"/>
          <w:tab w:leader="none" w:pos="1020" w:val="left"/>
        </w:tabs>
        <w:rPr>
          <w:sz w:val="20"/>
          <w:szCs w:val="20"/>
          <w:color w:val="auto"/>
        </w:rPr>
      </w:pPr>
      <w:r>
        <w:rPr>
          <w:rFonts w:ascii="Times New Roman" w:cs="Times New Roman" w:eastAsia="Times New Roman" w:hAnsi="Times New Roman"/>
          <w:sz w:val="11"/>
          <w:szCs w:val="11"/>
          <w:color w:val="auto"/>
        </w:rPr>
        <w:t>FOR</w:t>
      </w:r>
      <w:r>
        <w:rPr>
          <w:sz w:val="20"/>
          <w:szCs w:val="20"/>
          <w:color w:val="auto"/>
        </w:rPr>
        <w:tab/>
      </w:r>
      <w:r>
        <w:rPr>
          <w:rFonts w:ascii="Times New Roman" w:cs="Times New Roman" w:eastAsia="Times New Roman" w:hAnsi="Times New Roman"/>
          <w:sz w:val="11"/>
          <w:szCs w:val="11"/>
          <w:color w:val="auto"/>
        </w:rPr>
        <w:t>AGAINST</w:t>
      </w:r>
      <w:r>
        <w:rPr>
          <w:sz w:val="20"/>
          <w:szCs w:val="20"/>
          <w:color w:val="auto"/>
        </w:rPr>
        <w:tab/>
      </w:r>
      <w:r>
        <w:rPr>
          <w:rFonts w:ascii="Times New Roman" w:cs="Times New Roman" w:eastAsia="Times New Roman" w:hAnsi="Times New Roman"/>
          <w:sz w:val="10"/>
          <w:szCs w:val="10"/>
          <w:color w:val="auto"/>
        </w:rPr>
        <w:t>ABSTAIN</w:t>
      </w:r>
    </w:p>
    <w:p>
      <w:pPr>
        <w:spacing w:after="0" w:line="14"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98"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7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12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90"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200" w:lineRule="exact"/>
        <w:rPr>
          <w:sz w:val="20"/>
          <w:szCs w:val="20"/>
          <w:color w:val="auto"/>
        </w:rPr>
      </w:pPr>
    </w:p>
    <w:p>
      <w:pPr>
        <w:spacing w:after="0" w:line="232" w:lineRule="exact"/>
        <w:rPr>
          <w:sz w:val="20"/>
          <w:szCs w:val="20"/>
          <w:color w:val="auto"/>
        </w:rPr>
      </w:pPr>
    </w:p>
    <w:p>
      <w:pPr>
        <w:ind w:left="20"/>
        <w:spacing w:after="0" w:line="361" w:lineRule="exact"/>
        <w:rPr>
          <w:sz w:val="20"/>
          <w:szCs w:val="20"/>
          <w:color w:val="auto"/>
        </w:rPr>
      </w:pPr>
      <w:r>
        <w:rPr>
          <w:rFonts w:ascii="MS PGothic" w:cs="MS PGothic" w:eastAsia="MS PGothic" w:hAnsi="MS PGothic"/>
          <w:sz w:val="36"/>
          <w:szCs w:val="36"/>
          <w:color w:val="auto"/>
        </w:rPr>
        <w:t>☐ ☐ ☐</w:t>
      </w:r>
    </w:p>
    <w:p>
      <w:pPr>
        <w:spacing w:after="0" w:line="985" w:lineRule="exact"/>
        <w:rPr>
          <w:sz w:val="20"/>
          <w:szCs w:val="20"/>
          <w:color w:val="auto"/>
        </w:rPr>
      </w:pPr>
    </w:p>
    <w:p>
      <w:pPr>
        <w:sectPr>
          <w:pgSz w:w="11900" w:h="16838" w:orient="portrait"/>
          <w:cols w:equalWidth="0" w:num="3">
            <w:col w:w="4900" w:space="118"/>
            <w:col w:w="4762" w:space="120"/>
            <w:col w:w="1540"/>
          </w:cols>
          <w:pgMar w:left="240" w:top="455" w:right="219" w:bottom="0" w:gutter="0" w:footer="0" w:header="0"/>
          <w:type w:val="continuous"/>
        </w:sectPr>
      </w:pPr>
    </w:p>
    <w:tbl>
      <w:tblPr>
        <w:tblLayout w:type="fixed"/>
        <w:tblInd w:w="0" w:type="dxa"/>
        <w:tblCellMar>
          <w:top w:w="0" w:type="dxa"/>
          <w:left w:w="0" w:type="dxa"/>
          <w:bottom w:w="0" w:type="dxa"/>
          <w:right w:w="0" w:type="dxa"/>
        </w:tblCellMar>
      </w:tblPr>
      <w:tr>
        <w:trPr>
          <w:trHeight w:val="419"/>
        </w:trPr>
        <w:tc>
          <w:tcPr>
            <w:tcW w:w="16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6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Date:</w:t>
            </w:r>
          </w:p>
        </w:tc>
        <w:tc>
          <w:tcPr>
            <w:tcW w:w="1240" w:type="dxa"/>
            <w:vAlign w:val="bottom"/>
            <w:tcBorders>
              <w:top w:val="single" w:sz="8" w:color="auto"/>
              <w:bottom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Signature of Stockholder</w:t>
            </w:r>
          </w:p>
        </w:tc>
        <w:tc>
          <w:tcPr>
            <w:tcW w:w="222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Date:</w:t>
            </w:r>
          </w:p>
        </w:tc>
        <w:tc>
          <w:tcPr>
            <w:tcW w:w="9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0" w:type="dxa"/>
            <w:vAlign w:val="bottom"/>
            <w:vMerge w:val="restart"/>
          </w:tcPr>
          <w:p>
            <w:pPr>
              <w:jc w:val="right"/>
              <w:ind w:right="1"/>
              <w:spacing w:after="0"/>
              <w:rPr>
                <w:sz w:val="20"/>
                <w:szCs w:val="20"/>
                <w:color w:val="auto"/>
              </w:rPr>
            </w:pPr>
            <w:r>
              <w:rPr>
                <w:rFonts w:ascii="Times New Roman" w:cs="Times New Roman" w:eastAsia="Times New Roman" w:hAnsi="Times New Roman"/>
                <w:sz w:val="25"/>
                <w:szCs w:val="25"/>
                <w:color w:val="auto"/>
                <w:w w:val="95"/>
              </w:rPr>
              <w:t>¢</w:t>
            </w:r>
          </w:p>
        </w:tc>
        <w:tc>
          <w:tcPr>
            <w:tcW w:w="1400" w:type="dxa"/>
            <w:vAlign w:val="bottom"/>
          </w:tcPr>
          <w:p>
            <w:pPr>
              <w:ind w:left="120"/>
              <w:spacing w:after="0" w:line="119" w:lineRule="exact"/>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Please sign</w:t>
            </w:r>
          </w:p>
        </w:tc>
        <w:tc>
          <w:tcPr>
            <w:tcW w:w="246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exactly as your name or names appear on this</w:t>
            </w:r>
          </w:p>
        </w:tc>
        <w:tc>
          <w:tcPr>
            <w:tcW w:w="124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Proxy. When shares</w:t>
            </w:r>
          </w:p>
        </w:tc>
        <w:tc>
          <w:tcPr>
            <w:tcW w:w="2120" w:type="dxa"/>
            <w:vAlign w:val="bottom"/>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are held jointly, each holder should</w:t>
            </w:r>
          </w:p>
        </w:tc>
        <w:tc>
          <w:tcPr>
            <w:tcW w:w="2720" w:type="dxa"/>
            <w:vAlign w:val="bottom"/>
            <w:gridSpan w:val="2"/>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sign. When signing as executor, administrator,</w:t>
            </w:r>
          </w:p>
        </w:tc>
        <w:tc>
          <w:tcPr>
            <w:tcW w:w="9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attorney, trustee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0" w:type="dxa"/>
            <w:vAlign w:val="bottom"/>
          </w:tcPr>
          <w:p>
            <w:pPr>
              <w:spacing w:after="0"/>
              <w:rPr>
                <w:sz w:val="1"/>
                <w:szCs w:val="1"/>
                <w:color w:val="auto"/>
              </w:rPr>
            </w:pPr>
          </w:p>
        </w:tc>
      </w:tr>
      <w:tr>
        <w:trPr>
          <w:trHeight w:val="149"/>
        </w:trPr>
        <w:tc>
          <w:tcPr>
            <w:tcW w:w="240" w:type="dxa"/>
            <w:vAlign w:val="bottom"/>
            <w:vMerge w:val="continue"/>
          </w:tcPr>
          <w:p>
            <w:pPr>
              <w:spacing w:after="0"/>
              <w:rPr>
                <w:sz w:val="12"/>
                <w:szCs w:val="12"/>
                <w:color w:val="auto"/>
              </w:rPr>
            </w:pPr>
          </w:p>
        </w:tc>
        <w:tc>
          <w:tcPr>
            <w:tcW w:w="10880" w:type="dxa"/>
            <w:vAlign w:val="bottom"/>
            <w:gridSpan w:val="8"/>
          </w:tcPr>
          <w:p>
            <w:pPr>
              <w:ind w:left="600"/>
              <w:spacing w:after="0" w:line="149" w:lineRule="exact"/>
              <w:rPr>
                <w:sz w:val="20"/>
                <w:szCs w:val="20"/>
                <w:color w:val="auto"/>
              </w:rPr>
            </w:pPr>
            <w:r>
              <w:rPr>
                <w:rFonts w:ascii="Times New Roman" w:cs="Times New Roman" w:eastAsia="Times New Roman" w:hAnsi="Times New Roman"/>
                <w:sz w:val="14"/>
                <w:szCs w:val="14"/>
                <w:color w:val="auto"/>
              </w:rPr>
              <w:t>or guardian, please give full title as such. If the signer is a corporation, please sign full corporate name by duly authorized officer, giving full title as such. If signer is a</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0" w:type="dxa"/>
            <w:vAlign w:val="bottom"/>
            <w:vMerge w:val="continue"/>
          </w:tcPr>
          <w:p>
            <w:pPr>
              <w:spacing w:after="0"/>
              <w:rPr>
                <w:sz w:val="16"/>
                <w:szCs w:val="16"/>
                <w:color w:val="auto"/>
              </w:rPr>
            </w:pPr>
          </w:p>
        </w:tc>
        <w:tc>
          <w:tcPr>
            <w:tcW w:w="510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partnership, please sign in partnership name by authorized person.</w:t>
            </w:r>
          </w:p>
        </w:tc>
        <w:tc>
          <w:tcPr>
            <w:tcW w:w="2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5" w:right="21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lvl w:ilvl="1">
      <w:lvlJc w:val="left"/>
      <w:lvlText w:val="(%2)"/>
      <w:numFmt w:val="decimal"/>
      <w:start w:val="1"/>
    </w:lvl>
  </w:abstractNum>
  <w:abstractNum w:abstractNumId="5">
    <w:nsid w:val="2D517796"/>
    <w:multiLevelType w:val="hybridMultilevel"/>
    <w:lvl w:ilvl="0">
      <w:lvlJc w:val="left"/>
      <w:lvlText w:val="(%1)"/>
      <w:numFmt w:val="decimal"/>
      <w:start w:val="3"/>
    </w:lvl>
  </w:abstractNum>
  <w:abstractNum w:abstractNumId="6">
    <w:nsid w:val="580BD78F"/>
    <w:multiLevelType w:val="hybridMultilevel"/>
    <w:lvl w:ilvl="0">
      <w:lvlJc w:val="left"/>
      <w:lvlText w:val="(%1)"/>
      <w:numFmt w:val="lowerRoman"/>
      <w:start w:val="1"/>
    </w:lvl>
  </w:abstractNum>
  <w:abstractNum w:abstractNumId="7">
    <w:nsid w:val="153EA438"/>
    <w:multiLevelType w:val="hybridMultilevel"/>
    <w:lvl w:ilvl="0">
      <w:lvlJc w:val="left"/>
      <w:lvlText w:val="(%1)"/>
      <w:numFmt w:val="lowerRoman"/>
      <w:start w:val="1"/>
    </w:lvl>
  </w:abstractNum>
  <w:abstractNum w:abstractNumId="8">
    <w:nsid w:val="3855585C"/>
    <w:multiLevelType w:val="hybridMultilevel"/>
    <w:lvl w:ilvl="0">
      <w:lvlJc w:val="left"/>
      <w:lvlText w:val="Ÿ"/>
      <w:numFmt w:val="bullet"/>
      <w:start w:val="1"/>
    </w:lvl>
  </w:abstractNum>
  <w:abstractNum w:abstractNumId="9">
    <w:nsid w:val="70A64E2A"/>
    <w:multiLevelType w:val="hybridMultilevel"/>
    <w:lvl w:ilvl="0">
      <w:lvlJc w:val="left"/>
      <w:lvlText w:val="Ÿ"/>
      <w:numFmt w:val="bullet"/>
      <w:start w:val="1"/>
    </w:lvl>
  </w:abstractNum>
  <w:abstractNum w:abstractNumId="10">
    <w:nsid w:val="6A2342EC"/>
    <w:multiLevelType w:val="hybridMultilevel"/>
    <w:lvl w:ilvl="0">
      <w:lvlJc w:val="left"/>
      <w:lvlText w:val="Ÿ"/>
      <w:numFmt w:val="bullet"/>
      <w:start w:val="1"/>
    </w:lvl>
  </w:abstractNum>
  <w:abstractNum w:abstractNumId="11">
    <w:nsid w:val="2A487CB0"/>
    <w:multiLevelType w:val="hybridMultilevel"/>
    <w:lvl w:ilvl="0">
      <w:lvlJc w:val="left"/>
      <w:lvlText w:val="Ÿ"/>
      <w:numFmt w:val="bullet"/>
      <w:start w:val="1"/>
    </w:lvl>
  </w:abstractNum>
  <w:abstractNum w:abstractNumId="12">
    <w:nsid w:val="1D4ED43B"/>
    <w:multiLevelType w:val="hybridMultilevel"/>
    <w:lvl w:ilvl="0">
      <w:lvlJc w:val="left"/>
      <w:lvlText w:val="Ÿ"/>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Ÿ"/>
      <w:numFmt w:val="bullet"/>
      <w:start w:val="1"/>
    </w:lvl>
  </w:abstractNum>
  <w:abstractNum w:abstractNumId="15">
    <w:nsid w:val="57E4CCAF"/>
    <w:multiLevelType w:val="hybridMultilevel"/>
    <w:lvl w:ilvl="0">
      <w:lvlJc w:val="left"/>
      <w:lvlText w:val="Ÿ"/>
      <w:numFmt w:val="bullet"/>
      <w:start w:val="1"/>
    </w:lvl>
  </w:abstractNum>
  <w:abstractNum w:abstractNumId="16">
    <w:nsid w:val="7A6D8D3C"/>
    <w:multiLevelType w:val="hybridMultilevel"/>
    <w:lvl w:ilvl="0">
      <w:lvlJc w:val="left"/>
      <w:lvlText w:val="Ÿ"/>
      <w:numFmt w:val="bullet"/>
      <w:start w:val="1"/>
    </w:lvl>
  </w:abstractNum>
  <w:abstractNum w:abstractNumId="17">
    <w:nsid w:val="4B588F54"/>
    <w:multiLevelType w:val="hybridMultilevel"/>
    <w:lvl w:ilvl="0">
      <w:lvlJc w:val="left"/>
      <w:lvlText w:val="Ÿ"/>
      <w:numFmt w:val="bullet"/>
      <w:start w:val="1"/>
    </w:lvl>
  </w:abstractNum>
  <w:abstractNum w:abstractNumId="18">
    <w:nsid w:val="542289EC"/>
    <w:multiLevelType w:val="hybridMultilevel"/>
    <w:lvl w:ilvl="0">
      <w:lvlJc w:val="left"/>
      <w:lvlText w:val="Ÿ"/>
      <w:numFmt w:val="bullet"/>
      <w:start w:val="1"/>
    </w:lvl>
  </w:abstractNum>
  <w:abstractNum w:abstractNumId="19">
    <w:nsid w:val="6DE91B18"/>
    <w:multiLevelType w:val="hybridMultilevel"/>
    <w:lvl w:ilvl="0">
      <w:lvlJc w:val="left"/>
      <w:lvlText w:val="Ÿ"/>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Ÿ"/>
      <w:numFmt w:val="bullet"/>
      <w:start w:val="1"/>
    </w:lvl>
  </w:abstractNum>
  <w:abstractNum w:abstractNumId="22">
    <w:nsid w:val="32FFF902"/>
    <w:multiLevelType w:val="hybridMultilevel"/>
    <w:lvl w:ilvl="0">
      <w:lvlJc w:val="left"/>
      <w:lvlText w:val="Ÿ"/>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Ÿ"/>
      <w:numFmt w:val="bullet"/>
      <w:start w:val="1"/>
    </w:lvl>
  </w:abstractNum>
  <w:abstractNum w:abstractNumId="25">
    <w:nsid w:val="749ABB43"/>
    <w:multiLevelType w:val="hybridMultilevel"/>
    <w:lvl w:ilvl="0">
      <w:lvlJc w:val="left"/>
      <w:lvlText w:val="Ÿ"/>
      <w:numFmt w:val="bullet"/>
      <w:start w:val="1"/>
    </w:lvl>
    <w:lvl w:ilvl="1">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Ÿ"/>
      <w:numFmt w:val="bullet"/>
      <w:start w:val="1"/>
    </w:lvl>
  </w:abstractNum>
  <w:abstractNum w:abstractNumId="28">
    <w:nsid w:val="79A1DEAA"/>
    <w:multiLevelType w:val="hybridMultilevel"/>
    <w:lvl w:ilvl="0">
      <w:lvlJc w:val="left"/>
      <w:lvlText w:val="Ÿ"/>
      <w:numFmt w:val="bullet"/>
      <w:start w:val="1"/>
    </w:lvl>
  </w:abstractNum>
  <w:abstractNum w:abstractNumId="29">
    <w:nsid w:val="75C6C33A"/>
    <w:multiLevelType w:val="hybridMultilevel"/>
    <w:lvl w:ilvl="0">
      <w:lvlJc w:val="left"/>
      <w:lvlText w:val="Ÿ"/>
      <w:numFmt w:val="bullet"/>
      <w:start w:val="1"/>
    </w:lvl>
  </w:abstractNum>
  <w:abstractNum w:abstractNumId="30">
    <w:nsid w:val="12E685FB"/>
    <w:multiLevelType w:val="hybridMultilevel"/>
    <w:lvl w:ilvl="0">
      <w:lvlJc w:val="left"/>
      <w:lvlText w:val="Ÿ"/>
      <w:numFmt w:val="bullet"/>
      <w:start w:val="1"/>
    </w:lvl>
    <w:lvl w:ilvl="1">
      <w:lvlJc w:val="left"/>
      <w:lvlText w:val="(%2)"/>
      <w:numFmt w:val="lowerRoman"/>
      <w:start w:val="2"/>
    </w:lvl>
  </w:abstractNum>
  <w:abstractNum w:abstractNumId="31">
    <w:nsid w:val="70C6A529"/>
    <w:multiLevelType w:val="hybridMultilevel"/>
    <w:lvl w:ilvl="0">
      <w:lvlJc w:val="left"/>
      <w:lvlText w:val="Ÿ"/>
      <w:numFmt w:val="bullet"/>
      <w:start w:val="1"/>
    </w:lvl>
  </w:abstractNum>
  <w:abstractNum w:abstractNumId="32">
    <w:nsid w:val="520EEDD1"/>
    <w:multiLevelType w:val="hybridMultilevel"/>
    <w:lvl w:ilvl="0">
      <w:lvlJc w:val="left"/>
      <w:lvlText w:val="Ÿ"/>
      <w:numFmt w:val="bullet"/>
      <w:start w:val="1"/>
    </w:lvl>
  </w:abstractNum>
  <w:abstractNum w:abstractNumId="33">
    <w:nsid w:val="374A3FE6"/>
    <w:multiLevelType w:val="hybridMultilevel"/>
    <w:lvl w:ilvl="0">
      <w:lvlJc w:val="left"/>
      <w:lvlText w:val="Ÿ"/>
      <w:numFmt w:val="bullet"/>
      <w:start w:val="1"/>
    </w:lvl>
  </w:abstractNum>
  <w:abstractNum w:abstractNumId="34">
    <w:nsid w:val="4F4EF005"/>
    <w:multiLevelType w:val="hybridMultilevel"/>
    <w:lvl w:ilvl="0">
      <w:lvlJc w:val="left"/>
      <w:lvlText w:val="Ÿ"/>
      <w:numFmt w:val="bullet"/>
      <w:start w:val="1"/>
    </w:lvl>
  </w:abstractNum>
  <w:abstractNum w:abstractNumId="35">
    <w:nsid w:val="23F9C13C"/>
    <w:multiLevelType w:val="hybridMultilevel"/>
    <w:lvl w:ilvl="0">
      <w:lvlJc w:val="left"/>
      <w:lvlText w:val="Ÿ"/>
      <w:numFmt w:val="bullet"/>
      <w:start w:val="1"/>
    </w:lvl>
  </w:abstractNum>
  <w:abstractNum w:abstractNumId="36">
    <w:nsid w:val="649BB77C"/>
    <w:multiLevelType w:val="hybridMultilevel"/>
    <w:lvl w:ilvl="0">
      <w:lvlJc w:val="left"/>
      <w:lvlText w:val="Ÿ"/>
      <w:numFmt w:val="bullet"/>
      <w:start w:val="1"/>
    </w:lvl>
  </w:abstractNum>
  <w:abstractNum w:abstractNumId="37">
    <w:nsid w:val="275AC794"/>
    <w:multiLevelType w:val="hybridMultilevel"/>
    <w:lvl w:ilvl="0">
      <w:lvlJc w:val="left"/>
      <w:lvlText w:val="Ÿ"/>
      <w:numFmt w:val="bullet"/>
      <w:start w:val="1"/>
    </w:lvl>
  </w:abstractNum>
  <w:abstractNum w:abstractNumId="38">
    <w:nsid w:val="39386575"/>
    <w:multiLevelType w:val="hybridMultilevel"/>
    <w:lvl w:ilvl="0">
      <w:lvlJc w:val="left"/>
      <w:lvlText w:val="Ÿ"/>
      <w:numFmt w:val="bullet"/>
      <w:start w:val="1"/>
    </w:lvl>
  </w:abstractNum>
  <w:abstractNum w:abstractNumId="39">
    <w:nsid w:val="1CF10FD8"/>
    <w:multiLevelType w:val="hybridMultilevel"/>
    <w:lvl w:ilvl="0">
      <w:lvlJc w:val="left"/>
      <w:lvlText w:val="Ÿ"/>
      <w:numFmt w:val="bullet"/>
      <w:start w:val="1"/>
    </w:lvl>
  </w:abstractNum>
  <w:abstractNum w:abstractNumId="40">
    <w:nsid w:val="180115BE"/>
    <w:multiLevelType w:val="hybridMultilevel"/>
    <w:lvl w:ilvl="0">
      <w:lvlJc w:val="left"/>
      <w:lvlText w:val="Ÿ"/>
      <w:numFmt w:val="bullet"/>
      <w:start w:val="1"/>
    </w:lvl>
  </w:abstractNum>
  <w:abstractNum w:abstractNumId="41">
    <w:nsid w:val="235BA861"/>
    <w:multiLevelType w:val="hybridMultilevel"/>
    <w:lvl w:ilvl="0">
      <w:lvlJc w:val="left"/>
      <w:lvlText w:val="Ÿ"/>
      <w:numFmt w:val="bullet"/>
      <w:start w:val="1"/>
    </w:lvl>
  </w:abstractNum>
  <w:abstractNum w:abstractNumId="42">
    <w:nsid w:val="47398C89"/>
    <w:multiLevelType w:val="hybridMultilevel"/>
    <w:lvl w:ilvl="0">
      <w:lvlJc w:val="left"/>
      <w:lvlText w:val="Ÿ"/>
      <w:numFmt w:val="bullet"/>
      <w:start w:val="1"/>
    </w:lvl>
  </w:abstractNum>
  <w:abstractNum w:abstractNumId="43">
    <w:nsid w:val="354FE9F9"/>
    <w:multiLevelType w:val="hybridMultilevel"/>
    <w:lvl w:ilvl="0">
      <w:lvlJc w:val="left"/>
      <w:lvlText w:val="Ÿ"/>
      <w:numFmt w:val="bullet"/>
      <w:start w:val="1"/>
    </w:lvl>
  </w:abstractNum>
  <w:abstractNum w:abstractNumId="44">
    <w:nsid w:val="15B5AF5C"/>
    <w:multiLevelType w:val="hybridMultilevel"/>
    <w:lvl w:ilvl="0">
      <w:lvlJc w:val="left"/>
      <w:lvlText w:val="Ÿ"/>
      <w:numFmt w:val="bullet"/>
      <w:start w:val="1"/>
    </w:lvl>
  </w:abstractNum>
  <w:abstractNum w:abstractNumId="45">
    <w:nsid w:val="741226BB"/>
    <w:multiLevelType w:val="hybridMultilevel"/>
    <w:lvl w:ilvl="0">
      <w:lvlJc w:val="left"/>
      <w:lvlText w:val="Ÿ"/>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7"/>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5"/>
    </w:lvl>
  </w:abstractNum>
  <w:abstractNum w:abstractNumId="50">
    <w:nsid w:val="7E0C57B1"/>
    <w:multiLevelType w:val="hybridMultilevel"/>
    <w:lvl w:ilvl="0">
      <w:lvlJc w:val="left"/>
      <w:lvlText w:val="(%1)"/>
      <w:numFmt w:val="decimal"/>
      <w:start w:val="12"/>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decimal"/>
      <w:start w:val="13"/>
    </w:lvl>
  </w:abstractNum>
  <w:abstractNum w:abstractNumId="54">
    <w:nsid w:val="5FF87E05"/>
    <w:multiLevelType w:val="hybridMultilevel"/>
    <w:lvl w:ilvl="0">
      <w:lvlJc w:val="left"/>
      <w:lvlText w:val="(%1)"/>
      <w:numFmt w:val="decimal"/>
      <w:start w:val="19"/>
    </w:lvl>
  </w:abstractNum>
  <w:abstractNum w:abstractNumId="55">
    <w:nsid w:val="2F305DEF"/>
    <w:multiLevelType w:val="hybridMultilevel"/>
    <w:lvl w:ilvl="0">
      <w:lvlJc w:val="left"/>
      <w:lvlText w:val="(%1)"/>
      <w:numFmt w:val="decimal"/>
      <w:start w:val="24"/>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2"/>
    </w:lvl>
  </w:abstractNum>
  <w:abstractNum w:abstractNumId="59">
    <w:nsid w:val="1F48EAA1"/>
    <w:multiLevelType w:val="hybridMultilevel"/>
    <w:lvl w:ilvl="0">
      <w:lvlJc w:val="left"/>
      <w:lvlText w:val="(%1)"/>
      <w:numFmt w:val="lowerRoman"/>
      <w:start w:val="5"/>
    </w:lvl>
  </w:abstractNum>
  <w:abstractNum w:abstractNumId="60">
    <w:nsid w:val="1381823A"/>
    <w:multiLevelType w:val="hybridMultilevel"/>
    <w:lvl w:ilvl="0">
      <w:lvlJc w:val="left"/>
      <w:lvlText w:val="(%1)"/>
      <w:numFmt w:val="lowerRoman"/>
      <w:start w:val="1"/>
    </w:lvl>
  </w:abstractNum>
  <w:abstractNum w:abstractNumId="61">
    <w:nsid w:val="5DB70AE5"/>
    <w:multiLevelType w:val="hybridMultilevel"/>
    <w:lvl w:ilvl="0">
      <w:lvlJc w:val="left"/>
      <w:lvlText w:val="(%1)"/>
      <w:numFmt w:val="lowerRoman"/>
      <w:start w:val="3"/>
    </w:lvl>
  </w:abstractNum>
  <w:abstractNum w:abstractNumId="62">
    <w:nsid w:val="100F8FCA"/>
    <w:multiLevelType w:val="hybridMultilevel"/>
    <w:lvl w:ilvl="0">
      <w:lvlJc w:val="left"/>
      <w:lvlText w:val="(%1)"/>
      <w:numFmt w:val="lowerRoman"/>
      <w:start w:val="2"/>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lvl w:ilvl="1">
      <w:lvlJc w:val="left"/>
      <w:lvlText w:val="(%2)"/>
      <w:numFmt w:val="lowerLetter"/>
      <w:start w:val="2"/>
    </w:lvl>
  </w:abstractNum>
  <w:abstractNum w:abstractNumId="66">
    <w:nsid w:val="98A3148"/>
    <w:multiLevelType w:val="hybridMultilevel"/>
    <w:lvl w:ilvl="0">
      <w:lvlJc w:val="left"/>
      <w:lvlText w:val="%1"/>
      <w:numFmt w:val="decimal"/>
      <w:start w:val="1"/>
    </w:lvl>
    <w:lvl w:ilvl="1">
      <w:lvlJc w:val="left"/>
      <w:lvlText w:val="(%2)"/>
      <w:numFmt w:val="lowerLetter"/>
      <w:start w:val="4"/>
    </w:lvl>
  </w:abstractNum>
  <w:abstractNum w:abstractNumId="67">
    <w:nsid w:val="799D0247"/>
    <w:multiLevelType w:val="hybridMultilevel"/>
    <w:lvl w:ilvl="0">
      <w:lvlJc w:val="left"/>
      <w:lvlText w:val="(%1)"/>
      <w:numFmt w:val="decimal"/>
      <w:start w:val="3"/>
    </w:lvl>
    <w:lvl w:ilvl="1">
      <w:lvlJc w:val="left"/>
      <w:lvlText w:val="%2"/>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3"/>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4"/>
    </w:lvl>
  </w:abstractNum>
  <w:abstractNum w:abstractNumId="72">
    <w:nsid w:val="661E3F1E"/>
    <w:multiLevelType w:val="hybridMultilevel"/>
    <w:lvl w:ilvl="0">
      <w:lvlJc w:val="left"/>
      <w:lvlText w:val="(%1)"/>
      <w:numFmt w:val="decimal"/>
      <w:start w:val="11"/>
    </w:lvl>
  </w:abstractNum>
  <w:abstractNum w:abstractNumId="73">
    <w:nsid w:val="5DC79EA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2019-12-06T09:54:54Z</dcterms:created>
  <dcterms:modified xsi:type="dcterms:W3CDTF">2019-12-06T09:54:54Z</dcterms:modified>
</cp:coreProperties>
</file>